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C6CB" w14:textId="3719A54D" w:rsidR="00010F89" w:rsidRPr="00F07605" w:rsidRDefault="00361695" w:rsidP="00E13296">
      <w:pPr>
        <w:tabs>
          <w:tab w:val="right" w:pos="10065"/>
        </w:tabs>
        <w:spacing w:after="960"/>
        <w:ind w:left="57" w:right="-284"/>
        <w:contextualSpacing/>
      </w:pPr>
      <w:r w:rsidRPr="00F07605">
        <w:rPr>
          <w:noProof/>
        </w:rPr>
        <mc:AlternateContent>
          <mc:Choice Requires="wps">
            <w:drawing>
              <wp:anchor distT="0" distB="0" distL="114300" distR="114300" simplePos="0" relativeHeight="251658241" behindDoc="1" locked="1" layoutInCell="1" allowOverlap="1" wp14:anchorId="5BF7C57B" wp14:editId="4B5FF373">
                <wp:simplePos x="0" y="0"/>
                <wp:positionH relativeFrom="margin">
                  <wp:align>right</wp:align>
                </wp:positionH>
                <wp:positionV relativeFrom="page">
                  <wp:posOffset>622935</wp:posOffset>
                </wp:positionV>
                <wp:extent cx="1533600" cy="403200"/>
                <wp:effectExtent l="0" t="0" r="7620" b="0"/>
                <wp:wrapNone/>
                <wp:docPr id="1854459199" name="Text Box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533600" cy="403200"/>
                        </a:xfrm>
                        <a:prstGeom prst="roundRect">
                          <a:avLst>
                            <a:gd name="adj" fmla="val 50000"/>
                          </a:avLst>
                        </a:prstGeom>
                        <a:solidFill>
                          <a:schemeClr val="accent3"/>
                        </a:solidFill>
                        <a:ln w="6350">
                          <a:noFill/>
                        </a:ln>
                      </wps:spPr>
                      <wps:txbx>
                        <w:txbxContent>
                          <w:p w14:paraId="241EC0DF" w14:textId="5C48F1C7" w:rsidR="00361695" w:rsidRPr="0005768A" w:rsidRDefault="000F1F11" w:rsidP="00361695">
                            <w:pPr>
                              <w:pStyle w:val="Date"/>
                              <w:jc w:val="both"/>
                            </w:pPr>
                            <w:r>
                              <w:t>October 2026</w:t>
                            </w:r>
                          </w:p>
                        </w:txbxContent>
                      </wps:txbx>
                      <wps:bodyPr rot="0" spcFirstLastPara="0" vertOverflow="overflow" horzOverflow="overflow" vert="horz" wrap="none" lIns="144000" tIns="28800" rIns="180000" bIns="3600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5BF7C57B" id="Text Box 7" o:spid="_x0000_s1026" alt="&quot;&quot;" style="position:absolute;left:0;text-align:left;margin-left:69.55pt;margin-top:49.05pt;width:120.75pt;height:31.75pt;z-index:-251658239;visibility:visible;mso-wrap-style:non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" fillcolor="#f6e265 [3206]" stroked="f" strokeweight=".5pt">
                <v:textbox style="mso-fit-shape-to-text:t" inset="4mm,.8mm,5mm,1mm">
                  <w:txbxContent>
                    <w:p w14:paraId="241EC0DF" w14:textId="5C48F1C7" w:rsidR="00361695" w:rsidRPr="0005768A" w:rsidRDefault="000F1F11" w:rsidP="00361695">
                      <w:pPr>
                        <w:pStyle w:val="Date"/>
                        <w:jc w:val="both"/>
                      </w:pPr>
                      <w:r>
                        <w:t>October 2026</w:t>
                      </w:r>
                    </w:p>
                  </w:txbxContent>
                </v:textbox>
                <w10:wrap anchorx="margin" anchory="page"/>
                <w10:anchorlock/>
              </v:roundrect>
            </w:pict>
          </mc:Fallback>
        </mc:AlternateContent>
      </w:r>
      <w:r w:rsidR="00E13296" w:rsidRPr="00F07605">
        <w:rPr>
          <w:noProof/>
        </w:rPr>
        <w:drawing>
          <wp:inline distT="0" distB="0" distL="0" distR="0" wp14:anchorId="0C5EC9B5" wp14:editId="4E04BC2F">
            <wp:extent cx="4227341" cy="738060"/>
            <wp:effectExtent l="0" t="0" r="1905" b="5080"/>
            <wp:docPr id="1499889889" name="Picture 1" descr="Australian Government&#10;ATEC&#10;Australian Tertiary Educatio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889889" name="Picture 1" descr="Australian Government&#10;ATEC&#10;Australian Tertiary Education Commissi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38730" cy="740049"/>
                    </a:xfrm>
                    <a:prstGeom prst="rect">
                      <a:avLst/>
                    </a:prstGeom>
                  </pic:spPr>
                </pic:pic>
              </a:graphicData>
            </a:graphic>
          </wp:inline>
        </w:drawing>
      </w:r>
      <w:r w:rsidRPr="00F07605">
        <w:rPr>
          <w:noProof/>
        </w:rPr>
        <w:t xml:space="preserve"> </w:t>
      </w:r>
    </w:p>
    <w:p w14:paraId="47C43861" w14:textId="6D3D2239" w:rsidR="00BC2021" w:rsidRPr="00F07605" w:rsidRDefault="00512FA7" w:rsidP="00057C60">
      <w:pPr>
        <w:pStyle w:val="Title"/>
      </w:pPr>
      <w:r w:rsidRPr="00F07605">
        <w:t xml:space="preserve">Towards a </w:t>
      </w:r>
      <w:r>
        <w:t>Costing and Pricing Framework</w:t>
      </w:r>
      <w:r w:rsidRPr="00F07605">
        <w:t xml:space="preserve"> for </w:t>
      </w:r>
      <w:r>
        <w:t>Commonwealth Supported Places in Universities</w:t>
      </w:r>
    </w:p>
    <w:p w14:paraId="4DB3CAE3" w14:textId="0E9CD66D" w:rsidR="00BC2021" w:rsidRPr="00F07605" w:rsidRDefault="00264559" w:rsidP="00057C60">
      <w:pPr>
        <w:pStyle w:val="Subtitle"/>
      </w:pPr>
      <w:r w:rsidRPr="00F07605">
        <w:t>Discussion paper</w:t>
      </w:r>
    </w:p>
    <w:p w14:paraId="057B44A7" w14:textId="77777777" w:rsidR="00057C60" w:rsidRPr="00F07605" w:rsidRDefault="00CD4B0D" w:rsidP="00057C60">
      <w:r w:rsidRPr="00F07605">
        <w:rPr>
          <w:noProof/>
        </w:rPr>
        <w:drawing>
          <wp:anchor distT="0" distB="0" distL="114300" distR="114300" simplePos="0" relativeHeight="251658240" behindDoc="1" locked="0" layoutInCell="1" allowOverlap="1" wp14:anchorId="37939160" wp14:editId="71D622C9">
            <wp:simplePos x="0" y="0"/>
            <wp:positionH relativeFrom="page">
              <wp:align>left</wp:align>
            </wp:positionH>
            <wp:positionV relativeFrom="page">
              <wp:align>bottom</wp:align>
            </wp:positionV>
            <wp:extent cx="7559675" cy="6764020"/>
            <wp:effectExtent l="0" t="0" r="3175" b="0"/>
            <wp:wrapNone/>
            <wp:docPr id="206581631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16316" name="Picture 4">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9675" cy="6764020"/>
                    </a:xfrm>
                    <a:prstGeom prst="rect">
                      <a:avLst/>
                    </a:prstGeom>
                  </pic:spPr>
                </pic:pic>
              </a:graphicData>
            </a:graphic>
            <wp14:sizeRelH relativeFrom="margin">
              <wp14:pctWidth>0</wp14:pctWidth>
            </wp14:sizeRelH>
            <wp14:sizeRelV relativeFrom="margin">
              <wp14:pctHeight>0</wp14:pctHeight>
            </wp14:sizeRelV>
          </wp:anchor>
        </w:drawing>
      </w:r>
    </w:p>
    <w:p w14:paraId="65057A81" w14:textId="77777777" w:rsidR="00980347" w:rsidRPr="00F07605" w:rsidRDefault="00980347" w:rsidP="00057C60">
      <w:pPr>
        <w:pStyle w:val="Title"/>
        <w:sectPr w:rsidR="00980347" w:rsidRPr="00F07605" w:rsidSect="00FE48F1">
          <w:headerReference w:type="default" r:id="rId14"/>
          <w:footerReference w:type="default" r:id="rId15"/>
          <w:pgSz w:w="11907" w:h="16839" w:code="9"/>
          <w:pgMar w:top="726" w:right="907" w:bottom="1134" w:left="907" w:header="567" w:footer="805" w:gutter="0"/>
          <w:cols w:space="708"/>
          <w:titlePg/>
          <w:docGrid w:linePitch="360"/>
        </w:sectPr>
      </w:pPr>
    </w:p>
    <w:p w14:paraId="4C5538D2" w14:textId="77777777" w:rsidR="00625F4C" w:rsidRPr="00F07605" w:rsidRDefault="00625F4C" w:rsidP="00625F4C">
      <w:pPr>
        <w:pStyle w:val="DisclaimerTextinFrame"/>
        <w:framePr w:wrap="around"/>
        <w:spacing w:before="480" w:after="400"/>
      </w:pPr>
      <w:r w:rsidRPr="00F07605">
        <w:rPr>
          <w:noProof/>
        </w:rPr>
        <w:lastRenderedPageBreak/>
        <w:drawing>
          <wp:inline distT="0" distB="0" distL="0" distR="0" wp14:anchorId="42212BB0" wp14:editId="0D95DBC7">
            <wp:extent cx="860367" cy="315884"/>
            <wp:effectExtent l="0" t="0" r="0" b="8255"/>
            <wp:docPr id="155335485" name="Picture 8" descr="Creative Comm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5485" name="Picture 8" descr="Creative Commons&#10;"/>
                    <pic:cNvPicPr/>
                  </pic:nvPicPr>
                  <pic:blipFill>
                    <a:blip r:embed="rId16">
                      <a:extLst>
                        <a:ext uri="{28A0092B-C50C-407E-A947-70E740481C1C}">
                          <a14:useLocalDpi xmlns:a14="http://schemas.microsoft.com/office/drawing/2010/main" val="0"/>
                        </a:ext>
                      </a:extLst>
                    </a:blip>
                    <a:stretch>
                      <a:fillRect/>
                    </a:stretch>
                  </pic:blipFill>
                  <pic:spPr>
                    <a:xfrm>
                      <a:off x="0" y="0"/>
                      <a:ext cx="860367" cy="315884"/>
                    </a:xfrm>
                    <a:prstGeom prst="rect">
                      <a:avLst/>
                    </a:prstGeom>
                  </pic:spPr>
                </pic:pic>
              </a:graphicData>
            </a:graphic>
          </wp:inline>
        </w:drawing>
      </w:r>
    </w:p>
    <w:p w14:paraId="7C71B357" w14:textId="1E3E4D79" w:rsidR="00625F4C" w:rsidRPr="00F07605" w:rsidRDefault="00625F4C" w:rsidP="00625F4C">
      <w:pPr>
        <w:pStyle w:val="DisclaimerTextinFrame"/>
        <w:framePr w:wrap="around"/>
      </w:pPr>
      <w:proofErr w:type="gramStart"/>
      <w:r w:rsidRPr="00F07605">
        <w:t>With the exception of</w:t>
      </w:r>
      <w:proofErr w:type="gramEnd"/>
      <w:r w:rsidRPr="00F07605">
        <w:t xml:space="preserve"> the Commonwealth Coat of Arms, the </w:t>
      </w:r>
      <w:r w:rsidR="00E13296" w:rsidRPr="00F07605">
        <w:t xml:space="preserve">Australian </w:t>
      </w:r>
      <w:r w:rsidR="00A368BB" w:rsidRPr="00F07605">
        <w:t>Government</w:t>
      </w:r>
      <w:r w:rsidRPr="00F07605">
        <w:t xml:space="preserve"> logo, any material protected by a </w:t>
      </w:r>
      <w:r w:rsidR="00682610" w:rsidRPr="00F07605">
        <w:t>trademark</w:t>
      </w:r>
      <w:r w:rsidRPr="00F07605">
        <w:t xml:space="preserve"> and where otherwise noted all material presented in this document is provided under a Creative Commons Attribution 4.0 International (</w:t>
      </w:r>
      <w:hyperlink r:id="rId17" w:history="1">
        <w:r w:rsidRPr="00F07605">
          <w:t>https://creativecommons.org/licenses/by/4.0/)</w:t>
        </w:r>
      </w:hyperlink>
      <w:r w:rsidRPr="00F07605">
        <w:t xml:space="preserve"> licence.</w:t>
      </w:r>
    </w:p>
    <w:p w14:paraId="30FA15C1" w14:textId="3E91D1DE" w:rsidR="00625F4C" w:rsidRPr="00F07605" w:rsidRDefault="00625F4C" w:rsidP="00625F4C">
      <w:pPr>
        <w:pStyle w:val="DisclaimerTextinFrame"/>
        <w:framePr w:wrap="around"/>
      </w:pPr>
      <w:r w:rsidRPr="00F07605">
        <w:t>The details of the relevant licence conditions are available on the Creative Commons website (accessible using the links provided) as is the full legal code for the CC BY 4.0 International (</w:t>
      </w:r>
      <w:hyperlink r:id="rId18" w:history="1">
        <w:r w:rsidRPr="00F07605">
          <w:t>https://creativecommons.org/licenses/by/4.0/legalcode</w:t>
        </w:r>
      </w:hyperlink>
      <w:r w:rsidRPr="00F07605">
        <w:t>)</w:t>
      </w:r>
    </w:p>
    <w:p w14:paraId="05215E6A" w14:textId="4B5F1D56" w:rsidR="00625F4C" w:rsidRPr="00F07605" w:rsidRDefault="00CD4B0D" w:rsidP="00625F4C">
      <w:pPr>
        <w:sectPr w:rsidR="00625F4C" w:rsidRPr="00F07605" w:rsidSect="00FE48F1">
          <w:pgSz w:w="11907" w:h="16839" w:code="9"/>
          <w:pgMar w:top="1077" w:right="1134" w:bottom="1134" w:left="1134" w:header="567" w:footer="805" w:gutter="0"/>
          <w:cols w:space="708"/>
          <w:titlePg/>
          <w:docGrid w:linePitch="360"/>
        </w:sectPr>
      </w:pPr>
      <w:r w:rsidRPr="00F07605">
        <w:rPr>
          <w:noProof/>
        </w:rPr>
        <w:drawing>
          <wp:inline distT="0" distB="0" distL="0" distR="0" wp14:anchorId="50C72CC7" wp14:editId="10B9EABF">
            <wp:extent cx="6120765" cy="3991610"/>
            <wp:effectExtent l="0" t="0" r="0" b="8890"/>
            <wp:docPr id="1481361832" name="Picture 1" descr="Indigenous Artwork for the AT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61832" name="Picture 1" descr="Indigenous Artwork for the ATEC"/>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3991610"/>
                    </a:xfrm>
                    <a:prstGeom prst="rect">
                      <a:avLst/>
                    </a:prstGeom>
                  </pic:spPr>
                </pic:pic>
              </a:graphicData>
            </a:graphic>
          </wp:inline>
        </w:drawing>
      </w:r>
    </w:p>
    <w:sdt>
      <w:sdtPr>
        <w:rPr>
          <w:rFonts w:asciiTheme="minorHAnsi" w:hAnsiTheme="minorHAnsi"/>
          <w:bCs w:val="0"/>
          <w:color w:val="000000" w:themeColor="text1"/>
          <w:sz w:val="22"/>
          <w:szCs w:val="22"/>
        </w:rPr>
        <w:id w:val="-305014779"/>
        <w:docPartObj>
          <w:docPartGallery w:val="Table of Contents"/>
          <w:docPartUnique/>
        </w:docPartObj>
      </w:sdtPr>
      <w:sdtEndPr>
        <w:rPr>
          <w:b/>
          <w:bCs/>
          <w:noProof/>
        </w:rPr>
      </w:sdtEndPr>
      <w:sdtContent>
        <w:p w14:paraId="16D30507" w14:textId="01B7C22B" w:rsidR="00ED7C1F" w:rsidRPr="00F07605" w:rsidRDefault="00ED7C1F" w:rsidP="007E6A9E">
          <w:pPr>
            <w:pStyle w:val="TOCHeading"/>
            <w:spacing w:after="480"/>
          </w:pPr>
          <w:r w:rsidRPr="00F07605">
            <w:t>Contents</w:t>
          </w:r>
        </w:p>
        <w:p w14:paraId="07E4B639" w14:textId="7A110ACC" w:rsidR="00A34358" w:rsidRDefault="00752711">
          <w:pPr>
            <w:pStyle w:val="TOC1"/>
            <w:tabs>
              <w:tab w:val="left" w:pos="851"/>
            </w:tabs>
            <w:rPr>
              <w:rFonts w:eastAsiaTheme="minorEastAsia" w:cstheme="minorBidi"/>
              <w:b w:val="0"/>
              <w:color w:val="auto"/>
              <w:kern w:val="2"/>
              <w:szCs w:val="24"/>
              <w14:ligatures w14:val="standardContextual"/>
            </w:rPr>
          </w:pPr>
          <w:r w:rsidRPr="00F07605">
            <w:fldChar w:fldCharType="begin"/>
          </w:r>
          <w:r w:rsidRPr="00F07605">
            <w:instrText xml:space="preserve"> TOC \o "1-1" \h \z \u </w:instrText>
          </w:r>
          <w:r w:rsidRPr="00F07605">
            <w:fldChar w:fldCharType="separate"/>
          </w:r>
          <w:hyperlink w:anchor="_Toc244072874" w:history="1">
            <w:r w:rsidR="00A34358" w:rsidRPr="00533C28">
              <w:rPr>
                <w:rStyle w:val="Hyperlink"/>
                <w:kern w:val="36"/>
              </w:rPr>
              <w:t>1.</w:t>
            </w:r>
            <w:r w:rsidR="00A34358">
              <w:rPr>
                <w:rFonts w:eastAsiaTheme="minorEastAsia" w:cstheme="minorBidi"/>
                <w:b w:val="0"/>
                <w:color w:val="auto"/>
                <w:kern w:val="2"/>
                <w:szCs w:val="24"/>
                <w14:ligatures w14:val="standardContextual"/>
              </w:rPr>
              <w:tab/>
            </w:r>
            <w:r w:rsidR="00A34358" w:rsidRPr="00533C28">
              <w:rPr>
                <w:rStyle w:val="Hyperlink"/>
              </w:rPr>
              <w:t>Executive summary</w:t>
            </w:r>
            <w:r w:rsidR="00A34358">
              <w:rPr>
                <w:webHidden/>
              </w:rPr>
              <w:tab/>
            </w:r>
            <w:r w:rsidR="00A34358">
              <w:rPr>
                <w:webHidden/>
              </w:rPr>
              <w:fldChar w:fldCharType="begin"/>
            </w:r>
            <w:r w:rsidR="00A34358">
              <w:rPr>
                <w:webHidden/>
              </w:rPr>
              <w:instrText xml:space="preserve"> PAGEREF _Toc244072874 \h </w:instrText>
            </w:r>
            <w:r w:rsidR="00A34358">
              <w:rPr>
                <w:webHidden/>
              </w:rPr>
            </w:r>
            <w:r w:rsidR="00A34358">
              <w:rPr>
                <w:webHidden/>
              </w:rPr>
              <w:fldChar w:fldCharType="separate"/>
            </w:r>
            <w:r w:rsidR="00A34358">
              <w:rPr>
                <w:webHidden/>
              </w:rPr>
              <w:t>4</w:t>
            </w:r>
            <w:r w:rsidR="00A34358">
              <w:rPr>
                <w:webHidden/>
              </w:rPr>
              <w:fldChar w:fldCharType="end"/>
            </w:r>
          </w:hyperlink>
        </w:p>
        <w:p w14:paraId="6C2F6F5D" w14:textId="524A9F05"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75" w:history="1">
            <w:r w:rsidRPr="00533C28">
              <w:rPr>
                <w:rStyle w:val="Hyperlink"/>
              </w:rPr>
              <w:t>2.</w:t>
            </w:r>
            <w:r>
              <w:rPr>
                <w:rFonts w:eastAsiaTheme="minorEastAsia" w:cstheme="minorBidi"/>
                <w:b w:val="0"/>
                <w:color w:val="auto"/>
                <w:kern w:val="2"/>
                <w:szCs w:val="24"/>
                <w14:ligatures w14:val="standardContextual"/>
              </w:rPr>
              <w:tab/>
            </w:r>
            <w:r w:rsidRPr="00533C28">
              <w:rPr>
                <w:rStyle w:val="Hyperlink"/>
              </w:rPr>
              <w:t>Introduction</w:t>
            </w:r>
            <w:r>
              <w:rPr>
                <w:webHidden/>
              </w:rPr>
              <w:tab/>
            </w:r>
            <w:r>
              <w:rPr>
                <w:webHidden/>
              </w:rPr>
              <w:fldChar w:fldCharType="begin"/>
            </w:r>
            <w:r>
              <w:rPr>
                <w:webHidden/>
              </w:rPr>
              <w:instrText xml:space="preserve"> PAGEREF _Toc244072875 \h </w:instrText>
            </w:r>
            <w:r>
              <w:rPr>
                <w:webHidden/>
              </w:rPr>
            </w:r>
            <w:r>
              <w:rPr>
                <w:webHidden/>
              </w:rPr>
              <w:fldChar w:fldCharType="separate"/>
            </w:r>
            <w:r>
              <w:rPr>
                <w:webHidden/>
              </w:rPr>
              <w:t>8</w:t>
            </w:r>
            <w:r>
              <w:rPr>
                <w:webHidden/>
              </w:rPr>
              <w:fldChar w:fldCharType="end"/>
            </w:r>
          </w:hyperlink>
        </w:p>
        <w:p w14:paraId="72D027A3" w14:textId="49E5DDC5"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76" w:history="1">
            <w:r w:rsidRPr="00533C28">
              <w:rPr>
                <w:rStyle w:val="Hyperlink"/>
                <w:kern w:val="36"/>
              </w:rPr>
              <w:t>3.</w:t>
            </w:r>
            <w:r>
              <w:rPr>
                <w:rFonts w:eastAsiaTheme="minorEastAsia" w:cstheme="minorBidi"/>
                <w:b w:val="0"/>
                <w:color w:val="auto"/>
                <w:kern w:val="2"/>
                <w:szCs w:val="24"/>
                <w14:ligatures w14:val="standardContextual"/>
              </w:rPr>
              <w:tab/>
            </w:r>
            <w:r w:rsidRPr="00533C28">
              <w:rPr>
                <w:rStyle w:val="Hyperlink"/>
              </w:rPr>
              <w:t>Pricing context and development</w:t>
            </w:r>
            <w:r>
              <w:rPr>
                <w:webHidden/>
              </w:rPr>
              <w:tab/>
            </w:r>
            <w:r>
              <w:rPr>
                <w:webHidden/>
              </w:rPr>
              <w:fldChar w:fldCharType="begin"/>
            </w:r>
            <w:r>
              <w:rPr>
                <w:webHidden/>
              </w:rPr>
              <w:instrText xml:space="preserve"> PAGEREF _Toc244072876 \h </w:instrText>
            </w:r>
            <w:r>
              <w:rPr>
                <w:webHidden/>
              </w:rPr>
            </w:r>
            <w:r>
              <w:rPr>
                <w:webHidden/>
              </w:rPr>
              <w:fldChar w:fldCharType="separate"/>
            </w:r>
            <w:r>
              <w:rPr>
                <w:webHidden/>
              </w:rPr>
              <w:t>11</w:t>
            </w:r>
            <w:r>
              <w:rPr>
                <w:webHidden/>
              </w:rPr>
              <w:fldChar w:fldCharType="end"/>
            </w:r>
          </w:hyperlink>
        </w:p>
        <w:p w14:paraId="368D84F0" w14:textId="61A89F28"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77" w:history="1">
            <w:r w:rsidRPr="00533C28">
              <w:rPr>
                <w:rStyle w:val="Hyperlink"/>
              </w:rPr>
              <w:t>4.</w:t>
            </w:r>
            <w:r>
              <w:rPr>
                <w:rFonts w:eastAsiaTheme="minorEastAsia" w:cstheme="minorBidi"/>
                <w:b w:val="0"/>
                <w:color w:val="auto"/>
                <w:kern w:val="2"/>
                <w:szCs w:val="24"/>
                <w14:ligatures w14:val="standardContextual"/>
              </w:rPr>
              <w:tab/>
            </w:r>
            <w:r w:rsidRPr="00533C28">
              <w:rPr>
                <w:rStyle w:val="Hyperlink"/>
              </w:rPr>
              <w:t>Framework requirements</w:t>
            </w:r>
            <w:r>
              <w:rPr>
                <w:webHidden/>
              </w:rPr>
              <w:tab/>
            </w:r>
            <w:r>
              <w:rPr>
                <w:webHidden/>
              </w:rPr>
              <w:fldChar w:fldCharType="begin"/>
            </w:r>
            <w:r>
              <w:rPr>
                <w:webHidden/>
              </w:rPr>
              <w:instrText xml:space="preserve"> PAGEREF _Toc244072877 \h </w:instrText>
            </w:r>
            <w:r>
              <w:rPr>
                <w:webHidden/>
              </w:rPr>
            </w:r>
            <w:r>
              <w:rPr>
                <w:webHidden/>
              </w:rPr>
              <w:fldChar w:fldCharType="separate"/>
            </w:r>
            <w:r>
              <w:rPr>
                <w:webHidden/>
              </w:rPr>
              <w:t>14</w:t>
            </w:r>
            <w:r>
              <w:rPr>
                <w:webHidden/>
              </w:rPr>
              <w:fldChar w:fldCharType="end"/>
            </w:r>
          </w:hyperlink>
        </w:p>
        <w:p w14:paraId="6E31B43D" w14:textId="0B663F2F"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78" w:history="1">
            <w:r w:rsidRPr="00533C28">
              <w:rPr>
                <w:rStyle w:val="Hyperlink"/>
              </w:rPr>
              <w:t>5.</w:t>
            </w:r>
            <w:r>
              <w:rPr>
                <w:rFonts w:eastAsiaTheme="minorEastAsia" w:cstheme="minorBidi"/>
                <w:b w:val="0"/>
                <w:color w:val="auto"/>
                <w:kern w:val="2"/>
                <w:szCs w:val="24"/>
                <w14:ligatures w14:val="standardContextual"/>
              </w:rPr>
              <w:tab/>
            </w:r>
            <w:r w:rsidRPr="00533C28">
              <w:rPr>
                <w:rStyle w:val="Hyperlink"/>
              </w:rPr>
              <w:t>Pricing advice objective</w:t>
            </w:r>
            <w:r>
              <w:rPr>
                <w:webHidden/>
              </w:rPr>
              <w:tab/>
            </w:r>
            <w:r>
              <w:rPr>
                <w:webHidden/>
              </w:rPr>
              <w:fldChar w:fldCharType="begin"/>
            </w:r>
            <w:r>
              <w:rPr>
                <w:webHidden/>
              </w:rPr>
              <w:instrText xml:space="preserve"> PAGEREF _Toc244072878 \h </w:instrText>
            </w:r>
            <w:r>
              <w:rPr>
                <w:webHidden/>
              </w:rPr>
            </w:r>
            <w:r>
              <w:rPr>
                <w:webHidden/>
              </w:rPr>
              <w:fldChar w:fldCharType="separate"/>
            </w:r>
            <w:r>
              <w:rPr>
                <w:webHidden/>
              </w:rPr>
              <w:t>14</w:t>
            </w:r>
            <w:r>
              <w:rPr>
                <w:webHidden/>
              </w:rPr>
              <w:fldChar w:fldCharType="end"/>
            </w:r>
          </w:hyperlink>
        </w:p>
        <w:p w14:paraId="03DC8C30" w14:textId="50AE2B7F"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79" w:history="1">
            <w:r w:rsidRPr="00533C28">
              <w:rPr>
                <w:rStyle w:val="Hyperlink"/>
                <w:kern w:val="36"/>
              </w:rPr>
              <w:t>6.</w:t>
            </w:r>
            <w:r>
              <w:rPr>
                <w:rFonts w:eastAsiaTheme="minorEastAsia" w:cstheme="minorBidi"/>
                <w:b w:val="0"/>
                <w:color w:val="auto"/>
                <w:kern w:val="2"/>
                <w:szCs w:val="24"/>
                <w14:ligatures w14:val="standardContextual"/>
              </w:rPr>
              <w:tab/>
            </w:r>
            <w:r w:rsidRPr="00533C28">
              <w:rPr>
                <w:rStyle w:val="Hyperlink"/>
              </w:rPr>
              <w:t>Costing and Pricing principles</w:t>
            </w:r>
            <w:r>
              <w:rPr>
                <w:webHidden/>
              </w:rPr>
              <w:tab/>
            </w:r>
            <w:r>
              <w:rPr>
                <w:webHidden/>
              </w:rPr>
              <w:fldChar w:fldCharType="begin"/>
            </w:r>
            <w:r>
              <w:rPr>
                <w:webHidden/>
              </w:rPr>
              <w:instrText xml:space="preserve"> PAGEREF _Toc244072879 \h </w:instrText>
            </w:r>
            <w:r>
              <w:rPr>
                <w:webHidden/>
              </w:rPr>
            </w:r>
            <w:r>
              <w:rPr>
                <w:webHidden/>
              </w:rPr>
              <w:fldChar w:fldCharType="separate"/>
            </w:r>
            <w:r>
              <w:rPr>
                <w:webHidden/>
              </w:rPr>
              <w:t>15</w:t>
            </w:r>
            <w:r>
              <w:rPr>
                <w:webHidden/>
              </w:rPr>
              <w:fldChar w:fldCharType="end"/>
            </w:r>
          </w:hyperlink>
        </w:p>
        <w:p w14:paraId="3EFAC303" w14:textId="369A3240"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80" w:history="1">
            <w:r w:rsidRPr="00533C28">
              <w:rPr>
                <w:rStyle w:val="Hyperlink"/>
                <w:kern w:val="36"/>
              </w:rPr>
              <w:t>7.</w:t>
            </w:r>
            <w:r>
              <w:rPr>
                <w:rFonts w:eastAsiaTheme="minorEastAsia" w:cstheme="minorBidi"/>
                <w:b w:val="0"/>
                <w:color w:val="auto"/>
                <w:kern w:val="2"/>
                <w:szCs w:val="24"/>
                <w14:ligatures w14:val="standardContextual"/>
              </w:rPr>
              <w:tab/>
            </w:r>
            <w:r w:rsidRPr="00533C28">
              <w:rPr>
                <w:rStyle w:val="Hyperlink"/>
              </w:rPr>
              <w:t>Costing and Pricing interaction</w:t>
            </w:r>
            <w:r>
              <w:rPr>
                <w:webHidden/>
              </w:rPr>
              <w:tab/>
            </w:r>
            <w:r>
              <w:rPr>
                <w:webHidden/>
              </w:rPr>
              <w:fldChar w:fldCharType="begin"/>
            </w:r>
            <w:r>
              <w:rPr>
                <w:webHidden/>
              </w:rPr>
              <w:instrText xml:space="preserve"> PAGEREF _Toc244072880 \h </w:instrText>
            </w:r>
            <w:r>
              <w:rPr>
                <w:webHidden/>
              </w:rPr>
            </w:r>
            <w:r>
              <w:rPr>
                <w:webHidden/>
              </w:rPr>
              <w:fldChar w:fldCharType="separate"/>
            </w:r>
            <w:r>
              <w:rPr>
                <w:webHidden/>
              </w:rPr>
              <w:t>16</w:t>
            </w:r>
            <w:r>
              <w:rPr>
                <w:webHidden/>
              </w:rPr>
              <w:fldChar w:fldCharType="end"/>
            </w:r>
          </w:hyperlink>
        </w:p>
        <w:p w14:paraId="35181F0F" w14:textId="4829F35C"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81" w:history="1">
            <w:r w:rsidRPr="00533C28">
              <w:rPr>
                <w:rStyle w:val="Hyperlink"/>
                <w:kern w:val="36"/>
              </w:rPr>
              <w:t>8.</w:t>
            </w:r>
            <w:r>
              <w:rPr>
                <w:rFonts w:eastAsiaTheme="minorEastAsia" w:cstheme="minorBidi"/>
                <w:b w:val="0"/>
                <w:color w:val="auto"/>
                <w:kern w:val="2"/>
                <w:szCs w:val="24"/>
                <w14:ligatures w14:val="standardContextual"/>
              </w:rPr>
              <w:tab/>
            </w:r>
            <w:r w:rsidRPr="00533C28">
              <w:rPr>
                <w:rStyle w:val="Hyperlink"/>
              </w:rPr>
              <w:t>Costing and Pricing methodology</w:t>
            </w:r>
            <w:r>
              <w:rPr>
                <w:webHidden/>
              </w:rPr>
              <w:tab/>
            </w:r>
            <w:r>
              <w:rPr>
                <w:webHidden/>
              </w:rPr>
              <w:fldChar w:fldCharType="begin"/>
            </w:r>
            <w:r>
              <w:rPr>
                <w:webHidden/>
              </w:rPr>
              <w:instrText xml:space="preserve"> PAGEREF _Toc244072881 \h </w:instrText>
            </w:r>
            <w:r>
              <w:rPr>
                <w:webHidden/>
              </w:rPr>
            </w:r>
            <w:r>
              <w:rPr>
                <w:webHidden/>
              </w:rPr>
              <w:fldChar w:fldCharType="separate"/>
            </w:r>
            <w:r>
              <w:rPr>
                <w:webHidden/>
              </w:rPr>
              <w:t>19</w:t>
            </w:r>
            <w:r>
              <w:rPr>
                <w:webHidden/>
              </w:rPr>
              <w:fldChar w:fldCharType="end"/>
            </w:r>
          </w:hyperlink>
        </w:p>
        <w:p w14:paraId="796C5B89" w14:textId="5566E85B" w:rsidR="00A34358" w:rsidRDefault="00A34358">
          <w:pPr>
            <w:pStyle w:val="TOC1"/>
            <w:tabs>
              <w:tab w:val="left" w:pos="851"/>
            </w:tabs>
            <w:rPr>
              <w:rFonts w:eastAsiaTheme="minorEastAsia" w:cstheme="minorBidi"/>
              <w:b w:val="0"/>
              <w:color w:val="auto"/>
              <w:kern w:val="2"/>
              <w:szCs w:val="24"/>
              <w14:ligatures w14:val="standardContextual"/>
            </w:rPr>
          </w:pPr>
          <w:hyperlink w:anchor="_Toc244072882" w:history="1">
            <w:r w:rsidRPr="00533C28">
              <w:rPr>
                <w:rStyle w:val="Hyperlink"/>
                <w:kern w:val="36"/>
              </w:rPr>
              <w:t>9.</w:t>
            </w:r>
            <w:r>
              <w:rPr>
                <w:rFonts w:eastAsiaTheme="minorEastAsia" w:cstheme="minorBidi"/>
                <w:b w:val="0"/>
                <w:color w:val="auto"/>
                <w:kern w:val="2"/>
                <w:szCs w:val="24"/>
                <w14:ligatures w14:val="standardContextual"/>
              </w:rPr>
              <w:tab/>
            </w:r>
            <w:r w:rsidRPr="00533C28">
              <w:rPr>
                <w:rStyle w:val="Hyperlink"/>
              </w:rPr>
              <w:t>Proposed pathway and timeline</w:t>
            </w:r>
            <w:r>
              <w:rPr>
                <w:webHidden/>
              </w:rPr>
              <w:tab/>
            </w:r>
            <w:r>
              <w:rPr>
                <w:webHidden/>
              </w:rPr>
              <w:fldChar w:fldCharType="begin"/>
            </w:r>
            <w:r>
              <w:rPr>
                <w:webHidden/>
              </w:rPr>
              <w:instrText xml:space="preserve"> PAGEREF _Toc244072882 \h </w:instrText>
            </w:r>
            <w:r>
              <w:rPr>
                <w:webHidden/>
              </w:rPr>
            </w:r>
            <w:r>
              <w:rPr>
                <w:webHidden/>
              </w:rPr>
              <w:fldChar w:fldCharType="separate"/>
            </w:r>
            <w:r>
              <w:rPr>
                <w:webHidden/>
              </w:rPr>
              <w:t>24</w:t>
            </w:r>
            <w:r>
              <w:rPr>
                <w:webHidden/>
              </w:rPr>
              <w:fldChar w:fldCharType="end"/>
            </w:r>
          </w:hyperlink>
        </w:p>
        <w:p w14:paraId="4D0095D9" w14:textId="04A316B1" w:rsidR="00A34358" w:rsidRDefault="00A34358">
          <w:pPr>
            <w:pStyle w:val="TOC1"/>
            <w:rPr>
              <w:rFonts w:eastAsiaTheme="minorEastAsia" w:cstheme="minorBidi"/>
              <w:b w:val="0"/>
              <w:color w:val="auto"/>
              <w:kern w:val="2"/>
              <w:szCs w:val="24"/>
              <w14:ligatures w14:val="standardContextual"/>
            </w:rPr>
          </w:pPr>
          <w:hyperlink w:anchor="_Toc244072883" w:history="1">
            <w:r w:rsidRPr="00533C28">
              <w:rPr>
                <w:rStyle w:val="Hyperlink"/>
              </w:rPr>
              <w:t>Appendix 1: Key terms</w:t>
            </w:r>
            <w:r>
              <w:rPr>
                <w:webHidden/>
              </w:rPr>
              <w:tab/>
            </w:r>
            <w:r>
              <w:rPr>
                <w:webHidden/>
              </w:rPr>
              <w:fldChar w:fldCharType="begin"/>
            </w:r>
            <w:r>
              <w:rPr>
                <w:webHidden/>
              </w:rPr>
              <w:instrText xml:space="preserve"> PAGEREF _Toc244072883 \h </w:instrText>
            </w:r>
            <w:r>
              <w:rPr>
                <w:webHidden/>
              </w:rPr>
            </w:r>
            <w:r>
              <w:rPr>
                <w:webHidden/>
              </w:rPr>
              <w:fldChar w:fldCharType="separate"/>
            </w:r>
            <w:r>
              <w:rPr>
                <w:webHidden/>
              </w:rPr>
              <w:t>26</w:t>
            </w:r>
            <w:r>
              <w:rPr>
                <w:webHidden/>
              </w:rPr>
              <w:fldChar w:fldCharType="end"/>
            </w:r>
          </w:hyperlink>
        </w:p>
        <w:p w14:paraId="786421FE" w14:textId="26B3031A" w:rsidR="00ED7C1F" w:rsidRPr="00F07605" w:rsidRDefault="00752711">
          <w:r w:rsidRPr="00F07605">
            <w:rPr>
              <w:noProof/>
              <w:sz w:val="24"/>
            </w:rPr>
            <w:fldChar w:fldCharType="end"/>
          </w:r>
        </w:p>
      </w:sdtContent>
    </w:sdt>
    <w:p w14:paraId="556AEA7A" w14:textId="77777777" w:rsidR="00F10EE5" w:rsidRPr="00F07605" w:rsidRDefault="00F10EE5"/>
    <w:p w14:paraId="30B298DC" w14:textId="288B949F" w:rsidR="00CC6699" w:rsidRPr="00F07605" w:rsidRDefault="00CE234F" w:rsidP="00CC6699">
      <w:pPr>
        <w:pBdr>
          <w:top w:val="single" w:sz="24" w:space="8" w:color="103A36" w:themeColor="accent1"/>
          <w:bottom w:val="single" w:sz="24" w:space="8" w:color="103A36" w:themeColor="accent1"/>
        </w:pBdr>
        <w:spacing w:after="0"/>
        <w:rPr>
          <w:i/>
          <w:color w:val="103A36" w:themeColor="accent1"/>
          <w:sz w:val="24"/>
          <w:szCs w:val="24"/>
        </w:rPr>
      </w:pPr>
      <w:r w:rsidRPr="00CE234F">
        <w:rPr>
          <w:i/>
          <w:color w:val="103A36" w:themeColor="accent1"/>
          <w:sz w:val="24"/>
          <w:szCs w:val="24"/>
        </w:rPr>
        <w:t>This discussion paper outlines the proposed structure of the Australian Tertiary Education Commission</w:t>
      </w:r>
      <w:r w:rsidR="0014483B">
        <w:rPr>
          <w:i/>
          <w:color w:val="103A36" w:themeColor="accent1"/>
          <w:sz w:val="24"/>
          <w:szCs w:val="24"/>
        </w:rPr>
        <w:t>’s</w:t>
      </w:r>
      <w:r w:rsidRPr="00CE234F">
        <w:rPr>
          <w:i/>
          <w:color w:val="103A36" w:themeColor="accent1"/>
          <w:sz w:val="24"/>
          <w:szCs w:val="24"/>
        </w:rPr>
        <w:t xml:space="preserve"> (</w:t>
      </w:r>
      <w:r>
        <w:rPr>
          <w:i/>
          <w:color w:val="103A36" w:themeColor="accent1"/>
          <w:sz w:val="24"/>
          <w:szCs w:val="24"/>
        </w:rPr>
        <w:t xml:space="preserve">the </w:t>
      </w:r>
      <w:r w:rsidRPr="00CE234F">
        <w:rPr>
          <w:i/>
          <w:color w:val="103A36" w:themeColor="accent1"/>
          <w:sz w:val="24"/>
          <w:szCs w:val="24"/>
        </w:rPr>
        <w:t>ATEC</w:t>
      </w:r>
      <w:r w:rsidR="0014483B">
        <w:rPr>
          <w:i/>
          <w:color w:val="103A36" w:themeColor="accent1"/>
          <w:sz w:val="24"/>
          <w:szCs w:val="24"/>
        </w:rPr>
        <w:t>’s</w:t>
      </w:r>
      <w:r w:rsidRPr="00CE234F">
        <w:rPr>
          <w:i/>
          <w:color w:val="103A36" w:themeColor="accent1"/>
          <w:sz w:val="24"/>
          <w:szCs w:val="24"/>
        </w:rPr>
        <w:t>) Costing and Pricing Framework</w:t>
      </w:r>
      <w:r w:rsidR="008C17FC">
        <w:rPr>
          <w:i/>
          <w:color w:val="103A36" w:themeColor="accent1"/>
          <w:sz w:val="24"/>
          <w:szCs w:val="24"/>
        </w:rPr>
        <w:t xml:space="preserve"> </w:t>
      </w:r>
      <w:r w:rsidRPr="00CE234F">
        <w:rPr>
          <w:i/>
          <w:color w:val="103A36" w:themeColor="accent1"/>
          <w:sz w:val="24"/>
          <w:szCs w:val="24"/>
        </w:rPr>
        <w:t>for Commonwealth supported places in universities. Th</w:t>
      </w:r>
      <w:r>
        <w:rPr>
          <w:i/>
          <w:color w:val="103A36" w:themeColor="accent1"/>
          <w:sz w:val="24"/>
          <w:szCs w:val="24"/>
        </w:rPr>
        <w:t>is</w:t>
      </w:r>
      <w:r w:rsidRPr="00CE234F">
        <w:rPr>
          <w:i/>
          <w:color w:val="103A36" w:themeColor="accent1"/>
          <w:sz w:val="24"/>
          <w:szCs w:val="24"/>
        </w:rPr>
        <w:t xml:space="preserve"> Framework will guide how the ATEC develops evidence-based costing and pricing advice to Government</w:t>
      </w:r>
      <w:r w:rsidR="008C17FC">
        <w:rPr>
          <w:i/>
          <w:color w:val="103A36" w:themeColor="accent1"/>
          <w:sz w:val="24"/>
          <w:szCs w:val="24"/>
        </w:rPr>
        <w:t>.</w:t>
      </w:r>
      <w:r w:rsidR="00F72E96">
        <w:rPr>
          <w:i/>
          <w:color w:val="103A36" w:themeColor="accent1"/>
          <w:sz w:val="24"/>
          <w:szCs w:val="24"/>
        </w:rPr>
        <w:t xml:space="preserve"> </w:t>
      </w:r>
      <w:r w:rsidR="008C17FC">
        <w:rPr>
          <w:i/>
          <w:color w:val="103A36" w:themeColor="accent1"/>
          <w:sz w:val="24"/>
          <w:szCs w:val="24"/>
        </w:rPr>
        <w:t>The Framework</w:t>
      </w:r>
      <w:r w:rsidR="00F72E96">
        <w:rPr>
          <w:i/>
          <w:color w:val="103A36" w:themeColor="accent1"/>
          <w:sz w:val="24"/>
          <w:szCs w:val="24"/>
        </w:rPr>
        <w:t xml:space="preserve"> </w:t>
      </w:r>
      <w:r w:rsidRPr="00CE234F">
        <w:rPr>
          <w:i/>
          <w:color w:val="103A36" w:themeColor="accent1"/>
          <w:sz w:val="24"/>
          <w:szCs w:val="24"/>
        </w:rPr>
        <w:t xml:space="preserve">forms part of the ATEC's iterative approach to developing its costing and pricing methodology and informing future advice on higher education </w:t>
      </w:r>
      <w:r w:rsidR="00143C6A">
        <w:rPr>
          <w:i/>
          <w:color w:val="103A36" w:themeColor="accent1"/>
          <w:sz w:val="24"/>
          <w:szCs w:val="24"/>
        </w:rPr>
        <w:t>pricing</w:t>
      </w:r>
      <w:r w:rsidR="00764769" w:rsidRPr="00764769">
        <w:rPr>
          <w:i/>
          <w:color w:val="103A36" w:themeColor="accent1"/>
          <w:sz w:val="24"/>
          <w:szCs w:val="24"/>
        </w:rPr>
        <w:t>.</w:t>
      </w:r>
    </w:p>
    <w:p w14:paraId="7BA14906" w14:textId="01786DE4" w:rsidR="006C252B" w:rsidRPr="00F07605" w:rsidRDefault="006C252B" w:rsidP="00CC6699">
      <w:pPr>
        <w:pBdr>
          <w:top w:val="single" w:sz="24" w:space="8" w:color="103A36" w:themeColor="accent1"/>
          <w:bottom w:val="single" w:sz="24" w:space="8" w:color="103A36" w:themeColor="accent1"/>
        </w:pBdr>
        <w:spacing w:after="0"/>
        <w:rPr>
          <w:i/>
          <w:color w:val="103A36" w:themeColor="accent1"/>
          <w:sz w:val="24"/>
          <w:szCs w:val="24"/>
        </w:rPr>
      </w:pPr>
      <w:r w:rsidRPr="00F07605">
        <w:rPr>
          <w:i/>
          <w:iCs/>
          <w:color w:val="103A36" w:themeColor="accent1"/>
          <w:sz w:val="24"/>
        </w:rPr>
        <w:t xml:space="preserve">This </w:t>
      </w:r>
      <w:r w:rsidR="000E619C">
        <w:rPr>
          <w:i/>
          <w:iCs/>
          <w:color w:val="103A36" w:themeColor="accent1"/>
          <w:sz w:val="24"/>
        </w:rPr>
        <w:t xml:space="preserve">discussion paper </w:t>
      </w:r>
      <w:r w:rsidRPr="00F07605">
        <w:rPr>
          <w:i/>
          <w:iCs/>
          <w:color w:val="103A36" w:themeColor="accent1"/>
          <w:sz w:val="24"/>
        </w:rPr>
        <w:t>is about how the ATEC will develop evidence-based pricing advice. It does not determine final funding amounts, student contribution settings, the Commonwealth-student cost-sharing proportions or implementation timings.</w:t>
      </w:r>
    </w:p>
    <w:p w14:paraId="7E2D732D" w14:textId="7A47BAC6" w:rsidR="00C60827" w:rsidRPr="00F07605" w:rsidRDefault="006906E0" w:rsidP="00CC6699">
      <w:pPr>
        <w:pBdr>
          <w:top w:val="single" w:sz="24" w:space="8" w:color="103A36" w:themeColor="accent1"/>
          <w:bottom w:val="single" w:sz="24" w:space="8" w:color="103A36" w:themeColor="accent1"/>
        </w:pBdr>
        <w:spacing w:after="0"/>
        <w:rPr>
          <w:i/>
          <w:iCs/>
          <w:color w:val="103A36" w:themeColor="accent1"/>
          <w:sz w:val="24"/>
        </w:rPr>
      </w:pPr>
      <w:r w:rsidRPr="006906E0">
        <w:rPr>
          <w:i/>
          <w:color w:val="103A36" w:themeColor="accent1"/>
          <w:sz w:val="24"/>
          <w:szCs w:val="24"/>
        </w:rPr>
        <w:t xml:space="preserve">Wording </w:t>
      </w:r>
      <w:r w:rsidR="002A2306">
        <w:rPr>
          <w:i/>
          <w:color w:val="103A36" w:themeColor="accent1"/>
          <w:sz w:val="24"/>
          <w:szCs w:val="24"/>
        </w:rPr>
        <w:t>and parts</w:t>
      </w:r>
      <w:r w:rsidRPr="006906E0">
        <w:rPr>
          <w:i/>
          <w:color w:val="103A36" w:themeColor="accent1"/>
          <w:sz w:val="24"/>
          <w:szCs w:val="24"/>
        </w:rPr>
        <w:t xml:space="preserve"> from this document may be incorporated into the ATEC</w:t>
      </w:r>
      <w:r w:rsidR="0014483B">
        <w:rPr>
          <w:i/>
          <w:color w:val="103A36" w:themeColor="accent1"/>
          <w:sz w:val="24"/>
          <w:szCs w:val="24"/>
        </w:rPr>
        <w:t>’s final</w:t>
      </w:r>
      <w:r w:rsidRPr="006906E0">
        <w:rPr>
          <w:i/>
          <w:color w:val="103A36" w:themeColor="accent1"/>
          <w:sz w:val="24"/>
          <w:szCs w:val="24"/>
        </w:rPr>
        <w:t xml:space="preserve"> Costing and Pricing Framework, which will guide the ATEC's development of costing and pricing advice to Government</w:t>
      </w:r>
      <w:r w:rsidR="00951F73">
        <w:rPr>
          <w:i/>
          <w:color w:val="103A36" w:themeColor="accent1"/>
          <w:sz w:val="24"/>
          <w:szCs w:val="24"/>
        </w:rPr>
        <w:t>.</w:t>
      </w:r>
      <w:r w:rsidR="002A2306">
        <w:rPr>
          <w:i/>
          <w:color w:val="103A36" w:themeColor="accent1"/>
          <w:sz w:val="24"/>
          <w:szCs w:val="24"/>
        </w:rPr>
        <w:t xml:space="preserve"> </w:t>
      </w:r>
      <w:r w:rsidR="00CC6699" w:rsidRPr="00F07605">
        <w:rPr>
          <w:i/>
          <w:color w:val="103A36" w:themeColor="accent1"/>
          <w:sz w:val="24"/>
          <w:szCs w:val="24"/>
        </w:rPr>
        <w:t xml:space="preserve">No part of the document has been endorsed by the </w:t>
      </w:r>
      <w:r w:rsidR="00985DE8">
        <w:rPr>
          <w:i/>
          <w:color w:val="103A36" w:themeColor="accent1"/>
          <w:sz w:val="24"/>
          <w:szCs w:val="24"/>
        </w:rPr>
        <w:t xml:space="preserve">Australian </w:t>
      </w:r>
      <w:r w:rsidR="00A368BB" w:rsidRPr="00F07605">
        <w:rPr>
          <w:i/>
          <w:color w:val="103A36" w:themeColor="accent1"/>
          <w:sz w:val="24"/>
          <w:szCs w:val="24"/>
        </w:rPr>
        <w:t>Government</w:t>
      </w:r>
      <w:r w:rsidR="00CC6699" w:rsidRPr="00F07605">
        <w:rPr>
          <w:i/>
          <w:color w:val="103A36" w:themeColor="accent1"/>
          <w:sz w:val="24"/>
          <w:szCs w:val="24"/>
        </w:rPr>
        <w:t>.</w:t>
      </w:r>
    </w:p>
    <w:p w14:paraId="282A5941" w14:textId="77777777" w:rsidR="00204B40" w:rsidRPr="00F07605" w:rsidRDefault="00204B40" w:rsidP="00B94014">
      <w:pPr>
        <w:pStyle w:val="Heading1"/>
        <w:rPr>
          <w:kern w:val="36"/>
          <w:szCs w:val="48"/>
          <w14:ligatures w14:val="standardContextual"/>
        </w:rPr>
      </w:pPr>
      <w:bookmarkStart w:id="0" w:name="_Toc244072874"/>
      <w:bookmarkStart w:id="1" w:name="_Toc239680536"/>
      <w:r w:rsidRPr="00F07605">
        <w:lastRenderedPageBreak/>
        <w:t>Executive summary</w:t>
      </w:r>
      <w:bookmarkEnd w:id="0"/>
    </w:p>
    <w:p w14:paraId="74FB1EC0" w14:textId="03B2C735" w:rsidR="004223DD" w:rsidRPr="00F07605" w:rsidRDefault="004223DD">
      <w:pPr>
        <w:pStyle w:val="Heading2"/>
        <w:rPr>
          <w:kern w:val="2"/>
          <w:szCs w:val="32"/>
          <w14:ligatures w14:val="standardContextual"/>
        </w:rPr>
      </w:pPr>
      <w:r w:rsidRPr="00F07605">
        <w:t xml:space="preserve">Purpose of this </w:t>
      </w:r>
      <w:r w:rsidR="007A5CDF" w:rsidRPr="00F07605">
        <w:t xml:space="preserve">discussion </w:t>
      </w:r>
      <w:r w:rsidRPr="00F07605">
        <w:t>paper</w:t>
      </w:r>
    </w:p>
    <w:p w14:paraId="22CFD8F5" w14:textId="26986E86" w:rsidR="00CE7E17" w:rsidRDefault="00C80DBC" w:rsidP="00F36221">
      <w:pPr>
        <w:spacing w:before="0" w:line="278" w:lineRule="auto"/>
      </w:pPr>
      <w:r w:rsidRPr="00C80DBC">
        <w:t xml:space="preserve">The ATEC </w:t>
      </w:r>
      <w:r w:rsidR="005E3421">
        <w:t xml:space="preserve">is developing </w:t>
      </w:r>
      <w:r w:rsidR="00B92193">
        <w:t>it</w:t>
      </w:r>
      <w:r w:rsidR="00495CEB">
        <w:t>s</w:t>
      </w:r>
      <w:r w:rsidR="005E3421">
        <w:t xml:space="preserve"> </w:t>
      </w:r>
      <w:r w:rsidRPr="00C80DBC">
        <w:t>Costing and Pricing Framework for Commonwealth supported places (CSPs) in universities (the Framework)</w:t>
      </w:r>
      <w:r w:rsidR="00B35602">
        <w:t>. T</w:t>
      </w:r>
      <w:r w:rsidR="00131368">
        <w:t>his work</w:t>
      </w:r>
      <w:r w:rsidR="19AE8EDF">
        <w:t xml:space="preserve"> </w:t>
      </w:r>
      <w:r w:rsidR="211F0973">
        <w:t xml:space="preserve">will </w:t>
      </w:r>
      <w:r w:rsidR="00D26FB4">
        <w:t xml:space="preserve">inform </w:t>
      </w:r>
      <w:r w:rsidR="211F0973">
        <w:t xml:space="preserve">the </w:t>
      </w:r>
      <w:r w:rsidR="37790B8F">
        <w:t xml:space="preserve">provision </w:t>
      </w:r>
      <w:r w:rsidR="211F0973">
        <w:t>of</w:t>
      </w:r>
      <w:r w:rsidR="6CF86EBA">
        <w:t xml:space="preserve"> evidence-based </w:t>
      </w:r>
      <w:r w:rsidR="06071E59">
        <w:t xml:space="preserve">costing and </w:t>
      </w:r>
      <w:r w:rsidR="6CF86EBA">
        <w:t xml:space="preserve">pricing advice </w:t>
      </w:r>
      <w:r w:rsidR="00E72752">
        <w:t xml:space="preserve">from the ATEC </w:t>
      </w:r>
      <w:r w:rsidR="152EFBC8">
        <w:t xml:space="preserve">to </w:t>
      </w:r>
      <w:r w:rsidR="3A2934D2">
        <w:t xml:space="preserve">Government </w:t>
      </w:r>
      <w:r w:rsidR="00523A9D">
        <w:t xml:space="preserve">on options to </w:t>
      </w:r>
      <w:r w:rsidR="152EFBC8">
        <w:t>establish a new way of funding</w:t>
      </w:r>
      <w:r w:rsidR="6CF86EBA">
        <w:t xml:space="preserve"> </w:t>
      </w:r>
      <w:r w:rsidR="0F1967A9">
        <w:t>CSPs</w:t>
      </w:r>
      <w:r w:rsidR="09322E07">
        <w:t xml:space="preserve"> in universities</w:t>
      </w:r>
      <w:r w:rsidR="6CF86EBA">
        <w:t>.</w:t>
      </w:r>
    </w:p>
    <w:p w14:paraId="1A2C88F3" w14:textId="08F0DE7E" w:rsidR="00F36781" w:rsidRDefault="00E56FBF" w:rsidP="00F36221">
      <w:pPr>
        <w:spacing w:before="0" w:line="278" w:lineRule="auto"/>
      </w:pPr>
      <w:r>
        <w:t>Th</w:t>
      </w:r>
      <w:r w:rsidR="00347969">
        <w:t xml:space="preserve">is discussion paper </w:t>
      </w:r>
      <w:r w:rsidR="00A330D7">
        <w:t xml:space="preserve">outlines </w:t>
      </w:r>
      <w:r w:rsidR="001B2D7C">
        <w:t>the</w:t>
      </w:r>
      <w:r w:rsidR="001B2D7C" w:rsidRPr="001B2D7C">
        <w:t xml:space="preserve"> </w:t>
      </w:r>
      <w:r w:rsidR="001B2D7C">
        <w:t>proposed objective</w:t>
      </w:r>
      <w:r w:rsidR="00E3354E">
        <w:t>s</w:t>
      </w:r>
      <w:r w:rsidR="001B2D7C">
        <w:t>, principles</w:t>
      </w:r>
      <w:r w:rsidR="00637104">
        <w:t>, scope</w:t>
      </w:r>
      <w:r w:rsidR="0078392F">
        <w:t xml:space="preserve"> and </w:t>
      </w:r>
      <w:r w:rsidR="001B2D7C">
        <w:t xml:space="preserve">methodology </w:t>
      </w:r>
      <w:r w:rsidR="00946E78">
        <w:t>that would form</w:t>
      </w:r>
      <w:r w:rsidR="00266EBB">
        <w:t xml:space="preserve"> </w:t>
      </w:r>
      <w:r w:rsidR="000B2832">
        <w:t>th</w:t>
      </w:r>
      <w:r w:rsidR="00551476">
        <w:t>e</w:t>
      </w:r>
      <w:r w:rsidR="000B2832">
        <w:t xml:space="preserve"> Framework, </w:t>
      </w:r>
      <w:r w:rsidR="00936F66">
        <w:t xml:space="preserve">including </w:t>
      </w:r>
      <w:r w:rsidR="00B53F92">
        <w:t>an</w:t>
      </w:r>
      <w:r w:rsidR="00936F66">
        <w:t xml:space="preserve"> approach</w:t>
      </w:r>
      <w:r w:rsidR="00DA78E7">
        <w:t xml:space="preserve"> to </w:t>
      </w:r>
      <w:r w:rsidR="00B53F92">
        <w:t>estimat</w:t>
      </w:r>
      <w:r w:rsidR="00C837F9">
        <w:t>e, for the first time, an</w:t>
      </w:r>
      <w:r w:rsidR="003D65CD">
        <w:t xml:space="preserve"> </w:t>
      </w:r>
      <w:r w:rsidR="00570062">
        <w:t>efficient cost of delivering teaching and supporting scholarship at Australian universities</w:t>
      </w:r>
      <w:r w:rsidR="00B53F92">
        <w:t>. To support this work</w:t>
      </w:r>
      <w:r w:rsidR="00AB52BE">
        <w:t xml:space="preserve">, </w:t>
      </w:r>
      <w:r w:rsidR="00C56C60">
        <w:t xml:space="preserve">the </w:t>
      </w:r>
      <w:r w:rsidR="00B53F92">
        <w:t>paper also proposes a</w:t>
      </w:r>
      <w:r w:rsidR="002879F8">
        <w:t xml:space="preserve"> new data collection, the Australian Universities Cost</w:t>
      </w:r>
      <w:r w:rsidR="00970B4D">
        <w:t>s</w:t>
      </w:r>
      <w:r w:rsidR="002879F8">
        <w:t xml:space="preserve"> Dataset</w:t>
      </w:r>
      <w:r w:rsidR="7FBD110C">
        <w:t xml:space="preserve"> </w:t>
      </w:r>
      <w:r w:rsidR="545B7C08">
        <w:t>(AUCD)</w:t>
      </w:r>
      <w:r w:rsidR="00F345FD">
        <w:t xml:space="preserve">, </w:t>
      </w:r>
      <w:r w:rsidR="00B53F92">
        <w:t>to provide the evidence</w:t>
      </w:r>
      <w:r w:rsidR="002D39A6">
        <w:t xml:space="preserve"> base for</w:t>
      </w:r>
      <w:r w:rsidR="00B514BC">
        <w:t xml:space="preserve"> efficient</w:t>
      </w:r>
      <w:r w:rsidR="002D39A6">
        <w:t>-</w:t>
      </w:r>
      <w:r w:rsidR="00B514BC">
        <w:t xml:space="preserve">cost </w:t>
      </w:r>
      <w:r w:rsidR="002D39A6">
        <w:t>estimation</w:t>
      </w:r>
      <w:r w:rsidR="00B514BC">
        <w:t>.</w:t>
      </w:r>
    </w:p>
    <w:p w14:paraId="31A7961B" w14:textId="40D4C8A5" w:rsidR="009A2647" w:rsidRDefault="009A2647" w:rsidP="009A2647">
      <w:pPr>
        <w:spacing w:before="0" w:line="278" w:lineRule="auto"/>
      </w:pPr>
      <w:r>
        <w:t>T</w:t>
      </w:r>
      <w:r w:rsidRPr="00463FDB">
        <w:t xml:space="preserve">he </w:t>
      </w:r>
      <w:r w:rsidR="00A125BE">
        <w:t xml:space="preserve">Working Group on </w:t>
      </w:r>
      <w:r w:rsidRPr="00463FDB">
        <w:t xml:space="preserve">Higher Education Costing and Pricing </w:t>
      </w:r>
      <w:r w:rsidR="00177E35">
        <w:t xml:space="preserve">(the Working Group) </w:t>
      </w:r>
      <w:r>
        <w:t xml:space="preserve">has supported </w:t>
      </w:r>
      <w:r w:rsidRPr="00463FDB">
        <w:t xml:space="preserve">the overall direction and </w:t>
      </w:r>
      <w:r>
        <w:t xml:space="preserve">identified </w:t>
      </w:r>
      <w:r w:rsidRPr="00463FDB">
        <w:t xml:space="preserve">principles </w:t>
      </w:r>
      <w:r>
        <w:t xml:space="preserve">for this work, which are </w:t>
      </w:r>
      <w:r w:rsidRPr="00463FDB">
        <w:t>outlined in the Working Group's interim report</w:t>
      </w:r>
      <w:r w:rsidR="000E3220">
        <w:rPr>
          <w:rStyle w:val="FootnoteReference"/>
        </w:rPr>
        <w:footnoteReference w:id="2"/>
      </w:r>
      <w:r w:rsidRPr="00463FDB">
        <w:t>.</w:t>
      </w:r>
    </w:p>
    <w:p w14:paraId="29F9FF6B" w14:textId="4D75FF5E" w:rsidR="00281FC4" w:rsidRPr="00463FDB" w:rsidRDefault="002F4D96" w:rsidP="00281FC4">
      <w:pPr>
        <w:spacing w:before="0" w:line="278" w:lineRule="auto"/>
      </w:pPr>
      <w:r w:rsidRPr="002F4D96">
        <w:t xml:space="preserve">The ATEC invites stakeholders to provide feedback and evidence on the proposed approach, the </w:t>
      </w:r>
      <w:r w:rsidR="0088255F">
        <w:t>associated</w:t>
      </w:r>
      <w:r w:rsidRPr="002F4D96">
        <w:t xml:space="preserve"> data collection </w:t>
      </w:r>
      <w:r w:rsidR="0031139D">
        <w:t>or</w:t>
      </w:r>
      <w:r w:rsidRPr="002F4D96">
        <w:t xml:space="preserve"> methodology and </w:t>
      </w:r>
      <w:r w:rsidR="0031139D">
        <w:t xml:space="preserve">any </w:t>
      </w:r>
      <w:r w:rsidRPr="002F4D96">
        <w:t>areas requiring further evidence or testing</w:t>
      </w:r>
      <w:r w:rsidR="0031139D">
        <w:t>.</w:t>
      </w:r>
      <w:r w:rsidR="00A05185">
        <w:t xml:space="preserve"> </w:t>
      </w:r>
      <w:r w:rsidR="00915631">
        <w:t>Consultation is intended to refine and strengthen the Framework</w:t>
      </w:r>
      <w:r w:rsidR="00281FC4" w:rsidRPr="00463FDB">
        <w:t xml:space="preserve"> rather than reconsider the </w:t>
      </w:r>
      <w:r w:rsidR="00177E35">
        <w:t>broader</w:t>
      </w:r>
      <w:r w:rsidR="00281FC4" w:rsidRPr="00463FDB">
        <w:t xml:space="preserve"> direction </w:t>
      </w:r>
      <w:r w:rsidR="007F3EF6">
        <w:t xml:space="preserve">set </w:t>
      </w:r>
      <w:r w:rsidR="00281FC4" w:rsidRPr="00463FDB">
        <w:t xml:space="preserve">through the Working </w:t>
      </w:r>
      <w:r w:rsidR="00177E35">
        <w:t>Group</w:t>
      </w:r>
      <w:r w:rsidR="00166C05">
        <w:t>’s</w:t>
      </w:r>
      <w:r w:rsidR="00281FC4" w:rsidRPr="00463FDB">
        <w:t xml:space="preserve"> deliberations.</w:t>
      </w:r>
    </w:p>
    <w:p w14:paraId="7DE5EA12" w14:textId="42D28520" w:rsidR="00EE7111" w:rsidRPr="00F07605" w:rsidRDefault="6F32AFDA" w:rsidP="1FA4C35C">
      <w:pPr>
        <w:spacing w:before="0" w:line="278" w:lineRule="auto"/>
      </w:pPr>
      <w:r>
        <w:t>C</w:t>
      </w:r>
      <w:r w:rsidR="7D47DF5A">
        <w:t xml:space="preserve">urrent </w:t>
      </w:r>
      <w:r w:rsidR="433DF96C">
        <w:t>funding</w:t>
      </w:r>
      <w:r w:rsidR="581CF748">
        <w:t xml:space="preserve"> </w:t>
      </w:r>
      <w:r w:rsidR="7D47DF5A">
        <w:t>arrangements</w:t>
      </w:r>
      <w:r w:rsidR="5AB10C98">
        <w:t xml:space="preserve"> outlined in the </w:t>
      </w:r>
      <w:r w:rsidR="5AB10C98" w:rsidRPr="1FA4C35C">
        <w:rPr>
          <w:i/>
          <w:iCs/>
        </w:rPr>
        <w:t>Higher Education</w:t>
      </w:r>
      <w:r w:rsidR="621B580F" w:rsidRPr="1FA4C35C">
        <w:rPr>
          <w:i/>
          <w:iCs/>
        </w:rPr>
        <w:t xml:space="preserve"> Support Act 2003 (HESA 2003)</w:t>
      </w:r>
      <w:r w:rsidR="7D47DF5A">
        <w:t xml:space="preserve"> provide </w:t>
      </w:r>
      <w:r w:rsidR="4FD741D7">
        <w:t>the</w:t>
      </w:r>
      <w:r w:rsidR="7D47DF5A">
        <w:t xml:space="preserve"> basis for </w:t>
      </w:r>
      <w:r w:rsidR="44CA4024">
        <w:t>government</w:t>
      </w:r>
      <w:r w:rsidR="7D47DF5A">
        <w:t xml:space="preserve"> funding</w:t>
      </w:r>
      <w:r w:rsidR="0F07FF44">
        <w:t xml:space="preserve"> </w:t>
      </w:r>
      <w:r w:rsidR="56DD614C">
        <w:t xml:space="preserve">of </w:t>
      </w:r>
      <w:r w:rsidR="2175031B">
        <w:t>CSPs</w:t>
      </w:r>
      <w:r w:rsidR="012F4EEB">
        <w:t xml:space="preserve">. However, </w:t>
      </w:r>
      <w:r w:rsidR="7D47DF5A">
        <w:t xml:space="preserve">there is currently no established mechanism for systematically </w:t>
      </w:r>
      <w:r w:rsidR="012F4EEB">
        <w:t xml:space="preserve">testing whether funding </w:t>
      </w:r>
      <w:r w:rsidR="6174A2D1">
        <w:t>amounts and</w:t>
      </w:r>
      <w:r w:rsidR="7FF08057">
        <w:t xml:space="preserve"> their</w:t>
      </w:r>
      <w:r w:rsidR="6174A2D1">
        <w:t xml:space="preserve"> </w:t>
      </w:r>
      <w:r w:rsidR="012F4EEB">
        <w:t xml:space="preserve">relativities reflect </w:t>
      </w:r>
      <w:r w:rsidR="7D47DF5A">
        <w:t>contemporary costs</w:t>
      </w:r>
      <w:r w:rsidR="6174A2D1">
        <w:t xml:space="preserve"> and delivery practices</w:t>
      </w:r>
      <w:r w:rsidR="7D47DF5A">
        <w:t>.</w:t>
      </w:r>
      <w:r w:rsidR="799CD360">
        <w:t xml:space="preserve"> Given the tight fiscal environment, </w:t>
      </w:r>
      <w:r w:rsidR="2A345A77">
        <w:t>i</w:t>
      </w:r>
      <w:r w:rsidR="0547F926">
        <w:t>t</w:t>
      </w:r>
      <w:r w:rsidR="1E5C7755">
        <w:t xml:space="preserve"> is particularly important </w:t>
      </w:r>
      <w:r w:rsidR="7D7082C5">
        <w:t xml:space="preserve">that the ATEC </w:t>
      </w:r>
      <w:r w:rsidR="6137C8E4">
        <w:t>understand</w:t>
      </w:r>
      <w:r w:rsidR="7D7082C5">
        <w:t>s</w:t>
      </w:r>
      <w:r w:rsidR="1EFA3F08">
        <w:t xml:space="preserve"> the efficient cost of delivering specific courses of study at </w:t>
      </w:r>
      <w:r w:rsidR="7AF85A1D">
        <w:t xml:space="preserve">the unit level, as well as </w:t>
      </w:r>
      <w:r w:rsidR="4205E063">
        <w:t xml:space="preserve">costs within </w:t>
      </w:r>
      <w:r w:rsidR="0D36EF7F">
        <w:t xml:space="preserve">institutions </w:t>
      </w:r>
      <w:r w:rsidR="1EFA3F08">
        <w:t xml:space="preserve">and across the higher education sector </w:t>
      </w:r>
      <w:r w:rsidR="7D7082C5">
        <w:t>before it can</w:t>
      </w:r>
      <w:r w:rsidR="75484B5B">
        <w:t xml:space="preserve"> deliver its pricing advice</w:t>
      </w:r>
      <w:r w:rsidR="1EFA3F08">
        <w:t>.</w:t>
      </w:r>
      <w:r w:rsidR="4205E063">
        <w:t xml:space="preserve"> </w:t>
      </w:r>
      <w:r w:rsidR="6174A2D1">
        <w:t xml:space="preserve">The Framework </w:t>
      </w:r>
      <w:r w:rsidR="7822CD24">
        <w:t xml:space="preserve">aims to establish a transparent, systematic and reviewable </w:t>
      </w:r>
      <w:r w:rsidR="3EA48D16">
        <w:t xml:space="preserve">structure </w:t>
      </w:r>
      <w:r w:rsidR="7822CD24">
        <w:t>for assessing efficient costs</w:t>
      </w:r>
      <w:r w:rsidR="697D63A8">
        <w:t xml:space="preserve"> </w:t>
      </w:r>
      <w:r w:rsidR="7822CD24">
        <w:t>and providing independent advice to Government.</w:t>
      </w:r>
      <w:r w:rsidR="614C5F87">
        <w:t xml:space="preserve"> </w:t>
      </w:r>
    </w:p>
    <w:p w14:paraId="0C8B3209" w14:textId="625E64A6" w:rsidR="00E372BA" w:rsidRPr="00F07605" w:rsidRDefault="00DE11E0" w:rsidP="00E372BA">
      <w:pPr>
        <w:pStyle w:val="Heading2"/>
        <w:rPr>
          <w:kern w:val="2"/>
          <w:szCs w:val="32"/>
          <w14:ligatures w14:val="standardContextual"/>
        </w:rPr>
      </w:pPr>
      <w:r>
        <w:t>Scope and role of the Framework</w:t>
      </w:r>
    </w:p>
    <w:p w14:paraId="530B370B" w14:textId="000AEEFC" w:rsidR="00881BC6" w:rsidRPr="00F07605" w:rsidRDefault="00E372BA" w:rsidP="00881BC6">
      <w:r w:rsidRPr="00F07605">
        <w:rPr>
          <w:rFonts w:ascii="Arial" w:hAnsi="Arial"/>
        </w:rPr>
        <w:t xml:space="preserve">The Framework </w:t>
      </w:r>
      <w:r w:rsidR="00DE11E0">
        <w:rPr>
          <w:rFonts w:ascii="Arial" w:hAnsi="Arial"/>
        </w:rPr>
        <w:t>describes</w:t>
      </w:r>
      <w:r w:rsidR="00970250">
        <w:rPr>
          <w:rFonts w:ascii="Arial" w:hAnsi="Arial"/>
        </w:rPr>
        <w:t xml:space="preserve"> </w:t>
      </w:r>
      <w:r w:rsidR="00DE11E0">
        <w:rPr>
          <w:rFonts w:ascii="Arial" w:hAnsi="Arial"/>
        </w:rPr>
        <w:t xml:space="preserve">how the ATEC will develop advice on the </w:t>
      </w:r>
      <w:r w:rsidR="00F46764">
        <w:rPr>
          <w:rFonts w:ascii="Arial" w:hAnsi="Arial"/>
        </w:rPr>
        <w:t xml:space="preserve">efficient </w:t>
      </w:r>
      <w:r w:rsidR="00DE11E0">
        <w:rPr>
          <w:rFonts w:ascii="Arial" w:hAnsi="Arial"/>
        </w:rPr>
        <w:t xml:space="preserve">cost of </w:t>
      </w:r>
      <w:r w:rsidR="00DE11E0" w:rsidDel="00130BF7">
        <w:rPr>
          <w:rFonts w:ascii="Arial" w:hAnsi="Arial"/>
        </w:rPr>
        <w:t xml:space="preserve">delivering teaching and </w:t>
      </w:r>
      <w:r w:rsidR="00130BF7">
        <w:rPr>
          <w:rFonts w:ascii="Arial" w:hAnsi="Arial"/>
        </w:rPr>
        <w:t>supporting scholarship</w:t>
      </w:r>
      <w:r w:rsidR="00DE11E0">
        <w:rPr>
          <w:rFonts w:ascii="Arial" w:hAnsi="Arial"/>
        </w:rPr>
        <w:t xml:space="preserve"> and how </w:t>
      </w:r>
      <w:r w:rsidR="009D0C85">
        <w:rPr>
          <w:rFonts w:ascii="Arial" w:hAnsi="Arial"/>
        </w:rPr>
        <w:t xml:space="preserve">the </w:t>
      </w:r>
      <w:r w:rsidR="00DE11E0">
        <w:rPr>
          <w:rFonts w:ascii="Arial" w:hAnsi="Arial"/>
        </w:rPr>
        <w:t xml:space="preserve">evidence </w:t>
      </w:r>
      <w:r w:rsidR="00AC43C8">
        <w:rPr>
          <w:rFonts w:ascii="Arial" w:hAnsi="Arial"/>
        </w:rPr>
        <w:t xml:space="preserve">will </w:t>
      </w:r>
      <w:r w:rsidR="00DE11E0">
        <w:rPr>
          <w:rFonts w:ascii="Arial" w:hAnsi="Arial"/>
        </w:rPr>
        <w:t>inform</w:t>
      </w:r>
      <w:r w:rsidR="009D0C85">
        <w:rPr>
          <w:rFonts w:ascii="Arial" w:hAnsi="Arial"/>
        </w:rPr>
        <w:t xml:space="preserve"> </w:t>
      </w:r>
      <w:r w:rsidR="00BD068A">
        <w:rPr>
          <w:rFonts w:ascii="Arial" w:hAnsi="Arial"/>
        </w:rPr>
        <w:t>cost groupings</w:t>
      </w:r>
      <w:r w:rsidR="009D0C85">
        <w:rPr>
          <w:rFonts w:ascii="Arial" w:hAnsi="Arial"/>
        </w:rPr>
        <w:t xml:space="preserve">, </w:t>
      </w:r>
      <w:r w:rsidR="009D0C85" w:rsidRPr="009F54ED">
        <w:rPr>
          <w:rFonts w:ascii="Arial" w:hAnsi="Arial"/>
        </w:rPr>
        <w:t xml:space="preserve">base </w:t>
      </w:r>
      <w:r w:rsidR="00FF1341" w:rsidRPr="009F54ED">
        <w:rPr>
          <w:rFonts w:ascii="Arial" w:hAnsi="Arial"/>
        </w:rPr>
        <w:t>funding amounts</w:t>
      </w:r>
      <w:r w:rsidR="00FF1341">
        <w:rPr>
          <w:rFonts w:ascii="Arial" w:hAnsi="Arial"/>
        </w:rPr>
        <w:t xml:space="preserve"> (</w:t>
      </w:r>
      <w:r w:rsidR="0099340E">
        <w:rPr>
          <w:rFonts w:ascii="Arial" w:hAnsi="Arial"/>
        </w:rPr>
        <w:t xml:space="preserve">referred to in this document as </w:t>
      </w:r>
      <w:r w:rsidR="008341F6">
        <w:rPr>
          <w:rFonts w:ascii="Arial" w:hAnsi="Arial"/>
        </w:rPr>
        <w:t xml:space="preserve">total </w:t>
      </w:r>
      <w:r w:rsidR="009D0C85">
        <w:rPr>
          <w:rFonts w:ascii="Arial" w:hAnsi="Arial"/>
        </w:rPr>
        <w:t>price</w:t>
      </w:r>
      <w:r w:rsidR="00FF1341">
        <w:rPr>
          <w:rFonts w:ascii="Arial" w:hAnsi="Arial"/>
        </w:rPr>
        <w:t>)</w:t>
      </w:r>
      <w:r w:rsidR="009D0C85">
        <w:rPr>
          <w:rFonts w:ascii="Arial" w:hAnsi="Arial"/>
        </w:rPr>
        <w:t xml:space="preserve"> and </w:t>
      </w:r>
      <w:r w:rsidR="007A2E54">
        <w:rPr>
          <w:rFonts w:ascii="Arial" w:hAnsi="Arial"/>
        </w:rPr>
        <w:t xml:space="preserve">potential </w:t>
      </w:r>
      <w:r w:rsidR="009D0C85">
        <w:rPr>
          <w:rFonts w:ascii="Arial" w:hAnsi="Arial"/>
        </w:rPr>
        <w:t>pricing adjustments</w:t>
      </w:r>
      <w:r w:rsidR="00DE11E0">
        <w:rPr>
          <w:rFonts w:ascii="Arial" w:hAnsi="Arial"/>
        </w:rPr>
        <w:t>.</w:t>
      </w:r>
      <w:r w:rsidRPr="00F07605">
        <w:rPr>
          <w:rFonts w:ascii="Arial" w:hAnsi="Arial"/>
        </w:rPr>
        <w:t xml:space="preserve"> </w:t>
      </w:r>
      <w:r w:rsidR="00881BC6">
        <w:rPr>
          <w:rFonts w:ascii="Arial" w:hAnsi="Arial"/>
        </w:rPr>
        <w:t>It also outlines the proposed data, analytical methods, governance and review arrangements that will support the development of pricing advice.</w:t>
      </w:r>
    </w:p>
    <w:p w14:paraId="1DA83367" w14:textId="52B26E7A" w:rsidR="00E372BA" w:rsidRDefault="76B68A00" w:rsidP="00E372BA">
      <w:r>
        <w:t>The Framework</w:t>
      </w:r>
      <w:r w:rsidR="7E314DA5">
        <w:t xml:space="preserve"> does not determine funding levels, student contribution amounts or implementation arrangements</w:t>
      </w:r>
      <w:r w:rsidR="607A4C7E">
        <w:t xml:space="preserve">, nor does it make any presumption about a need for additional </w:t>
      </w:r>
      <w:r w:rsidR="607A4C7E">
        <w:lastRenderedPageBreak/>
        <w:t>funding</w:t>
      </w:r>
      <w:r w:rsidR="7E314DA5">
        <w:t xml:space="preserve">. Government remains responsible for policy and funding decisions, while the Department of Education </w:t>
      </w:r>
      <w:r w:rsidR="2A99F31A">
        <w:t>will support the Minister to consider the ATEC’s pricing advice</w:t>
      </w:r>
      <w:r w:rsidR="7E314DA5">
        <w:t>.</w:t>
      </w:r>
    </w:p>
    <w:p w14:paraId="12B26D70" w14:textId="59085FB5" w:rsidR="00E53742" w:rsidRDefault="00E53742" w:rsidP="00E53742">
      <w:pPr>
        <w:pStyle w:val="Heading2"/>
      </w:pPr>
      <w:r>
        <w:t>Overview of proposed methodology</w:t>
      </w:r>
    </w:p>
    <w:p w14:paraId="5DB3AC22" w14:textId="6C68DD87" w:rsidR="00E53742" w:rsidRPr="0055219C" w:rsidRDefault="00E53742" w:rsidP="0055219C">
      <w:r>
        <w:t xml:space="preserve">The </w:t>
      </w:r>
      <w:r w:rsidR="00AA1621">
        <w:t xml:space="preserve">proposed </w:t>
      </w:r>
      <w:r>
        <w:t xml:space="preserve">Framework centres on estimating the efficient cost of delivering teaching and </w:t>
      </w:r>
      <w:r w:rsidR="00130BF7" w:rsidRPr="00457898">
        <w:t>supporting scholarship</w:t>
      </w:r>
      <w:r w:rsidRPr="00457898">
        <w:t xml:space="preserve"> and </w:t>
      </w:r>
      <w:r w:rsidR="00680915" w:rsidRPr="00457898">
        <w:t>on</w:t>
      </w:r>
      <w:r w:rsidRPr="00457898">
        <w:t xml:space="preserve"> translating that evidence into </w:t>
      </w:r>
      <w:r w:rsidR="00DB3B4A" w:rsidRPr="00457898">
        <w:t xml:space="preserve">the ATEC’s </w:t>
      </w:r>
      <w:r w:rsidRPr="00457898">
        <w:t>pricing advice</w:t>
      </w:r>
      <w:r w:rsidR="00511D09" w:rsidRPr="00457898">
        <w:t xml:space="preserve"> to </w:t>
      </w:r>
      <w:r w:rsidR="3812C878">
        <w:t>G</w:t>
      </w:r>
      <w:r w:rsidR="00511D09" w:rsidRPr="00457898">
        <w:t>overnment</w:t>
      </w:r>
      <w:r w:rsidR="00C75702" w:rsidRPr="00457898">
        <w:t>. Efficient cost</w:t>
      </w:r>
      <w:r w:rsidR="00130BF7" w:rsidRPr="00457898">
        <w:t>,</w:t>
      </w:r>
      <w:r w:rsidR="00260062" w:rsidRPr="00457898">
        <w:t xml:space="preserve"> </w:t>
      </w:r>
      <w:r w:rsidR="00130BF7" w:rsidRPr="00457898">
        <w:t xml:space="preserve">a term taken from the ATEC’s remit in </w:t>
      </w:r>
      <w:r w:rsidR="00A8311E">
        <w:t xml:space="preserve">the </w:t>
      </w:r>
      <w:r w:rsidR="00A8311E" w:rsidRPr="00A8311E">
        <w:rPr>
          <w:i/>
          <w:szCs w:val="22"/>
        </w:rPr>
        <w:t>Universities Accord (Australian Tertiary Education Commission) Act 2026</w:t>
      </w:r>
      <w:r w:rsidR="00A8311E" w:rsidRPr="00F07605">
        <w:rPr>
          <w:szCs w:val="22"/>
        </w:rPr>
        <w:t xml:space="preserve"> </w:t>
      </w:r>
      <w:r w:rsidR="00A8311E">
        <w:rPr>
          <w:szCs w:val="22"/>
        </w:rPr>
        <w:t>(</w:t>
      </w:r>
      <w:r w:rsidR="00130BF7" w:rsidRPr="00457898">
        <w:t>the Act</w:t>
      </w:r>
      <w:r w:rsidR="00A8311E">
        <w:t>)</w:t>
      </w:r>
      <w:r w:rsidR="00130BF7" w:rsidRPr="00457898">
        <w:t>,</w:t>
      </w:r>
      <w:r w:rsidR="00C75702" w:rsidRPr="00457898">
        <w:t xml:space="preserve"> is</w:t>
      </w:r>
      <w:r w:rsidR="00BE2D43" w:rsidRPr="00457898">
        <w:t xml:space="preserve"> defined in this paper as</w:t>
      </w:r>
      <w:r w:rsidR="00C75702" w:rsidRPr="00457898">
        <w:t xml:space="preserve"> </w:t>
      </w:r>
      <w:r w:rsidR="007E3F5F" w:rsidRPr="00457898">
        <w:t xml:space="preserve">the cost that reflects contemporary teaching and scholarship practices for a typical student cohort based on achieving a </w:t>
      </w:r>
      <w:r w:rsidR="00685233" w:rsidRPr="00457898">
        <w:t xml:space="preserve">sector-wide </w:t>
      </w:r>
      <w:r w:rsidR="007E3F5F" w:rsidRPr="00457898">
        <w:t>standard of quality</w:t>
      </w:r>
      <w:r w:rsidR="00114A03" w:rsidRPr="00457898">
        <w:t>.</w:t>
      </w:r>
      <w:r w:rsidR="0055219C" w:rsidRPr="00457898">
        <w:t xml:space="preserve"> This is to inform an activity-based pricing approach that sets base prices according to the activities and resources required for delivery </w:t>
      </w:r>
      <w:r w:rsidR="2B68C476">
        <w:t xml:space="preserve">and </w:t>
      </w:r>
      <w:r w:rsidR="0055219C" w:rsidRPr="00457898">
        <w:t xml:space="preserve">provides a more accurate and transparent price, where different courses </w:t>
      </w:r>
      <w:r w:rsidR="002E0AEB">
        <w:t xml:space="preserve">of study </w:t>
      </w:r>
      <w:r w:rsidR="0055219C" w:rsidRPr="00457898">
        <w:t>require substantially different resources in delivering teaching and scholarship.</w:t>
      </w:r>
    </w:p>
    <w:p w14:paraId="07AFB708" w14:textId="669914CF" w:rsidR="007D65AF" w:rsidRDefault="006E61AD" w:rsidP="006243C4">
      <w:r>
        <w:t xml:space="preserve">To support this work, the ATEC proposes to establish </w:t>
      </w:r>
      <w:r w:rsidR="005B0918">
        <w:t xml:space="preserve">a new, sector-wide </w:t>
      </w:r>
      <w:r w:rsidR="00064747">
        <w:t>un</w:t>
      </w:r>
      <w:r w:rsidR="00D56843">
        <w:t xml:space="preserve">iversity </w:t>
      </w:r>
      <w:r w:rsidR="00064747">
        <w:t>data collection</w:t>
      </w:r>
      <w:r w:rsidR="006243C4">
        <w:t xml:space="preserve"> </w:t>
      </w:r>
      <w:r w:rsidR="00DA65CC">
        <w:t>– the</w:t>
      </w:r>
      <w:r>
        <w:t xml:space="preserve"> Australian </w:t>
      </w:r>
      <w:r w:rsidR="005A0415">
        <w:t xml:space="preserve">Universities </w:t>
      </w:r>
      <w:r>
        <w:t xml:space="preserve">Costs Dataset (AUCD) </w:t>
      </w:r>
      <w:r w:rsidR="00DA65CC">
        <w:t xml:space="preserve">– </w:t>
      </w:r>
      <w:r w:rsidR="006243C4">
        <w:t>to capture</w:t>
      </w:r>
      <w:r w:rsidR="00C42162">
        <w:t xml:space="preserve"> </w:t>
      </w:r>
      <w:r w:rsidR="003444BC">
        <w:t xml:space="preserve">expenditure and revenue information across </w:t>
      </w:r>
      <w:r w:rsidR="006243C4">
        <w:t xml:space="preserve">all university activities. </w:t>
      </w:r>
    </w:p>
    <w:p w14:paraId="4B108F22" w14:textId="22451876" w:rsidR="006E61AD" w:rsidRPr="007D3CE3" w:rsidRDefault="327B64C0" w:rsidP="00E53742">
      <w:pPr>
        <w:rPr>
          <w:rFonts w:ascii="Arial" w:hAnsi="Arial"/>
        </w:rPr>
      </w:pPr>
      <w:r>
        <w:t>T</w:t>
      </w:r>
      <w:r w:rsidR="7E7FE71B">
        <w:t xml:space="preserve">he AUCD </w:t>
      </w:r>
      <w:r>
        <w:t xml:space="preserve">will </w:t>
      </w:r>
      <w:r w:rsidR="25423122">
        <w:t xml:space="preserve">improve </w:t>
      </w:r>
      <w:r w:rsidR="3398F491">
        <w:t>up</w:t>
      </w:r>
      <w:r w:rsidR="25423122">
        <w:t>on previous</w:t>
      </w:r>
      <w:r>
        <w:t xml:space="preserve"> </w:t>
      </w:r>
      <w:r w:rsidR="691F0687">
        <w:t>efforts to examine university costs through its</w:t>
      </w:r>
      <w:r>
        <w:t xml:space="preserve"> </w:t>
      </w:r>
      <w:r w:rsidR="6EDE8FDF">
        <w:t xml:space="preserve">granularity, </w:t>
      </w:r>
      <w:r w:rsidR="6EEEC3DA">
        <w:t xml:space="preserve">methodological transparency </w:t>
      </w:r>
      <w:r w:rsidR="62678D71">
        <w:t xml:space="preserve">and whole-of-institution coverage. It will collect </w:t>
      </w:r>
      <w:r w:rsidR="02F16F21">
        <w:t>unit-of-study level</w:t>
      </w:r>
      <w:r w:rsidR="798CAA4B">
        <w:t xml:space="preserve"> </w:t>
      </w:r>
      <w:r w:rsidR="7C6DB035">
        <w:t>information</w:t>
      </w:r>
      <w:r w:rsidR="2C46A332">
        <w:t xml:space="preserve"> on </w:t>
      </w:r>
      <w:r w:rsidR="7C6DB035">
        <w:t xml:space="preserve">teaching activities, provide greater visibility on cost </w:t>
      </w:r>
      <w:r w:rsidR="2C46A332" w:rsidRPr="1FA4C35C">
        <w:rPr>
          <w:rFonts w:ascii="Arial" w:hAnsi="Arial"/>
        </w:rPr>
        <w:t>allocation methodolog</w:t>
      </w:r>
      <w:r w:rsidR="7C6DB035" w:rsidRPr="1FA4C35C">
        <w:rPr>
          <w:rFonts w:ascii="Arial" w:hAnsi="Arial"/>
        </w:rPr>
        <w:t>ies</w:t>
      </w:r>
      <w:r w:rsidR="2C46A332" w:rsidRPr="1FA4C35C">
        <w:rPr>
          <w:rFonts w:ascii="Arial" w:hAnsi="Arial"/>
        </w:rPr>
        <w:t xml:space="preserve"> and </w:t>
      </w:r>
      <w:r w:rsidR="1DDF6A90" w:rsidRPr="1FA4C35C">
        <w:rPr>
          <w:rFonts w:ascii="Arial" w:hAnsi="Arial"/>
        </w:rPr>
        <w:t xml:space="preserve">capture </w:t>
      </w:r>
      <w:r w:rsidR="51D36C93" w:rsidRPr="1FA4C35C">
        <w:rPr>
          <w:rFonts w:ascii="Arial" w:hAnsi="Arial"/>
        </w:rPr>
        <w:t>information</w:t>
      </w:r>
      <w:r w:rsidR="2C46A332" w:rsidRPr="1FA4C35C">
        <w:rPr>
          <w:rFonts w:ascii="Arial" w:hAnsi="Arial"/>
        </w:rPr>
        <w:t xml:space="preserve"> across </w:t>
      </w:r>
      <w:r w:rsidR="51D36C93" w:rsidRPr="1FA4C35C">
        <w:rPr>
          <w:rFonts w:ascii="Arial" w:hAnsi="Arial"/>
        </w:rPr>
        <w:t xml:space="preserve">a university’s </w:t>
      </w:r>
      <w:r w:rsidR="77AF91D5" w:rsidRPr="1FA4C35C">
        <w:rPr>
          <w:rFonts w:ascii="Arial" w:hAnsi="Arial"/>
        </w:rPr>
        <w:t>full range of activities</w:t>
      </w:r>
      <w:r w:rsidR="6084905E" w:rsidRPr="1FA4C35C">
        <w:rPr>
          <w:rFonts w:ascii="Arial" w:hAnsi="Arial"/>
        </w:rPr>
        <w:t>.</w:t>
      </w:r>
      <w:r w:rsidR="7049B9E2" w:rsidRPr="1FA4C35C">
        <w:rPr>
          <w:rFonts w:ascii="Arial" w:hAnsi="Arial"/>
        </w:rPr>
        <w:t xml:space="preserve"> </w:t>
      </w:r>
      <w:r w:rsidR="7E6760C7" w:rsidRPr="1FA4C35C">
        <w:rPr>
          <w:rFonts w:ascii="Arial" w:hAnsi="Arial"/>
        </w:rPr>
        <w:t xml:space="preserve">The AUCD </w:t>
      </w:r>
      <w:r w:rsidR="306B0C6D" w:rsidRPr="1FA4C35C">
        <w:rPr>
          <w:rFonts w:ascii="Arial" w:hAnsi="Arial"/>
        </w:rPr>
        <w:t xml:space="preserve">will </w:t>
      </w:r>
      <w:r w:rsidR="7E6760C7" w:rsidRPr="1FA4C35C">
        <w:rPr>
          <w:rFonts w:ascii="Arial" w:hAnsi="Arial"/>
        </w:rPr>
        <w:t xml:space="preserve">provide the primary evidence base for analysing </w:t>
      </w:r>
      <w:r w:rsidR="1CB7F77D" w:rsidRPr="1FA4C35C">
        <w:rPr>
          <w:rFonts w:ascii="Arial" w:hAnsi="Arial"/>
        </w:rPr>
        <w:t>teaching and scholarship costs, assessing cost drivers and devel</w:t>
      </w:r>
      <w:r w:rsidR="79F1B7A6" w:rsidRPr="1FA4C35C">
        <w:rPr>
          <w:rFonts w:ascii="Arial" w:hAnsi="Arial"/>
        </w:rPr>
        <w:t xml:space="preserve">oping </w:t>
      </w:r>
      <w:r w:rsidR="4EC85DB5" w:rsidRPr="1FA4C35C">
        <w:rPr>
          <w:rFonts w:ascii="Arial" w:hAnsi="Arial"/>
        </w:rPr>
        <w:t xml:space="preserve">costing and </w:t>
      </w:r>
      <w:r w:rsidR="79F1B7A6" w:rsidRPr="1FA4C35C">
        <w:rPr>
          <w:rFonts w:ascii="Arial" w:hAnsi="Arial"/>
        </w:rPr>
        <w:t>pricing advice.</w:t>
      </w:r>
      <w:r w:rsidR="3B512F74" w:rsidRPr="1FA4C35C">
        <w:rPr>
          <w:rFonts w:ascii="Arial" w:hAnsi="Arial"/>
        </w:rPr>
        <w:t xml:space="preserve"> All universities will be invited to participate in the AUCD.</w:t>
      </w:r>
      <w:r w:rsidR="7049B9E2">
        <w:t xml:space="preserve"> </w:t>
      </w:r>
    </w:p>
    <w:p w14:paraId="76149DC7" w14:textId="5339ADA8" w:rsidR="00ED5C42" w:rsidRDefault="00ED5C42" w:rsidP="00E53742">
      <w:r>
        <w:t xml:space="preserve">The Framework will also examine whether </w:t>
      </w:r>
      <w:r w:rsidR="007571CB">
        <w:t>total price</w:t>
      </w:r>
      <w:r w:rsidR="001F7523">
        <w:t xml:space="preserve"> </w:t>
      </w:r>
      <w:r>
        <w:t xml:space="preserve">should continue to be predominantly variable </w:t>
      </w:r>
      <w:r w:rsidR="00114A03">
        <w:t>(that is</w:t>
      </w:r>
      <w:r w:rsidR="00C02AB2">
        <w:t>,</w:t>
      </w:r>
      <w:r w:rsidR="00114A03">
        <w:t xml:space="preserve"> varies directly with the number of </w:t>
      </w:r>
      <w:r w:rsidR="0000578A">
        <w:t>Equivalent Full</w:t>
      </w:r>
      <w:r w:rsidR="002F1F39">
        <w:t>-</w:t>
      </w:r>
      <w:r w:rsidR="0000578A">
        <w:t>Time Student Load (</w:t>
      </w:r>
      <w:r w:rsidR="00114A03">
        <w:t>EFTSL</w:t>
      </w:r>
      <w:r w:rsidR="0000578A">
        <w:t>)</w:t>
      </w:r>
      <w:r w:rsidR="00114A03">
        <w:t xml:space="preserve">) </w:t>
      </w:r>
      <w:r>
        <w:t>or whether a mixed model, incorporating both fixed and variable funding components</w:t>
      </w:r>
      <w:r w:rsidR="00270ACD">
        <w:t xml:space="preserve"> </w:t>
      </w:r>
      <w:r w:rsidR="00915FA5">
        <w:t xml:space="preserve">based on </w:t>
      </w:r>
      <w:r w:rsidR="007571CB">
        <w:t xml:space="preserve">efficient </w:t>
      </w:r>
      <w:r w:rsidR="00915FA5">
        <w:t>costs</w:t>
      </w:r>
      <w:r>
        <w:t>, is supported by the evidence.</w:t>
      </w:r>
      <w:r w:rsidR="00114A03">
        <w:t xml:space="preserve"> The fixed component in such a model would reflect those costs which are common across all </w:t>
      </w:r>
      <w:r w:rsidR="00C02AB2">
        <w:t>universities and</w:t>
      </w:r>
      <w:r w:rsidR="00114A03">
        <w:t xml:space="preserve"> may not vary directly with size.</w:t>
      </w:r>
    </w:p>
    <w:p w14:paraId="492D6294" w14:textId="6FB3B763" w:rsidR="00421E70" w:rsidRDefault="00A92377" w:rsidP="00421E70">
      <w:pPr>
        <w:pStyle w:val="Heading2"/>
      </w:pPr>
      <w:r>
        <w:t xml:space="preserve">Costing and </w:t>
      </w:r>
      <w:r w:rsidR="00421E70">
        <w:t>Pricing objective and principles</w:t>
      </w:r>
    </w:p>
    <w:p w14:paraId="46E1BED6" w14:textId="30667F67" w:rsidR="003560B8" w:rsidRDefault="003560B8" w:rsidP="003560B8">
      <w:r w:rsidRPr="003560B8">
        <w:t xml:space="preserve">The objective of the ATEC's </w:t>
      </w:r>
      <w:r w:rsidR="00A92377">
        <w:t xml:space="preserve">costing and </w:t>
      </w:r>
      <w:r w:rsidRPr="003560B8">
        <w:t xml:space="preserve">pricing advice is to inform Government on evidence-based prices that support </w:t>
      </w:r>
      <w:r w:rsidR="009347B5">
        <w:t xml:space="preserve">the delivery of </w:t>
      </w:r>
      <w:r w:rsidRPr="003560B8">
        <w:t>efficient, high-quality, accessible and sustainable higher education. Pricing advice should reflect contemporary costs, account for material variation in delivery costs and support a diverse higher education sector operating in accordance with the National Tertiary Education Objective</w:t>
      </w:r>
      <w:r w:rsidR="00AF5E2F">
        <w:t xml:space="preserve"> (NTEO)</w:t>
      </w:r>
      <w:r w:rsidRPr="003560B8">
        <w:t>.</w:t>
      </w:r>
    </w:p>
    <w:p w14:paraId="56A73F8C" w14:textId="102D437D" w:rsidR="00B64186" w:rsidRDefault="00B64186" w:rsidP="00B64186">
      <w:r>
        <w:t>The proposed methodology is guided by six principles:</w:t>
      </w:r>
    </w:p>
    <w:p w14:paraId="02EA9B1B" w14:textId="0D41ED7B" w:rsidR="00B64186" w:rsidRDefault="008F41D1" w:rsidP="00153E15">
      <w:pPr>
        <w:pStyle w:val="ListBullet"/>
        <w:numPr>
          <w:ilvl w:val="0"/>
          <w:numId w:val="68"/>
        </w:numPr>
      </w:pPr>
      <w:r>
        <w:t>O</w:t>
      </w:r>
      <w:r w:rsidR="00B64186">
        <w:t>utcome</w:t>
      </w:r>
      <w:r w:rsidR="54F68657">
        <w:t>-</w:t>
      </w:r>
      <w:r w:rsidR="00B64186">
        <w:t>focused</w:t>
      </w:r>
    </w:p>
    <w:p w14:paraId="7D4CFE79" w14:textId="0D402CE0" w:rsidR="00B64186" w:rsidRDefault="008F41D1" w:rsidP="00153E15">
      <w:pPr>
        <w:pStyle w:val="ListBullet"/>
        <w:numPr>
          <w:ilvl w:val="0"/>
          <w:numId w:val="68"/>
        </w:numPr>
      </w:pPr>
      <w:r>
        <w:t>T</w:t>
      </w:r>
      <w:r w:rsidR="00B64186">
        <w:t>ransparent</w:t>
      </w:r>
    </w:p>
    <w:p w14:paraId="0DCB537C" w14:textId="02067E0B" w:rsidR="00B64186" w:rsidRDefault="008F41D1" w:rsidP="00153E15">
      <w:pPr>
        <w:pStyle w:val="ListBullet"/>
        <w:numPr>
          <w:ilvl w:val="0"/>
          <w:numId w:val="68"/>
        </w:numPr>
      </w:pPr>
      <w:r>
        <w:t>C</w:t>
      </w:r>
      <w:r w:rsidR="00B64186">
        <w:t>omprehensive</w:t>
      </w:r>
    </w:p>
    <w:p w14:paraId="4C4E7943" w14:textId="10EC21EE" w:rsidR="00B64186" w:rsidRDefault="008F41D1" w:rsidP="00153E15">
      <w:pPr>
        <w:pStyle w:val="ListBullet"/>
        <w:numPr>
          <w:ilvl w:val="0"/>
          <w:numId w:val="68"/>
        </w:numPr>
      </w:pPr>
      <w:r>
        <w:t>E</w:t>
      </w:r>
      <w:r w:rsidR="00B64186">
        <w:t>vidence-based</w:t>
      </w:r>
    </w:p>
    <w:p w14:paraId="798EE889" w14:textId="746E7B77" w:rsidR="00B64186" w:rsidRDefault="008F41D1" w:rsidP="00153E15">
      <w:pPr>
        <w:pStyle w:val="ListBullet"/>
        <w:numPr>
          <w:ilvl w:val="0"/>
          <w:numId w:val="68"/>
        </w:numPr>
      </w:pPr>
      <w:r>
        <w:t>S</w:t>
      </w:r>
      <w:r w:rsidR="00B64186">
        <w:t>table</w:t>
      </w:r>
    </w:p>
    <w:p w14:paraId="2BF364CF" w14:textId="1BC30D79" w:rsidR="00421E70" w:rsidRPr="00E53742" w:rsidRDefault="008F41D1" w:rsidP="00153E15">
      <w:pPr>
        <w:pStyle w:val="ListBullet"/>
        <w:numPr>
          <w:ilvl w:val="0"/>
          <w:numId w:val="68"/>
        </w:numPr>
      </w:pPr>
      <w:r>
        <w:t>A</w:t>
      </w:r>
      <w:r w:rsidR="00B64186">
        <w:t>dministratively practical.</w:t>
      </w:r>
    </w:p>
    <w:p w14:paraId="58C8C637" w14:textId="77777777" w:rsidR="00E372BA" w:rsidRPr="00F07605" w:rsidRDefault="00E372BA" w:rsidP="00B64186">
      <w:pPr>
        <w:pStyle w:val="Heading2"/>
        <w:spacing w:before="240"/>
        <w:rPr>
          <w:kern w:val="2"/>
          <w14:ligatures w14:val="standardContextual"/>
        </w:rPr>
      </w:pPr>
      <w:r w:rsidRPr="00F07605">
        <w:lastRenderedPageBreak/>
        <w:t>Stakeholder feedback</w:t>
      </w:r>
    </w:p>
    <w:p w14:paraId="296916FB" w14:textId="36B9CF5F" w:rsidR="00E372BA" w:rsidRPr="00F07605" w:rsidRDefault="007602D5" w:rsidP="00021472">
      <w:r w:rsidRPr="00F07605">
        <w:t xml:space="preserve">The ATEC is seeking stakeholder views </w:t>
      </w:r>
      <w:r w:rsidR="00B83CF4">
        <w:t xml:space="preserve">and evidence </w:t>
      </w:r>
      <w:r w:rsidRPr="00F07605">
        <w:t>on priority areas that will help inform the development of future</w:t>
      </w:r>
      <w:r w:rsidR="0010422F">
        <w:t xml:space="preserve"> costing and</w:t>
      </w:r>
      <w:r w:rsidRPr="00F07605">
        <w:t xml:space="preserve"> pricing advice. </w:t>
      </w:r>
      <w:r w:rsidR="00E372BA" w:rsidRPr="00F07605">
        <w:t>This discussion paper seeks input on:</w:t>
      </w:r>
    </w:p>
    <w:p w14:paraId="3FA35D58" w14:textId="6A5B4E9E" w:rsidR="00E372BA" w:rsidRPr="00F07605" w:rsidRDefault="00E372BA" w:rsidP="00D629C8">
      <w:pPr>
        <w:pStyle w:val="ListBullet"/>
        <w:numPr>
          <w:ilvl w:val="0"/>
          <w:numId w:val="69"/>
        </w:numPr>
      </w:pPr>
      <w:r w:rsidRPr="00F07605">
        <w:t xml:space="preserve">The proposed objective and principles </w:t>
      </w:r>
      <w:r w:rsidR="00B7702C">
        <w:t xml:space="preserve">for </w:t>
      </w:r>
      <w:r w:rsidR="00726A3A">
        <w:t xml:space="preserve">costing and </w:t>
      </w:r>
      <w:r w:rsidRPr="00F07605">
        <w:t>pricing</w:t>
      </w:r>
      <w:r w:rsidR="00B7702C">
        <w:t xml:space="preserve"> advice</w:t>
      </w:r>
      <w:r w:rsidR="00726A3A">
        <w:t xml:space="preserve"> for </w:t>
      </w:r>
      <w:r w:rsidR="00B5117C">
        <w:t>CSPs</w:t>
      </w:r>
    </w:p>
    <w:p w14:paraId="7940E1B7" w14:textId="63733484" w:rsidR="00E372BA" w:rsidRPr="00F07605" w:rsidRDefault="00EB2099" w:rsidP="00D629C8">
      <w:pPr>
        <w:pStyle w:val="ListBullet"/>
        <w:numPr>
          <w:ilvl w:val="0"/>
          <w:numId w:val="69"/>
        </w:numPr>
      </w:pPr>
      <w:r>
        <w:t>E</w:t>
      </w:r>
      <w:r w:rsidR="00E372BA" w:rsidRPr="00F07605">
        <w:t>fficient-cost analysis</w:t>
      </w:r>
      <w:r w:rsidR="00B7702C">
        <w:t xml:space="preserve"> and efficient cost-reflective pricing advice</w:t>
      </w:r>
    </w:p>
    <w:p w14:paraId="718A34B7" w14:textId="55BDC3CD" w:rsidR="00E372BA" w:rsidRPr="00F07605" w:rsidRDefault="00E372BA" w:rsidP="00D629C8">
      <w:pPr>
        <w:pStyle w:val="ListBullet"/>
        <w:numPr>
          <w:ilvl w:val="0"/>
          <w:numId w:val="69"/>
        </w:numPr>
      </w:pPr>
      <w:r w:rsidRPr="00F07605">
        <w:t xml:space="preserve">Potential </w:t>
      </w:r>
      <w:r w:rsidR="00BF23FB">
        <w:t xml:space="preserve">pricing </w:t>
      </w:r>
      <w:r w:rsidRPr="00F07605">
        <w:t>adjustment mechanisms</w:t>
      </w:r>
      <w:r w:rsidR="00996ED7">
        <w:t xml:space="preserve"> for structural cost drivers</w:t>
      </w:r>
    </w:p>
    <w:p w14:paraId="5E1549DD" w14:textId="77777777" w:rsidR="00E372BA" w:rsidRPr="00F07605" w:rsidRDefault="00E372BA" w:rsidP="00D629C8">
      <w:pPr>
        <w:pStyle w:val="ListBullet"/>
        <w:numPr>
          <w:ilvl w:val="0"/>
          <w:numId w:val="69"/>
        </w:numPr>
      </w:pPr>
      <w:r w:rsidRPr="00F07605">
        <w:t>Data collection and methodological approaches</w:t>
      </w:r>
    </w:p>
    <w:p w14:paraId="171B598F" w14:textId="277A28EA" w:rsidR="00C056B7" w:rsidRPr="00F07605" w:rsidRDefault="00E372BA" w:rsidP="00D629C8">
      <w:pPr>
        <w:pStyle w:val="ListBullet"/>
        <w:numPr>
          <w:ilvl w:val="0"/>
          <w:numId w:val="69"/>
        </w:numPr>
      </w:pPr>
      <w:r w:rsidRPr="00F07605">
        <w:t>Governance, transparency and review arrangements.</w:t>
      </w:r>
    </w:p>
    <w:p w14:paraId="69AC83BA" w14:textId="1B78CF7A" w:rsidR="001D42C8" w:rsidRDefault="001D42C8" w:rsidP="001D42C8">
      <w:r w:rsidRPr="001D42C8">
        <w:t>Feedback is invited from higher education providers, peak bodies, student representative organisations, First Nations stakeholders, government agencies and any other interested parties.</w:t>
      </w:r>
      <w:r w:rsidR="00DA757B">
        <w:t xml:space="preserve"> </w:t>
      </w:r>
      <w:r w:rsidRPr="001D42C8">
        <w:t>Feedback</w:t>
      </w:r>
      <w:r w:rsidR="00B83CF4">
        <w:t xml:space="preserve"> and evidence</w:t>
      </w:r>
      <w:r w:rsidRPr="001D42C8">
        <w:t xml:space="preserve"> received will inform the refinement of the Framework to </w:t>
      </w:r>
      <w:r w:rsidR="00B35602">
        <w:t>guide</w:t>
      </w:r>
      <w:r w:rsidR="00B35602" w:rsidRPr="001D42C8">
        <w:t xml:space="preserve"> </w:t>
      </w:r>
      <w:r w:rsidRPr="001D42C8">
        <w:t xml:space="preserve">the ATEC's structure and methodology of determining </w:t>
      </w:r>
      <w:r w:rsidR="002272A9">
        <w:t>its pricing advice</w:t>
      </w:r>
      <w:r w:rsidRPr="001D42C8">
        <w:t>.</w:t>
      </w:r>
    </w:p>
    <w:p w14:paraId="2EC35C6B" w14:textId="77777777" w:rsidR="00204B40" w:rsidRPr="00F07605" w:rsidRDefault="00204B40" w:rsidP="00B64186">
      <w:pPr>
        <w:pStyle w:val="Heading2"/>
        <w:rPr>
          <w:kern w:val="2"/>
          <w:szCs w:val="32"/>
          <w14:ligatures w14:val="standardContextual"/>
        </w:rPr>
      </w:pPr>
      <w:r w:rsidRPr="00F07605">
        <w:t xml:space="preserve">Key </w:t>
      </w:r>
      <w:r w:rsidRPr="00B64186">
        <w:t>questions</w:t>
      </w:r>
    </w:p>
    <w:p w14:paraId="13DC6657" w14:textId="466CAAF7" w:rsidR="00204B40" w:rsidRPr="00F07605" w:rsidRDefault="00204B40">
      <w:pPr>
        <w:rPr>
          <w:color w:val="000000"/>
          <w:kern w:val="2"/>
          <w:szCs w:val="22"/>
          <w14:ligatures w14:val="standardContextual"/>
        </w:rPr>
      </w:pPr>
      <w:r w:rsidRPr="00F07605">
        <w:t xml:space="preserve">The following questions focus on issues where provider experience, operational knowledge and sector evidence are critical and where insights may not be apparent from current cost data alone. In particular, the ATEC invites feedback </w:t>
      </w:r>
      <w:r w:rsidR="005372CD">
        <w:t xml:space="preserve">and evidence </w:t>
      </w:r>
      <w:r w:rsidRPr="00F07605">
        <w:t>on the following questions:</w:t>
      </w:r>
    </w:p>
    <w:p w14:paraId="6813CB39" w14:textId="608BA78E" w:rsidR="002C192A" w:rsidRPr="002C192A" w:rsidRDefault="00C34A2B" w:rsidP="002C192A">
      <w:pPr>
        <w:pStyle w:val="ListBullet"/>
        <w:numPr>
          <w:ilvl w:val="0"/>
          <w:numId w:val="73"/>
        </w:numPr>
        <w:rPr>
          <w:rFonts w:eastAsiaTheme="minorEastAsia"/>
          <w:i/>
          <w:iCs/>
        </w:rPr>
      </w:pPr>
      <w:r w:rsidRPr="00B74C78">
        <w:rPr>
          <w:rFonts w:eastAsiaTheme="minorEastAsia"/>
          <w:i/>
        </w:rPr>
        <w:t xml:space="preserve">Is </w:t>
      </w:r>
      <w:r w:rsidR="002C192A" w:rsidRPr="002C192A">
        <w:rPr>
          <w:rFonts w:eastAsiaTheme="minorEastAsia"/>
          <w:i/>
          <w:iCs/>
        </w:rPr>
        <w:t>the</w:t>
      </w:r>
      <w:r w:rsidR="00CC4489">
        <w:rPr>
          <w:rFonts w:eastAsiaTheme="minorEastAsia"/>
          <w:i/>
          <w:iCs/>
        </w:rPr>
        <w:t xml:space="preserve"> proposed</w:t>
      </w:r>
      <w:r w:rsidR="002C192A" w:rsidRPr="002C192A">
        <w:rPr>
          <w:rFonts w:eastAsiaTheme="minorEastAsia"/>
          <w:i/>
          <w:iCs/>
        </w:rPr>
        <w:t xml:space="preserve"> Pricing Objective suitable for the ATEC to conduct its pricing work?</w:t>
      </w:r>
    </w:p>
    <w:p w14:paraId="5A683FB8" w14:textId="14ABB828" w:rsidR="002C192A" w:rsidRPr="002C192A" w:rsidRDefault="002C192A" w:rsidP="002C192A">
      <w:pPr>
        <w:pStyle w:val="ListBullet"/>
        <w:numPr>
          <w:ilvl w:val="0"/>
          <w:numId w:val="73"/>
        </w:numPr>
        <w:rPr>
          <w:rFonts w:eastAsiaTheme="minorEastAsia"/>
          <w:i/>
          <w:iCs/>
        </w:rPr>
      </w:pPr>
      <w:r w:rsidRPr="002C192A">
        <w:rPr>
          <w:rFonts w:eastAsiaTheme="minorEastAsia"/>
          <w:i/>
          <w:iCs/>
        </w:rPr>
        <w:t xml:space="preserve">Are the </w:t>
      </w:r>
      <w:r w:rsidR="002B7560">
        <w:rPr>
          <w:rFonts w:eastAsiaTheme="minorEastAsia"/>
          <w:i/>
          <w:iCs/>
        </w:rPr>
        <w:t xml:space="preserve">proposed </w:t>
      </w:r>
      <w:r w:rsidR="0001710D">
        <w:rPr>
          <w:rFonts w:eastAsiaTheme="minorEastAsia"/>
          <w:i/>
          <w:iCs/>
        </w:rPr>
        <w:t xml:space="preserve">Costing and </w:t>
      </w:r>
      <w:r w:rsidR="002B7560">
        <w:rPr>
          <w:rFonts w:eastAsiaTheme="minorEastAsia"/>
          <w:i/>
          <w:iCs/>
        </w:rPr>
        <w:t>Pricing Principles</w:t>
      </w:r>
      <w:r w:rsidRPr="002C192A">
        <w:rPr>
          <w:rFonts w:eastAsiaTheme="minorEastAsia"/>
          <w:i/>
          <w:iCs/>
        </w:rPr>
        <w:t xml:space="preserve"> appropriate for the ATEC to base its pricing advice on?</w:t>
      </w:r>
    </w:p>
    <w:p w14:paraId="6C6152E7" w14:textId="73BB22D1" w:rsidR="002C192A" w:rsidRPr="002C192A" w:rsidRDefault="00BB1555" w:rsidP="35A423CE">
      <w:pPr>
        <w:pStyle w:val="ListBullet"/>
        <w:numPr>
          <w:ilvl w:val="0"/>
          <w:numId w:val="73"/>
        </w:numPr>
        <w:rPr>
          <w:rFonts w:eastAsiaTheme="minorEastAsia"/>
          <w:i/>
          <w:iCs/>
        </w:rPr>
      </w:pPr>
      <w:r w:rsidRPr="00BB1555">
        <w:rPr>
          <w:rFonts w:eastAsiaTheme="minorEastAsia"/>
          <w:i/>
          <w:iCs/>
        </w:rPr>
        <w:t xml:space="preserve">How should funding through prices (base funding amount) for CSPs </w:t>
      </w:r>
      <w:r w:rsidR="00F04527">
        <w:rPr>
          <w:rFonts w:eastAsiaTheme="minorEastAsia"/>
          <w:i/>
          <w:iCs/>
        </w:rPr>
        <w:t>interact with</w:t>
      </w:r>
      <w:r w:rsidR="00F04527" w:rsidRPr="00BB1555">
        <w:rPr>
          <w:rFonts w:eastAsiaTheme="minorEastAsia"/>
          <w:i/>
          <w:iCs/>
        </w:rPr>
        <w:t xml:space="preserve"> </w:t>
      </w:r>
      <w:r w:rsidRPr="00BB1555">
        <w:rPr>
          <w:rFonts w:eastAsiaTheme="minorEastAsia"/>
          <w:i/>
          <w:iCs/>
        </w:rPr>
        <w:t xml:space="preserve">other mechanisms such as targeted programs or </w:t>
      </w:r>
      <w:r w:rsidR="00D430E4">
        <w:rPr>
          <w:rFonts w:eastAsiaTheme="minorEastAsia"/>
          <w:i/>
          <w:iCs/>
        </w:rPr>
        <w:t>loadings</w:t>
      </w:r>
      <w:r w:rsidRPr="00BB1555">
        <w:rPr>
          <w:rFonts w:eastAsiaTheme="minorEastAsia"/>
          <w:i/>
          <w:iCs/>
        </w:rPr>
        <w:t>?</w:t>
      </w:r>
    </w:p>
    <w:p w14:paraId="6EE3E1C8" w14:textId="6D33B3FE" w:rsidR="002C192A" w:rsidRPr="006755F2" w:rsidRDefault="002C192A" w:rsidP="002C192A">
      <w:pPr>
        <w:pStyle w:val="ListBullet"/>
        <w:numPr>
          <w:ilvl w:val="0"/>
          <w:numId w:val="73"/>
        </w:numPr>
        <w:rPr>
          <w:rFonts w:eastAsiaTheme="minorEastAsia"/>
          <w:i/>
          <w:iCs/>
        </w:rPr>
      </w:pPr>
      <w:r w:rsidRPr="002C192A">
        <w:rPr>
          <w:rFonts w:eastAsiaTheme="minorEastAsia"/>
          <w:i/>
          <w:iCs/>
        </w:rPr>
        <w:t>What changes</w:t>
      </w:r>
      <w:r w:rsidR="00F04527">
        <w:rPr>
          <w:rFonts w:eastAsiaTheme="minorEastAsia"/>
          <w:i/>
          <w:iCs/>
        </w:rPr>
        <w:t xml:space="preserve"> </w:t>
      </w:r>
      <w:r w:rsidR="00F04527" w:rsidRPr="006755F2">
        <w:rPr>
          <w:rFonts w:eastAsiaTheme="minorEastAsia"/>
          <w:i/>
          <w:iCs/>
        </w:rPr>
        <w:t>(previous, current or anticipated)</w:t>
      </w:r>
      <w:r w:rsidRPr="002C192A">
        <w:rPr>
          <w:rFonts w:eastAsiaTheme="minorEastAsia"/>
          <w:i/>
          <w:iCs/>
        </w:rPr>
        <w:t xml:space="preserve"> have had the biggest impact on the cost of delivering teaching and supporting </w:t>
      </w:r>
      <w:r w:rsidRPr="006755F2">
        <w:rPr>
          <w:rFonts w:eastAsiaTheme="minorEastAsia"/>
          <w:i/>
          <w:iCs/>
        </w:rPr>
        <w:t>scholarship in Australia?</w:t>
      </w:r>
      <w:r w:rsidR="000B2948">
        <w:rPr>
          <w:rFonts w:eastAsiaTheme="minorEastAsia"/>
          <w:i/>
          <w:iCs/>
        </w:rPr>
        <w:t xml:space="preserve"> </w:t>
      </w:r>
      <w:r w:rsidR="002933C6">
        <w:rPr>
          <w:rFonts w:eastAsiaTheme="minorEastAsia"/>
          <w:i/>
          <w:iCs/>
        </w:rPr>
        <w:t>Please p</w:t>
      </w:r>
      <w:r w:rsidR="000B2948">
        <w:rPr>
          <w:rFonts w:eastAsiaTheme="minorEastAsia"/>
          <w:i/>
          <w:iCs/>
        </w:rPr>
        <w:t>rovide supporting evidence.</w:t>
      </w:r>
    </w:p>
    <w:p w14:paraId="27510D26" w14:textId="36D28CEF" w:rsidR="00F77189" w:rsidRPr="00D753EE" w:rsidRDefault="00F77189" w:rsidP="00DF460C">
      <w:pPr>
        <w:pStyle w:val="ListParagraph"/>
        <w:numPr>
          <w:ilvl w:val="0"/>
          <w:numId w:val="73"/>
        </w:numPr>
        <w:rPr>
          <w:rFonts w:ascii="Arial" w:hAnsi="Arial"/>
          <w:i/>
          <w:iCs/>
          <w:szCs w:val="22"/>
        </w:rPr>
      </w:pPr>
      <w:r w:rsidRPr="00D753EE">
        <w:rPr>
          <w:rFonts w:ascii="Arial" w:hAnsi="Arial"/>
          <w:i/>
          <w:iCs/>
          <w:szCs w:val="22"/>
        </w:rPr>
        <w:t xml:space="preserve">Should the ATEC incorporate an additional mechanism </w:t>
      </w:r>
      <w:r w:rsidR="007C5DAC">
        <w:rPr>
          <w:rFonts w:ascii="Arial" w:hAnsi="Arial"/>
          <w:i/>
          <w:iCs/>
          <w:szCs w:val="22"/>
        </w:rPr>
        <w:t xml:space="preserve">that recognises and supports </w:t>
      </w:r>
      <w:r w:rsidRPr="00D753EE">
        <w:rPr>
          <w:rFonts w:ascii="Arial" w:hAnsi="Arial"/>
          <w:i/>
          <w:iCs/>
          <w:szCs w:val="22"/>
        </w:rPr>
        <w:t>universities with better educational outcomes? If so, how might this be determined</w:t>
      </w:r>
      <w:r w:rsidR="00D00E2D">
        <w:rPr>
          <w:rFonts w:ascii="Arial" w:hAnsi="Arial"/>
          <w:i/>
          <w:iCs/>
          <w:szCs w:val="22"/>
        </w:rPr>
        <w:t xml:space="preserve"> and what evidence </w:t>
      </w:r>
      <w:r w:rsidR="00057F0C">
        <w:rPr>
          <w:rFonts w:ascii="Arial" w:hAnsi="Arial"/>
          <w:i/>
          <w:iCs/>
          <w:szCs w:val="22"/>
        </w:rPr>
        <w:t>could be used to support such a mechanism</w:t>
      </w:r>
      <w:r w:rsidRPr="00D753EE">
        <w:rPr>
          <w:rFonts w:ascii="Arial" w:hAnsi="Arial"/>
          <w:i/>
          <w:iCs/>
          <w:szCs w:val="22"/>
        </w:rPr>
        <w:t>?</w:t>
      </w:r>
    </w:p>
    <w:p w14:paraId="172F9592" w14:textId="371841A0" w:rsidR="00A343D0" w:rsidRPr="00A343D0" w:rsidRDefault="00A343D0" w:rsidP="00A343D0">
      <w:pPr>
        <w:pStyle w:val="ListBullet"/>
        <w:numPr>
          <w:ilvl w:val="0"/>
          <w:numId w:val="73"/>
        </w:numPr>
        <w:rPr>
          <w:rFonts w:eastAsiaTheme="minorEastAsia"/>
          <w:i/>
          <w:iCs/>
        </w:rPr>
      </w:pPr>
      <w:r w:rsidRPr="006755F2">
        <w:rPr>
          <w:rFonts w:eastAsiaTheme="minorEastAsia"/>
          <w:i/>
          <w:iCs/>
        </w:rPr>
        <w:t>Should the ATEC’s pricing advice, including cost groupings, be predominantly based</w:t>
      </w:r>
      <w:r w:rsidRPr="00A343D0">
        <w:rPr>
          <w:rFonts w:eastAsiaTheme="minorEastAsia"/>
          <w:i/>
          <w:iCs/>
        </w:rPr>
        <w:t xml:space="preserve"> on the efficient cost of delivery of higher education? </w:t>
      </w:r>
      <w:r w:rsidR="00151963">
        <w:rPr>
          <w:rFonts w:eastAsiaTheme="minorEastAsia"/>
          <w:i/>
          <w:iCs/>
        </w:rPr>
        <w:t xml:space="preserve">Are there any </w:t>
      </w:r>
      <w:r w:rsidRPr="00A343D0">
        <w:rPr>
          <w:rFonts w:eastAsiaTheme="minorEastAsia"/>
          <w:i/>
          <w:iCs/>
        </w:rPr>
        <w:t xml:space="preserve">concerns </w:t>
      </w:r>
      <w:r w:rsidR="00151963">
        <w:rPr>
          <w:rFonts w:eastAsiaTheme="minorEastAsia"/>
          <w:i/>
          <w:iCs/>
        </w:rPr>
        <w:t xml:space="preserve">on </w:t>
      </w:r>
      <w:r w:rsidRPr="00A343D0">
        <w:rPr>
          <w:rFonts w:eastAsiaTheme="minorEastAsia"/>
          <w:i/>
          <w:iCs/>
        </w:rPr>
        <w:t>this proposed approach</w:t>
      </w:r>
      <w:r w:rsidR="00B6012B">
        <w:rPr>
          <w:rFonts w:eastAsiaTheme="minorEastAsia"/>
          <w:i/>
          <w:iCs/>
        </w:rPr>
        <w:t xml:space="preserve"> and if so, </w:t>
      </w:r>
      <w:r w:rsidR="00187AD1">
        <w:rPr>
          <w:rFonts w:eastAsiaTheme="minorEastAsia"/>
          <w:i/>
          <w:iCs/>
        </w:rPr>
        <w:t xml:space="preserve">please </w:t>
      </w:r>
      <w:r w:rsidR="00B6012B">
        <w:rPr>
          <w:rFonts w:eastAsiaTheme="minorEastAsia"/>
          <w:i/>
          <w:iCs/>
        </w:rPr>
        <w:t>provide supporting evidence to support your stance</w:t>
      </w:r>
      <w:r w:rsidRPr="00A343D0">
        <w:rPr>
          <w:rFonts w:eastAsiaTheme="minorEastAsia"/>
          <w:i/>
          <w:iCs/>
        </w:rPr>
        <w:t>?</w:t>
      </w:r>
    </w:p>
    <w:p w14:paraId="2A7519A7" w14:textId="17BA5EB5" w:rsidR="002C192A" w:rsidRPr="002C192A" w:rsidRDefault="002C192A" w:rsidP="002C192A">
      <w:pPr>
        <w:pStyle w:val="ListBullet"/>
        <w:numPr>
          <w:ilvl w:val="0"/>
          <w:numId w:val="73"/>
        </w:numPr>
        <w:rPr>
          <w:rFonts w:eastAsiaTheme="minorEastAsia"/>
          <w:i/>
          <w:iCs/>
        </w:rPr>
      </w:pPr>
      <w:r w:rsidRPr="002C192A">
        <w:rPr>
          <w:rFonts w:eastAsiaTheme="minorEastAsia"/>
          <w:i/>
          <w:iCs/>
        </w:rPr>
        <w:t>Should the ATEC recommend a mixed model</w:t>
      </w:r>
      <w:r w:rsidR="009D5EEF">
        <w:rPr>
          <w:rFonts w:eastAsiaTheme="minorEastAsia"/>
          <w:i/>
          <w:iCs/>
        </w:rPr>
        <w:t xml:space="preserve"> of funding</w:t>
      </w:r>
      <w:r w:rsidR="006D3F73">
        <w:rPr>
          <w:rFonts w:eastAsiaTheme="minorEastAsia"/>
          <w:i/>
          <w:iCs/>
        </w:rPr>
        <w:t>?</w:t>
      </w:r>
      <w:r w:rsidRPr="002C192A">
        <w:rPr>
          <w:rFonts w:eastAsiaTheme="minorEastAsia"/>
          <w:i/>
          <w:iCs/>
        </w:rPr>
        <w:t xml:space="preserve"> </w:t>
      </w:r>
      <w:r w:rsidR="00F23966">
        <w:rPr>
          <w:rFonts w:eastAsiaTheme="minorEastAsia"/>
          <w:i/>
          <w:iCs/>
        </w:rPr>
        <w:t xml:space="preserve">Should this be applicable for </w:t>
      </w:r>
      <w:r w:rsidRPr="002C192A">
        <w:rPr>
          <w:rFonts w:eastAsiaTheme="minorEastAsia"/>
          <w:i/>
          <w:iCs/>
        </w:rPr>
        <w:t>all universities</w:t>
      </w:r>
      <w:r w:rsidR="00DE120B">
        <w:rPr>
          <w:rFonts w:eastAsiaTheme="minorEastAsia"/>
          <w:i/>
          <w:iCs/>
        </w:rPr>
        <w:t xml:space="preserve">, or </w:t>
      </w:r>
      <w:r w:rsidR="41AA1D00" w:rsidRPr="6F633830">
        <w:rPr>
          <w:rFonts w:eastAsiaTheme="minorEastAsia"/>
          <w:i/>
          <w:iCs/>
        </w:rPr>
        <w:t>only to</w:t>
      </w:r>
      <w:r w:rsidRPr="002C192A">
        <w:rPr>
          <w:rFonts w:eastAsiaTheme="minorEastAsia"/>
          <w:i/>
          <w:iCs/>
        </w:rPr>
        <w:t xml:space="preserve"> 'smaller' universities </w:t>
      </w:r>
      <w:r w:rsidR="00DE120B">
        <w:rPr>
          <w:rFonts w:eastAsiaTheme="minorEastAsia"/>
          <w:i/>
          <w:iCs/>
        </w:rPr>
        <w:t>(to be</w:t>
      </w:r>
      <w:r w:rsidRPr="002C192A">
        <w:rPr>
          <w:rFonts w:eastAsiaTheme="minorEastAsia"/>
          <w:i/>
          <w:iCs/>
        </w:rPr>
        <w:t xml:space="preserve"> defined</w:t>
      </w:r>
      <w:r w:rsidR="00DE120B">
        <w:rPr>
          <w:rFonts w:eastAsiaTheme="minorEastAsia"/>
          <w:i/>
          <w:iCs/>
        </w:rPr>
        <w:t>)</w:t>
      </w:r>
      <w:r w:rsidRPr="002C192A">
        <w:rPr>
          <w:rFonts w:eastAsiaTheme="minorEastAsia"/>
          <w:i/>
          <w:iCs/>
        </w:rPr>
        <w:t xml:space="preserve">? If a mixed model </w:t>
      </w:r>
      <w:r w:rsidR="000C59D0">
        <w:rPr>
          <w:rFonts w:eastAsiaTheme="minorEastAsia"/>
          <w:i/>
          <w:iCs/>
        </w:rPr>
        <w:t xml:space="preserve">of funding </w:t>
      </w:r>
      <w:r w:rsidRPr="002C192A">
        <w:rPr>
          <w:rFonts w:eastAsiaTheme="minorEastAsia"/>
          <w:i/>
          <w:iCs/>
        </w:rPr>
        <w:t xml:space="preserve">were pursued, how should the proportion of fixed and variable </w:t>
      </w:r>
      <w:r w:rsidR="46CA552F" w:rsidRPr="6F633830">
        <w:rPr>
          <w:rFonts w:eastAsiaTheme="minorEastAsia"/>
          <w:i/>
          <w:iCs/>
        </w:rPr>
        <w:t>funding</w:t>
      </w:r>
      <w:r w:rsidRPr="6F633830">
        <w:rPr>
          <w:rFonts w:eastAsiaTheme="minorEastAsia"/>
          <w:i/>
          <w:iCs/>
        </w:rPr>
        <w:t xml:space="preserve"> </w:t>
      </w:r>
      <w:r w:rsidRPr="002C192A">
        <w:rPr>
          <w:rFonts w:eastAsiaTheme="minorEastAsia"/>
          <w:i/>
          <w:iCs/>
        </w:rPr>
        <w:t>be determined</w:t>
      </w:r>
      <w:r w:rsidR="002E390E">
        <w:rPr>
          <w:rFonts w:eastAsiaTheme="minorEastAsia"/>
          <w:i/>
          <w:iCs/>
        </w:rPr>
        <w:t xml:space="preserve"> and what evidence can be used in this consideration</w:t>
      </w:r>
      <w:r w:rsidRPr="002C192A">
        <w:rPr>
          <w:rFonts w:eastAsiaTheme="minorEastAsia"/>
          <w:i/>
          <w:iCs/>
        </w:rPr>
        <w:t>?</w:t>
      </w:r>
    </w:p>
    <w:p w14:paraId="041E8449" w14:textId="75869851" w:rsidR="0082430E" w:rsidRPr="0082430E" w:rsidRDefault="0082430E" w:rsidP="0082430E">
      <w:pPr>
        <w:pStyle w:val="ListBullet"/>
        <w:numPr>
          <w:ilvl w:val="0"/>
          <w:numId w:val="73"/>
        </w:numPr>
        <w:rPr>
          <w:rFonts w:eastAsiaTheme="minorEastAsia"/>
          <w:i/>
          <w:iCs/>
        </w:rPr>
      </w:pPr>
      <w:r w:rsidRPr="002C192A">
        <w:rPr>
          <w:rFonts w:eastAsiaTheme="minorEastAsia"/>
          <w:i/>
          <w:iCs/>
        </w:rPr>
        <w:t xml:space="preserve">The Framework currently highlights an imbalance between depreciation and capital reinvestment as a measure of sustainability. Should the ATEC recognise this sustainability issue? What factors </w:t>
      </w:r>
      <w:r w:rsidR="00B6012B">
        <w:rPr>
          <w:rFonts w:eastAsiaTheme="minorEastAsia"/>
          <w:i/>
          <w:iCs/>
        </w:rPr>
        <w:t xml:space="preserve">and evidence </w:t>
      </w:r>
      <w:r w:rsidRPr="002C192A">
        <w:rPr>
          <w:rFonts w:eastAsiaTheme="minorEastAsia"/>
          <w:i/>
          <w:iCs/>
        </w:rPr>
        <w:t xml:space="preserve">should the ATEC </w:t>
      </w:r>
      <w:proofErr w:type="gramStart"/>
      <w:r w:rsidRPr="002C192A">
        <w:rPr>
          <w:rFonts w:eastAsiaTheme="minorEastAsia"/>
          <w:i/>
          <w:iCs/>
        </w:rPr>
        <w:t>take into account</w:t>
      </w:r>
      <w:proofErr w:type="gramEnd"/>
      <w:r w:rsidRPr="002C192A">
        <w:rPr>
          <w:rFonts w:eastAsiaTheme="minorEastAsia"/>
          <w:i/>
          <w:iCs/>
        </w:rPr>
        <w:t xml:space="preserve"> in this assessment</w:t>
      </w:r>
      <w:r w:rsidR="007F11E4">
        <w:rPr>
          <w:rFonts w:eastAsiaTheme="minorEastAsia"/>
          <w:i/>
          <w:iCs/>
        </w:rPr>
        <w:t xml:space="preserve">, </w:t>
      </w:r>
      <w:r w:rsidR="007F11E4" w:rsidRPr="007F11E4">
        <w:rPr>
          <w:rFonts w:eastAsiaTheme="minorEastAsia"/>
          <w:i/>
          <w:iCs/>
        </w:rPr>
        <w:t>recognising inherited asset positions</w:t>
      </w:r>
      <w:r w:rsidRPr="002C192A">
        <w:rPr>
          <w:rFonts w:eastAsiaTheme="minorEastAsia"/>
          <w:i/>
          <w:iCs/>
        </w:rPr>
        <w:t>?</w:t>
      </w:r>
    </w:p>
    <w:p w14:paraId="68BB7DB9" w14:textId="76E58E53" w:rsidR="00814358" w:rsidRPr="00DA757B" w:rsidRDefault="002C192A">
      <w:pPr>
        <w:pStyle w:val="ListBullet"/>
        <w:numPr>
          <w:ilvl w:val="0"/>
          <w:numId w:val="73"/>
        </w:numPr>
        <w:spacing w:line="260" w:lineRule="atLeast"/>
        <w:rPr>
          <w:rFonts w:eastAsiaTheme="minorEastAsia"/>
          <w:i/>
          <w:iCs/>
        </w:rPr>
      </w:pPr>
      <w:r w:rsidRPr="00DA757B">
        <w:rPr>
          <w:rFonts w:eastAsiaTheme="minorEastAsia"/>
          <w:i/>
          <w:iCs/>
        </w:rPr>
        <w:lastRenderedPageBreak/>
        <w:t xml:space="preserve">The Framework currently proposes a triennial </w:t>
      </w:r>
      <w:r w:rsidR="00345F0C" w:rsidRPr="00DA757B">
        <w:rPr>
          <w:rFonts w:eastAsiaTheme="minorEastAsia"/>
          <w:i/>
          <w:iCs/>
        </w:rPr>
        <w:t xml:space="preserve">(3-yearly) </w:t>
      </w:r>
      <w:r w:rsidRPr="00DA757B">
        <w:rPr>
          <w:rFonts w:eastAsiaTheme="minorEastAsia"/>
          <w:i/>
          <w:iCs/>
        </w:rPr>
        <w:t>major update, balancing stability and responding to future changes. Is a triennial update an appropriate period for such an undertaking?</w:t>
      </w:r>
      <w:r w:rsidR="00814358" w:rsidRPr="00DA757B">
        <w:rPr>
          <w:rFonts w:eastAsiaTheme="minorEastAsia"/>
          <w:i/>
          <w:iCs/>
        </w:rPr>
        <w:br w:type="page"/>
      </w:r>
    </w:p>
    <w:p w14:paraId="40FE980F" w14:textId="77777777" w:rsidR="00686D0F" w:rsidRPr="00F07605" w:rsidRDefault="001D5CBC" w:rsidP="004C0B60">
      <w:pPr>
        <w:pStyle w:val="Heading1"/>
      </w:pPr>
      <w:bookmarkStart w:id="2" w:name="_Toc244072875"/>
      <w:r w:rsidRPr="00F07605">
        <w:lastRenderedPageBreak/>
        <w:t>Introduction</w:t>
      </w:r>
      <w:bookmarkEnd w:id="1"/>
      <w:bookmarkEnd w:id="2"/>
    </w:p>
    <w:p w14:paraId="0CAE4514" w14:textId="6584EE27" w:rsidR="0056307E" w:rsidRPr="00F07605" w:rsidRDefault="0056307E" w:rsidP="000E6B90">
      <w:r w:rsidRPr="00C92817">
        <w:t xml:space="preserve">The Australian Tertiary Education Commission (ATEC) is the independent steward for Australia’s higher education system. </w:t>
      </w:r>
      <w:r w:rsidR="00850688">
        <w:t>The ATEC has been</w:t>
      </w:r>
      <w:r>
        <w:t xml:space="preserve"> tasked with creating a better</w:t>
      </w:r>
      <w:r w:rsidR="66339BF2">
        <w:t xml:space="preserve">, </w:t>
      </w:r>
      <w:r>
        <w:t>fairer tertiary education system that delivers for students and</w:t>
      </w:r>
      <w:r w:rsidR="00B100F9">
        <w:t xml:space="preserve"> </w:t>
      </w:r>
      <w:r w:rsidR="00437B83">
        <w:t>progresses</w:t>
      </w:r>
      <w:r>
        <w:t xml:space="preserve"> the National Tertiary Education Objective (NTEO). The establishment of the ATEC was one of the key recommendations of the Australian Universities Accord.</w:t>
      </w:r>
    </w:p>
    <w:p w14:paraId="149CB80E" w14:textId="6249A1E5" w:rsidR="0056307E" w:rsidRPr="00F07605" w:rsidRDefault="0056307E" w:rsidP="000E6B90">
      <w:pPr>
        <w:rPr>
          <w:szCs w:val="22"/>
        </w:rPr>
      </w:pPr>
      <w:r w:rsidRPr="00C92817">
        <w:t xml:space="preserve">The </w:t>
      </w:r>
      <w:r w:rsidRPr="00F07605">
        <w:rPr>
          <w:i/>
          <w:szCs w:val="22"/>
        </w:rPr>
        <w:t>Universities Accord (Australian Tertiary Education Commission) Act 2026</w:t>
      </w:r>
      <w:r w:rsidRPr="00F07605">
        <w:rPr>
          <w:szCs w:val="22"/>
        </w:rPr>
        <w:t xml:space="preserve"> (the Act) came into effect on 29 April 2026. Among the ATEC’s functions is the provision of independent advice to </w:t>
      </w:r>
      <w:r w:rsidR="00A368BB" w:rsidRPr="00F07605">
        <w:rPr>
          <w:szCs w:val="22"/>
        </w:rPr>
        <w:t>Government</w:t>
      </w:r>
      <w:r w:rsidRPr="00F07605">
        <w:rPr>
          <w:szCs w:val="22"/>
        </w:rPr>
        <w:t xml:space="preserve"> on the tertiary education system including in relation to:</w:t>
      </w:r>
    </w:p>
    <w:p w14:paraId="5B4DB5DE" w14:textId="1B3E0FE7" w:rsidR="0056307E" w:rsidRPr="00F07605" w:rsidRDefault="0056307E" w:rsidP="000001FA">
      <w:pPr>
        <w:pStyle w:val="Blockquote1"/>
      </w:pPr>
      <w:r w:rsidRPr="00F07605">
        <w:t xml:space="preserve">ii. the efficient cost of higher education across disciplines and student cohorts and in relation to the Commonwealth contribution amounts for places in funding </w:t>
      </w:r>
      <w:proofErr w:type="gramStart"/>
      <w:r w:rsidRPr="00F07605">
        <w:t>clusters;…</w:t>
      </w:r>
      <w:proofErr w:type="gramEnd"/>
      <w:r w:rsidRPr="00F07605">
        <w:t>” (Subparagraph 11(d)(ii))</w:t>
      </w:r>
    </w:p>
    <w:p w14:paraId="00B064EE" w14:textId="7F3D2D4A" w:rsidR="007E1968" w:rsidRDefault="3F2AE74F" w:rsidP="00BB0164">
      <w:r>
        <w:t>The Act uses the term ‘cost of higher education.’ The term ‘</w:t>
      </w:r>
      <w:r w:rsidR="150814B8">
        <w:t xml:space="preserve">delivering </w:t>
      </w:r>
      <w:r>
        <w:t xml:space="preserve">teaching and </w:t>
      </w:r>
      <w:r w:rsidR="150814B8">
        <w:t xml:space="preserve">supporting </w:t>
      </w:r>
      <w:r>
        <w:t xml:space="preserve">scholarship’ is used here, to make explicit the interactive and joint nature of teaching and scholarship in higher education. </w:t>
      </w:r>
      <w:r w:rsidR="4980C59F">
        <w:t>‘</w:t>
      </w:r>
      <w:r w:rsidR="00826AB0">
        <w:t>Supporting scholarship</w:t>
      </w:r>
      <w:r w:rsidR="00D83CA5">
        <w:t>’</w:t>
      </w:r>
      <w:r w:rsidR="00826AB0">
        <w:t xml:space="preserve"> </w:t>
      </w:r>
      <w:r w:rsidR="008D424C">
        <w:t xml:space="preserve">includes </w:t>
      </w:r>
      <w:r w:rsidR="4980C59F">
        <w:t>direct supports</w:t>
      </w:r>
      <w:r w:rsidR="00BA0DB2">
        <w:t xml:space="preserve"> for</w:t>
      </w:r>
      <w:r w:rsidR="4980C59F">
        <w:t xml:space="preserve"> teaching including innovation in pedagogy, curriculum design and contemporary approaches to engaging, supporting and assessing students. It also involves remaining abreast of the discipline to ensure that courses are up to date and relevant.</w:t>
      </w:r>
    </w:p>
    <w:p w14:paraId="75E1F2A8" w14:textId="5C988002" w:rsidR="007E1968" w:rsidRDefault="005F66E7" w:rsidP="1FA4C35C">
      <w:r>
        <w:t>The ATEC acknowledge</w:t>
      </w:r>
      <w:r w:rsidR="00FA42D0">
        <w:t>s</w:t>
      </w:r>
      <w:r w:rsidR="4980C59F">
        <w:t xml:space="preserve"> most academic staff are appointed into roles involving both teaching and </w:t>
      </w:r>
      <w:r w:rsidR="4980C59F" w:rsidRPr="00814358">
        <w:t>research.</w:t>
      </w:r>
      <w:r w:rsidR="79EFC0E6" w:rsidRPr="00814358">
        <w:t xml:space="preserve"> </w:t>
      </w:r>
      <w:r w:rsidR="49C7988D" w:rsidRPr="00814358">
        <w:t>While broader research costs are out of scope</w:t>
      </w:r>
      <w:r w:rsidR="0D1D3284" w:rsidRPr="00814358">
        <w:t xml:space="preserve"> (</w:t>
      </w:r>
      <w:r w:rsidR="7CE2027C" w:rsidRPr="00814358">
        <w:t>see Table 1</w:t>
      </w:r>
      <w:r w:rsidR="0D1D3284" w:rsidRPr="00814358">
        <w:t>)</w:t>
      </w:r>
      <w:r w:rsidR="49C7988D" w:rsidRPr="00814358">
        <w:t>, research ex</w:t>
      </w:r>
      <w:r w:rsidR="7F6A19DB" w:rsidRPr="00814358">
        <w:t>pen</w:t>
      </w:r>
      <w:r w:rsidR="169506FE" w:rsidRPr="00814358">
        <w:t>diture may be examined by the ATEC to understand teaching</w:t>
      </w:r>
      <w:r w:rsidR="169506FE">
        <w:t xml:space="preserve"> costs, cost allocation practices and the relationships between teaching, </w:t>
      </w:r>
      <w:r w:rsidR="58F672ED">
        <w:t>scholarship and research.</w:t>
      </w:r>
    </w:p>
    <w:p w14:paraId="07074BD6" w14:textId="716F281E" w:rsidR="007E1968" w:rsidRDefault="3F2AE74F" w:rsidP="00BB0164">
      <w:r>
        <w:t xml:space="preserve">The </w:t>
      </w:r>
      <w:r w:rsidR="5531A9A0">
        <w:t xml:space="preserve">overarching </w:t>
      </w:r>
      <w:r>
        <w:t xml:space="preserve">aim is that the </w:t>
      </w:r>
      <w:r w:rsidR="71906E4E">
        <w:t>base funding amounts (</w:t>
      </w:r>
      <w:r w:rsidR="6F207F9B">
        <w:t xml:space="preserve">referred to as </w:t>
      </w:r>
      <w:r w:rsidR="59B3B2BF">
        <w:t xml:space="preserve">total </w:t>
      </w:r>
      <w:r w:rsidR="71906E4E">
        <w:t>pric</w:t>
      </w:r>
      <w:r w:rsidR="59B3B2BF">
        <w:t>e</w:t>
      </w:r>
      <w:r w:rsidR="71906E4E">
        <w:t>)</w:t>
      </w:r>
      <w:r>
        <w:t xml:space="preserve"> should enable sustainable, high-quality teaching and </w:t>
      </w:r>
      <w:r w:rsidR="06A3CC21">
        <w:t xml:space="preserve">supporting </w:t>
      </w:r>
      <w:r>
        <w:t xml:space="preserve">scholarship </w:t>
      </w:r>
      <w:r w:rsidR="0A8D8E88">
        <w:t>for</w:t>
      </w:r>
      <w:r>
        <w:t xml:space="preserve"> all providers, aligned with each provider’s mission.</w:t>
      </w:r>
    </w:p>
    <w:p w14:paraId="1DFD1556" w14:textId="669C33E0" w:rsidR="00055FB5" w:rsidRPr="00F07605" w:rsidRDefault="00055FB5" w:rsidP="00BB0164">
      <w:r w:rsidRPr="005C7458">
        <w:t>The A</w:t>
      </w:r>
      <w:r>
        <w:t>ct</w:t>
      </w:r>
      <w:r w:rsidRPr="005C7458">
        <w:t xml:space="preserve"> distinguishes </w:t>
      </w:r>
      <w:r>
        <w:t>two</w:t>
      </w:r>
      <w:r w:rsidRPr="005C7458">
        <w:t xml:space="preserve"> domains of advice, the </w:t>
      </w:r>
      <w:r>
        <w:t>fir</w:t>
      </w:r>
      <w:r w:rsidRPr="005C7458">
        <w:t xml:space="preserve">st about costs and the second about Commonwealth contribution amounts. The term </w:t>
      </w:r>
      <w:r>
        <w:t>‘</w:t>
      </w:r>
      <w:r w:rsidR="00D64FAB">
        <w:t xml:space="preserve">total </w:t>
      </w:r>
      <w:r w:rsidRPr="005C7458">
        <w:t>price</w:t>
      </w:r>
      <w:r>
        <w:t>’</w:t>
      </w:r>
      <w:r w:rsidRPr="005C7458">
        <w:t xml:space="preserve"> is used in this paper to refer to the total payments </w:t>
      </w:r>
      <w:r>
        <w:t xml:space="preserve">to </w:t>
      </w:r>
      <w:r w:rsidRPr="005C7458">
        <w:t>a university for teaching and supporting scholarship</w:t>
      </w:r>
      <w:r w:rsidR="00865997">
        <w:t>. This</w:t>
      </w:r>
      <w:r w:rsidRPr="005C7458">
        <w:t xml:space="preserve"> is the sum of the Commonwealth contribution amount and the student contribution amount</w:t>
      </w:r>
      <w:r>
        <w:t>.</w:t>
      </w:r>
    </w:p>
    <w:p w14:paraId="245A0220" w14:textId="24783738" w:rsidR="00204B40" w:rsidRPr="00F07605" w:rsidRDefault="00204B40" w:rsidP="00204B40">
      <w:pPr>
        <w:pStyle w:val="Heading2"/>
        <w:rPr>
          <w:kern w:val="2"/>
          <w:szCs w:val="32"/>
          <w14:ligatures w14:val="standardContextual"/>
        </w:rPr>
      </w:pPr>
      <w:bookmarkStart w:id="3" w:name="_Toc239680537"/>
      <w:r w:rsidRPr="00F07605">
        <w:t xml:space="preserve">Scope of the </w:t>
      </w:r>
      <w:r w:rsidR="00947815">
        <w:t xml:space="preserve">ATEC </w:t>
      </w:r>
      <w:r w:rsidR="00F34F99">
        <w:t xml:space="preserve">Costing and </w:t>
      </w:r>
      <w:r w:rsidR="00AC3EED">
        <w:t>Pricing Framework</w:t>
      </w:r>
    </w:p>
    <w:bookmarkEnd w:id="3"/>
    <w:p w14:paraId="3F2DC2FB" w14:textId="4780CD08" w:rsidR="00A945CA" w:rsidRDefault="003A6CFF" w:rsidP="00114DAF">
      <w:pPr>
        <w:rPr>
          <w:rFonts w:ascii="Arial" w:hAnsi="Arial"/>
        </w:rPr>
      </w:pPr>
      <w:r w:rsidRPr="00F07605">
        <w:rPr>
          <w:rFonts w:ascii="Arial" w:hAnsi="Arial"/>
        </w:rPr>
        <w:t>Th</w:t>
      </w:r>
      <w:r>
        <w:rPr>
          <w:rFonts w:ascii="Arial" w:hAnsi="Arial"/>
        </w:rPr>
        <w:t>e ATEC</w:t>
      </w:r>
      <w:r w:rsidRPr="00F07605">
        <w:rPr>
          <w:rFonts w:ascii="Arial" w:hAnsi="Arial"/>
        </w:rPr>
        <w:t xml:space="preserve"> </w:t>
      </w:r>
      <w:r w:rsidR="00F34F99">
        <w:rPr>
          <w:rFonts w:ascii="Arial" w:hAnsi="Arial"/>
        </w:rPr>
        <w:t xml:space="preserve">Costing and </w:t>
      </w:r>
      <w:r w:rsidR="00114DAF" w:rsidRPr="00F07605">
        <w:rPr>
          <w:rFonts w:ascii="Arial" w:hAnsi="Arial"/>
        </w:rPr>
        <w:t xml:space="preserve">Pricing Framework (the Framework) </w:t>
      </w:r>
      <w:r w:rsidR="00F32103">
        <w:rPr>
          <w:rFonts w:ascii="Arial" w:hAnsi="Arial"/>
        </w:rPr>
        <w:t xml:space="preserve">will guide the provision of evidence-based advice by the </w:t>
      </w:r>
      <w:r w:rsidR="00A945CA">
        <w:rPr>
          <w:rFonts w:ascii="Arial" w:hAnsi="Arial"/>
        </w:rPr>
        <w:t>ATEC</w:t>
      </w:r>
      <w:r w:rsidR="00F32103">
        <w:rPr>
          <w:rFonts w:ascii="Arial" w:hAnsi="Arial"/>
        </w:rPr>
        <w:t xml:space="preserve"> to support funding decisions for </w:t>
      </w:r>
      <w:r w:rsidR="00B5117C">
        <w:rPr>
          <w:rFonts w:ascii="Arial" w:hAnsi="Arial"/>
        </w:rPr>
        <w:t>CSPs in universities</w:t>
      </w:r>
      <w:r w:rsidR="00344913">
        <w:rPr>
          <w:rFonts w:ascii="Arial" w:hAnsi="Arial"/>
        </w:rPr>
        <w:t xml:space="preserve">. </w:t>
      </w:r>
    </w:p>
    <w:p w14:paraId="1EBD73BB" w14:textId="42519CF0" w:rsidR="00483389" w:rsidRDefault="00983CC4" w:rsidP="00114DAF">
      <w:pPr>
        <w:rPr>
          <w:rFonts w:ascii="Arial" w:hAnsi="Arial"/>
        </w:rPr>
      </w:pPr>
      <w:r w:rsidRPr="00983CC4">
        <w:rPr>
          <w:rFonts w:ascii="Arial" w:hAnsi="Arial"/>
        </w:rPr>
        <w:t>The Framework will outline the objectives, principles and methodology that guide the ATEC's estimation of efficient costs and development of pricing advice to Government.</w:t>
      </w:r>
      <w:r w:rsidR="00344913">
        <w:rPr>
          <w:rFonts w:ascii="Arial" w:hAnsi="Arial"/>
        </w:rPr>
        <w:t xml:space="preserve"> It will establish</w:t>
      </w:r>
      <w:r w:rsidR="00B05864">
        <w:rPr>
          <w:rFonts w:ascii="Arial" w:hAnsi="Arial"/>
        </w:rPr>
        <w:t xml:space="preserve"> a transparent and systematic approach to estimating the efficient cost of delivering teaching and supporting </w:t>
      </w:r>
      <w:r w:rsidR="00114DAF" w:rsidRPr="00F07605">
        <w:rPr>
          <w:rFonts w:ascii="Arial" w:hAnsi="Arial"/>
        </w:rPr>
        <w:t xml:space="preserve">scholarship </w:t>
      </w:r>
      <w:r w:rsidR="00B05864">
        <w:rPr>
          <w:rFonts w:ascii="Arial" w:hAnsi="Arial"/>
        </w:rPr>
        <w:t>at Australian universities and explain how this evidence will inform advice on cost grouping, price amounts and potential price adjustments.</w:t>
      </w:r>
    </w:p>
    <w:p w14:paraId="1A3A2910" w14:textId="1421B41B" w:rsidR="007E3A55" w:rsidRDefault="00B05864" w:rsidP="00AD2229">
      <w:r>
        <w:t>The Framework will also describe</w:t>
      </w:r>
      <w:r w:rsidR="007E3A55">
        <w:t xml:space="preserve"> the data, analytical methods, governance and review arrangements that support the development of pricing advice. As part of this work, the ATEC proposes to establish the Australian </w:t>
      </w:r>
      <w:r w:rsidR="007C523F">
        <w:t xml:space="preserve">Universities </w:t>
      </w:r>
      <w:r w:rsidR="007E3A55">
        <w:t>Cost</w:t>
      </w:r>
      <w:r w:rsidR="00045326">
        <w:t>s</w:t>
      </w:r>
      <w:r w:rsidR="007E3A55">
        <w:t xml:space="preserve"> Dataset (AUCD), which will provide the primary evidence base for efficient-cost estimation and analysis of higher education delivery costs</w:t>
      </w:r>
      <w:r w:rsidR="008B4C77">
        <w:t>.</w:t>
      </w:r>
    </w:p>
    <w:p w14:paraId="42437DE2" w14:textId="2AD520E1" w:rsidR="009B2002" w:rsidRDefault="009B2002" w:rsidP="00A343A0">
      <w:r>
        <w:lastRenderedPageBreak/>
        <w:t>The Framework does not determine funding levels, student contribution amounts, implementation arrangements or the overall funding available to the sector. Government remains responsible for final policy decisions, while the Department of Education will continue to support the Minister in considering the ATEC’s advice.</w:t>
      </w:r>
    </w:p>
    <w:p w14:paraId="20D4EE4B" w14:textId="21C4AD5B" w:rsidR="00330A26" w:rsidRDefault="00330A26" w:rsidP="00A343A0">
      <w:r>
        <w:t>T</w:t>
      </w:r>
      <w:r w:rsidR="00A343A0" w:rsidRPr="00F07605">
        <w:t xml:space="preserve">he </w:t>
      </w:r>
      <w:r>
        <w:t xml:space="preserve">Framework focuses on identifying total prices for </w:t>
      </w:r>
      <w:r w:rsidR="00B5117C">
        <w:t xml:space="preserve">CSPs </w:t>
      </w:r>
      <w:r>
        <w:t xml:space="preserve">by examining the efficient cost of delivering teaching and supporting scholarship. </w:t>
      </w:r>
    </w:p>
    <w:p w14:paraId="23A1A834" w14:textId="6BE4CD5B" w:rsidR="00A343A0" w:rsidRPr="00F07605" w:rsidRDefault="7BA03AAA" w:rsidP="1FA4C35C">
      <w:r>
        <w:t>T</w:t>
      </w:r>
      <w:r w:rsidR="1E46BDB2">
        <w:t xml:space="preserve">he </w:t>
      </w:r>
      <w:r w:rsidR="22FD6198">
        <w:t xml:space="preserve">funding </w:t>
      </w:r>
      <w:r w:rsidR="1E46BDB2">
        <w:t>of research</w:t>
      </w:r>
      <w:r>
        <w:t xml:space="preserve"> and research training</w:t>
      </w:r>
      <w:r w:rsidR="1E46BDB2">
        <w:t xml:space="preserve"> is </w:t>
      </w:r>
      <w:r w:rsidR="72DD5ECF">
        <w:t xml:space="preserve">outside </w:t>
      </w:r>
      <w:r w:rsidR="1E46BDB2">
        <w:t xml:space="preserve">the </w:t>
      </w:r>
      <w:r w:rsidR="1F298B20">
        <w:t xml:space="preserve">scope of </w:t>
      </w:r>
      <w:r w:rsidR="00814358">
        <w:t xml:space="preserve">this </w:t>
      </w:r>
      <w:r w:rsidR="38D918F4">
        <w:t>work</w:t>
      </w:r>
      <w:r w:rsidR="1E46BDB2">
        <w:t xml:space="preserve">. The </w:t>
      </w:r>
      <w:r w:rsidR="72DD5ECF">
        <w:t>F</w:t>
      </w:r>
      <w:r w:rsidR="1E46BDB2">
        <w:t xml:space="preserve">ramework does not seek to price research as a separate activity. However, the ATEC </w:t>
      </w:r>
      <w:r w:rsidR="72DD5ECF">
        <w:t xml:space="preserve">intends to </w:t>
      </w:r>
      <w:r w:rsidR="6D52B58B">
        <w:t xml:space="preserve">collect and </w:t>
      </w:r>
      <w:r w:rsidR="1E46BDB2">
        <w:t>consider research-related costs</w:t>
      </w:r>
      <w:r w:rsidR="72DD5ECF">
        <w:t xml:space="preserve"> (through the AUCD)</w:t>
      </w:r>
      <w:r w:rsidR="1E46BDB2">
        <w:t xml:space="preserve"> where necessary to understand the full cost of delivering high-quality teaching and scholarship</w:t>
      </w:r>
      <w:r w:rsidR="7BD77824">
        <w:t xml:space="preserve">, or where </w:t>
      </w:r>
      <w:r w:rsidR="384BD78F">
        <w:t xml:space="preserve">research activity </w:t>
      </w:r>
      <w:r w:rsidR="1E46BDB2">
        <w:t>materially affect</w:t>
      </w:r>
      <w:r w:rsidR="384BD78F">
        <w:t>s</w:t>
      </w:r>
      <w:r w:rsidR="1E46BDB2">
        <w:t xml:space="preserve"> observed teaching costs and cost allocation methods</w:t>
      </w:r>
      <w:r w:rsidR="595D3C47">
        <w:t>.</w:t>
      </w:r>
      <w:r w:rsidR="0237F97B">
        <w:t xml:space="preserve"> </w:t>
      </w:r>
      <w:r w:rsidR="0445F55A">
        <w:t>Similarly</w:t>
      </w:r>
      <w:r w:rsidR="0237F97B">
        <w:t xml:space="preserve">, </w:t>
      </w:r>
      <w:r w:rsidR="0445F55A">
        <w:t xml:space="preserve">while </w:t>
      </w:r>
      <w:r w:rsidR="0237F97B">
        <w:t xml:space="preserve">the Framework does not address the </w:t>
      </w:r>
      <w:r w:rsidR="1564087A">
        <w:t xml:space="preserve">funding </w:t>
      </w:r>
      <w:r w:rsidR="0237F97B">
        <w:t xml:space="preserve">arrangements for international students or domestic full </w:t>
      </w:r>
      <w:r w:rsidR="659C37E8">
        <w:t>fee-paying</w:t>
      </w:r>
      <w:r w:rsidR="0237F97B">
        <w:t xml:space="preserve"> places</w:t>
      </w:r>
      <w:r w:rsidR="77AE1C2C">
        <w:t>,</w:t>
      </w:r>
      <w:r w:rsidR="09055ED2">
        <w:t xml:space="preserve"> </w:t>
      </w:r>
      <w:r w:rsidR="74DDA5A0">
        <w:t xml:space="preserve">information </w:t>
      </w:r>
      <w:r w:rsidR="0445F55A">
        <w:t xml:space="preserve">in these activities may be considered where it contributes to a better </w:t>
      </w:r>
      <w:r w:rsidR="74DDA5A0">
        <w:t>understand</w:t>
      </w:r>
      <w:r w:rsidR="0445F55A">
        <w:t>ing</w:t>
      </w:r>
      <w:r w:rsidR="1EE5CE07">
        <w:t xml:space="preserve"> </w:t>
      </w:r>
      <w:r w:rsidR="501C0A5A">
        <w:t xml:space="preserve">of </w:t>
      </w:r>
      <w:r w:rsidR="00B67480">
        <w:t xml:space="preserve">the </w:t>
      </w:r>
      <w:r w:rsidR="1F28E1A2">
        <w:t>cost</w:t>
      </w:r>
      <w:r w:rsidR="00FE4F9F">
        <w:t xml:space="preserve"> of</w:t>
      </w:r>
      <w:r w:rsidR="1F28E1A2">
        <w:t xml:space="preserve"> delivery for high-quality teaching and learning </w:t>
      </w:r>
      <w:r w:rsidR="009836B5">
        <w:t xml:space="preserve">for </w:t>
      </w:r>
      <w:r w:rsidR="776D59B1">
        <w:t>domestic</w:t>
      </w:r>
      <w:r w:rsidR="1F28E1A2">
        <w:t xml:space="preserve"> students</w:t>
      </w:r>
      <w:r w:rsidR="0237F97B">
        <w:t>.</w:t>
      </w:r>
    </w:p>
    <w:p w14:paraId="013D74A4" w14:textId="4FBE4B00" w:rsidR="2912A863" w:rsidRPr="00F07605" w:rsidRDefault="501C0A5A" w:rsidP="07FCB0E9">
      <w:r w:rsidRPr="1FA4C35C">
        <w:rPr>
          <w:rFonts w:ascii="Arial" w:hAnsi="Arial"/>
        </w:rPr>
        <w:t>Finally</w:t>
      </w:r>
      <w:r w:rsidR="43BECE26" w:rsidRPr="1FA4C35C">
        <w:rPr>
          <w:rFonts w:ascii="Arial" w:hAnsi="Arial"/>
        </w:rPr>
        <w:t xml:space="preserve">, the </w:t>
      </w:r>
      <w:r w:rsidRPr="1FA4C35C">
        <w:rPr>
          <w:rFonts w:ascii="Arial" w:hAnsi="Arial"/>
        </w:rPr>
        <w:t xml:space="preserve">Framework seeks to clarify </w:t>
      </w:r>
      <w:r w:rsidR="3D4CC2E5" w:rsidRPr="1FA4C35C">
        <w:rPr>
          <w:rFonts w:ascii="Arial" w:hAnsi="Arial"/>
        </w:rPr>
        <w:t xml:space="preserve">the </w:t>
      </w:r>
      <w:r w:rsidR="43BECE26" w:rsidRPr="1FA4C35C">
        <w:rPr>
          <w:rFonts w:ascii="Arial" w:hAnsi="Arial"/>
        </w:rPr>
        <w:t xml:space="preserve">role of pricing within the broader higher education funding system. </w:t>
      </w:r>
      <w:r w:rsidR="75BA8D7C" w:rsidRPr="1FA4C35C">
        <w:rPr>
          <w:rFonts w:ascii="Arial" w:hAnsi="Arial"/>
        </w:rPr>
        <w:t xml:space="preserve">It will examine where </w:t>
      </w:r>
      <w:r w:rsidR="43BECE26" w:rsidRPr="1FA4C35C">
        <w:rPr>
          <w:rFonts w:ascii="Arial" w:hAnsi="Arial"/>
        </w:rPr>
        <w:t xml:space="preserve">efficient teaching and scholarship </w:t>
      </w:r>
      <w:r w:rsidR="75BA8D7C" w:rsidRPr="1FA4C35C">
        <w:rPr>
          <w:rFonts w:ascii="Arial" w:hAnsi="Arial"/>
        </w:rPr>
        <w:t xml:space="preserve">costs are most appropriately </w:t>
      </w:r>
      <w:r w:rsidR="43BECE26" w:rsidRPr="1FA4C35C">
        <w:rPr>
          <w:rFonts w:ascii="Arial" w:hAnsi="Arial"/>
        </w:rPr>
        <w:t xml:space="preserve">recognised through </w:t>
      </w:r>
      <w:r w:rsidR="5FC571DB" w:rsidRPr="1FA4C35C">
        <w:rPr>
          <w:rFonts w:ascii="Arial" w:hAnsi="Arial"/>
        </w:rPr>
        <w:t xml:space="preserve">the total </w:t>
      </w:r>
      <w:r w:rsidR="43BECE26" w:rsidRPr="1FA4C35C">
        <w:rPr>
          <w:rFonts w:ascii="Arial" w:hAnsi="Arial"/>
        </w:rPr>
        <w:t>price</w:t>
      </w:r>
      <w:r w:rsidR="099FA732" w:rsidRPr="1FA4C35C">
        <w:rPr>
          <w:rFonts w:ascii="Arial" w:hAnsi="Arial"/>
        </w:rPr>
        <w:t xml:space="preserve"> (see</w:t>
      </w:r>
      <w:r w:rsidR="5DF42FE0" w:rsidRPr="1FA4C35C">
        <w:rPr>
          <w:rFonts w:ascii="Arial" w:hAnsi="Arial"/>
        </w:rPr>
        <w:t xml:space="preserve"> Appendix 1)</w:t>
      </w:r>
      <w:r w:rsidR="535DBC32" w:rsidRPr="1FA4C35C">
        <w:rPr>
          <w:rFonts w:ascii="Arial" w:hAnsi="Arial"/>
        </w:rPr>
        <w:t xml:space="preserve">, pricing adjustments or other funding mechanisms. </w:t>
      </w:r>
      <w:r w:rsidR="35C44259" w:rsidRPr="1FA4C35C">
        <w:rPr>
          <w:rFonts w:ascii="Arial" w:hAnsi="Arial"/>
        </w:rPr>
        <w:t xml:space="preserve">The Framework </w:t>
      </w:r>
      <w:r w:rsidR="5B7E1623" w:rsidRPr="1FA4C35C">
        <w:rPr>
          <w:rFonts w:ascii="Arial" w:hAnsi="Arial"/>
        </w:rPr>
        <w:t xml:space="preserve">will also </w:t>
      </w:r>
      <w:r w:rsidR="7B01E40B" w:rsidRPr="1FA4C35C">
        <w:rPr>
          <w:rFonts w:ascii="Arial" w:hAnsi="Arial"/>
        </w:rPr>
        <w:t xml:space="preserve">provide a transparent basis for understanding how pricing interacts with </w:t>
      </w:r>
      <w:r w:rsidR="43BECE26" w:rsidRPr="1FA4C35C">
        <w:rPr>
          <w:rFonts w:ascii="Arial" w:hAnsi="Arial"/>
        </w:rPr>
        <w:t>needs-based funding arrangements, targeted support programs</w:t>
      </w:r>
      <w:r w:rsidR="50E7CC1B" w:rsidRPr="1FA4C35C">
        <w:rPr>
          <w:rFonts w:ascii="Arial" w:hAnsi="Arial"/>
        </w:rPr>
        <w:t xml:space="preserve"> </w:t>
      </w:r>
      <w:r w:rsidR="152AF8CC" w:rsidRPr="1FA4C35C">
        <w:rPr>
          <w:rFonts w:ascii="Arial" w:hAnsi="Arial"/>
        </w:rPr>
        <w:t>and broader funding policy objectives.</w:t>
      </w:r>
    </w:p>
    <w:p w14:paraId="7F02ABB2" w14:textId="4FFE8E42" w:rsidR="000E113D" w:rsidRDefault="000E113D" w:rsidP="000E113D">
      <w:pPr>
        <w:pStyle w:val="Caption"/>
        <w:jc w:val="center"/>
      </w:pPr>
      <w:bookmarkStart w:id="4" w:name="_Ref241683975"/>
      <w:r>
        <w:lastRenderedPageBreak/>
        <w:t xml:space="preserve">Table </w:t>
      </w:r>
      <w:r>
        <w:fldChar w:fldCharType="begin"/>
      </w:r>
      <w:r>
        <w:instrText>SEQ Table \* ARABIC</w:instrText>
      </w:r>
      <w:r>
        <w:fldChar w:fldCharType="separate"/>
      </w:r>
      <w:r>
        <w:rPr>
          <w:noProof/>
        </w:rPr>
        <w:t>1</w:t>
      </w:r>
      <w:r>
        <w:fldChar w:fldCharType="end"/>
      </w:r>
      <w:bookmarkEnd w:id="4"/>
      <w:r>
        <w:t xml:space="preserve">: </w:t>
      </w:r>
      <w:r w:rsidR="0098423C">
        <w:t>Items in scope and out of scope for the ATEC</w:t>
      </w:r>
      <w:r w:rsidR="00FB1CF0">
        <w:t>’s costing and pricing advice</w:t>
      </w:r>
    </w:p>
    <w:p w14:paraId="5AE666A2" w14:textId="79A31506" w:rsidR="2912A863" w:rsidRPr="00F07605" w:rsidRDefault="52C1DD7B" w:rsidP="00FD68CF">
      <w:pPr>
        <w:jc w:val="center"/>
      </w:pPr>
      <w:r>
        <w:rPr>
          <w:noProof/>
        </w:rPr>
        <w:drawing>
          <wp:inline distT="0" distB="0" distL="0" distR="0" wp14:anchorId="4A2300AF" wp14:editId="540C23F7">
            <wp:extent cx="4552950" cy="6124575"/>
            <wp:effectExtent l="0" t="0" r="0" b="0"/>
            <wp:docPr id="708971490" name="drawing" descr="Table 1 is the scope table for ATEC's university costing and pricing advice. &#10;&#10;Seven matters are in scope: cross-subsidisation and cost allocation analysis; efficient cost and total price; base prices and loadings; structural cost drivers; data and analytical methods; governance and review; and relevant research-related costs. &#10;&#10;Seven matters are out of scope, including internal university resource-allocation decisions, final government funding decisions, legislation and timing, pricing other categories of education or research, alternative funding objectives, and unrelated expend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71490" name="drawing" descr="Table 1 is the scope table for ATEC's university costing and pricing advice. &#10;&#10;Seven matters are in scope: cross-subsidisation and cost allocation analysis; efficient cost and total price; base prices and loadings; structural cost drivers; data and analytical methods; governance and review; and relevant research-related costs. &#10;&#10;Seven matters are out of scope, including internal university resource-allocation decisions, final government funding decisions, legislation and timing, pricing other categories of education or research, alternative funding objectives, and unrelated expenditure."/>
                    <pic:cNvPicPr/>
                  </pic:nvPicPr>
                  <pic:blipFill>
                    <a:blip r:embed="rId20">
                      <a:extLst>
                        <a:ext uri="{28A0092B-C50C-407E-A947-70E740481C1C}">
                          <a14:useLocalDpi xmlns:a14="http://schemas.microsoft.com/office/drawing/2010/main"/>
                        </a:ext>
                      </a:extLst>
                    </a:blip>
                    <a:stretch>
                      <a:fillRect/>
                    </a:stretch>
                  </pic:blipFill>
                  <pic:spPr>
                    <a:xfrm>
                      <a:off x="0" y="0"/>
                      <a:ext cx="4552950" cy="6124575"/>
                    </a:xfrm>
                    <a:prstGeom prst="rect">
                      <a:avLst/>
                    </a:prstGeom>
                  </pic:spPr>
                </pic:pic>
              </a:graphicData>
            </a:graphic>
          </wp:inline>
        </w:drawing>
      </w:r>
    </w:p>
    <w:p w14:paraId="46BA8F4B" w14:textId="77777777" w:rsidR="00204B40" w:rsidRPr="00F07605" w:rsidRDefault="00204B40" w:rsidP="00204B40">
      <w:pPr>
        <w:pStyle w:val="Heading2"/>
        <w:rPr>
          <w:kern w:val="2"/>
          <w:szCs w:val="32"/>
          <w14:ligatures w14:val="standardContextual"/>
        </w:rPr>
      </w:pPr>
      <w:r w:rsidRPr="00F07605">
        <w:t>Where the Framework sits within the overall pricing system</w:t>
      </w:r>
    </w:p>
    <w:p w14:paraId="0BBE9BE0" w14:textId="3FD11A16" w:rsidR="00A343A0" w:rsidRPr="00F07605" w:rsidRDefault="6B71217B" w:rsidP="00A343A0">
      <w:r w:rsidRPr="00F07605">
        <w:t>Th</w:t>
      </w:r>
      <w:r w:rsidR="5681547C" w:rsidRPr="00F07605">
        <w:t>e</w:t>
      </w:r>
      <w:r w:rsidRPr="00F07605">
        <w:t xml:space="preserve"> Framework is intended to support transparency, consultation and stakeholder understanding before final advice is developed and provided to Government.</w:t>
      </w:r>
      <w:r w:rsidR="00C6459D">
        <w:t xml:space="preserve"> </w:t>
      </w:r>
      <w:r w:rsidR="00060335" w:rsidRPr="00F07605">
        <w:t xml:space="preserve">Higher education pricing operates within a broader system of stewardship, policy, funding and regulation. The ATEC, Department of Education and </w:t>
      </w:r>
      <w:r w:rsidR="00455ADE" w:rsidRPr="00F07605">
        <w:t>Tertiary Education</w:t>
      </w:r>
      <w:r w:rsidR="00521C3B" w:rsidRPr="00F07605">
        <w:t xml:space="preserve"> Quality and </w:t>
      </w:r>
      <w:r w:rsidR="008E11BE" w:rsidRPr="00F07605">
        <w:t xml:space="preserve">Standards </w:t>
      </w:r>
      <w:r w:rsidR="0040451D" w:rsidRPr="00F07605">
        <w:t>Agency (</w:t>
      </w:r>
      <w:r w:rsidR="00060335" w:rsidRPr="00F07605">
        <w:t>TEQSA</w:t>
      </w:r>
      <w:r w:rsidR="0040451D" w:rsidRPr="00F07605">
        <w:t>)</w:t>
      </w:r>
      <w:r w:rsidR="00060335" w:rsidRPr="00F07605">
        <w:t xml:space="preserve"> each have distinct responsibilities within that system. Understanding these roles helps clarify how pricing advice is developed, considered and implemented. The respective roles of these bodies are outlined below</w:t>
      </w:r>
      <w:r w:rsidR="002E7E91" w:rsidRPr="00F07605">
        <w:t>:</w:t>
      </w:r>
    </w:p>
    <w:p w14:paraId="5326A115" w14:textId="78202368" w:rsidR="00AD2229" w:rsidRPr="00F07605" w:rsidRDefault="00BB4DA7" w:rsidP="00DD6A23">
      <w:pPr>
        <w:pStyle w:val="Heading2"/>
      </w:pPr>
      <w:bookmarkStart w:id="5" w:name="_Toc239680538"/>
      <w:r w:rsidRPr="00F07605">
        <w:lastRenderedPageBreak/>
        <w:t>Role of the ATEC</w:t>
      </w:r>
      <w:bookmarkEnd w:id="5"/>
    </w:p>
    <w:p w14:paraId="0E5C53AA" w14:textId="48ACE887" w:rsidR="00297DEF" w:rsidRPr="00F07605" w:rsidRDefault="005254D3" w:rsidP="00DD6A23">
      <w:r w:rsidRPr="00F07605">
        <w:t xml:space="preserve">ATEC is the independent steward of the higher education system, established under </w:t>
      </w:r>
      <w:r w:rsidR="00FD71C8" w:rsidRPr="00F07605">
        <w:t>t</w:t>
      </w:r>
      <w:r w:rsidRPr="00F07605">
        <w:t>he Act</w:t>
      </w:r>
      <w:r w:rsidR="00C82897">
        <w:t xml:space="preserve">. </w:t>
      </w:r>
      <w:r w:rsidRPr="00F07605">
        <w:t xml:space="preserve">For costing and pricing, </w:t>
      </w:r>
      <w:r w:rsidR="00F72851" w:rsidRPr="00F07605">
        <w:t xml:space="preserve">the </w:t>
      </w:r>
      <w:r w:rsidRPr="00F07605">
        <w:t>ATEC</w:t>
      </w:r>
      <w:r w:rsidR="00A4532B" w:rsidRPr="00F07605">
        <w:t xml:space="preserve"> will </w:t>
      </w:r>
      <w:r w:rsidR="00FC599A" w:rsidRPr="00F07605">
        <w:t>provide</w:t>
      </w:r>
      <w:r w:rsidRPr="00F07605">
        <w:t xml:space="preserve"> independent</w:t>
      </w:r>
      <w:r w:rsidR="00A4532B" w:rsidRPr="00F07605">
        <w:t xml:space="preserve"> </w:t>
      </w:r>
      <w:r w:rsidR="00FA109C" w:rsidRPr="00F07605">
        <w:t xml:space="preserve">evidence-based </w:t>
      </w:r>
      <w:r w:rsidRPr="00F07605">
        <w:t>advice</w:t>
      </w:r>
      <w:r w:rsidR="00585462" w:rsidRPr="00F07605">
        <w:t xml:space="preserve"> </w:t>
      </w:r>
      <w:r w:rsidR="00D17D59" w:rsidRPr="00F07605">
        <w:t xml:space="preserve">to the </w:t>
      </w:r>
      <w:r w:rsidR="00A368BB" w:rsidRPr="00F07605">
        <w:t>Government</w:t>
      </w:r>
      <w:r w:rsidR="00585462" w:rsidRPr="00F07605">
        <w:t>.</w:t>
      </w:r>
      <w:r w:rsidR="00297DEF" w:rsidRPr="00F07605">
        <w:t xml:space="preserve"> </w:t>
      </w:r>
      <w:r w:rsidR="004F7107" w:rsidRPr="00F07605">
        <w:t xml:space="preserve">As system steward of </w:t>
      </w:r>
      <w:r w:rsidR="00461781" w:rsidRPr="00F07605">
        <w:t>tertiary education</w:t>
      </w:r>
      <w:r w:rsidR="004F7107" w:rsidRPr="00F07605">
        <w:t>, t</w:t>
      </w:r>
      <w:r w:rsidR="00592672" w:rsidRPr="00F07605">
        <w:t xml:space="preserve">he ATEC </w:t>
      </w:r>
      <w:r w:rsidR="004F7107" w:rsidRPr="00F07605">
        <w:t xml:space="preserve">is also </w:t>
      </w:r>
      <w:r w:rsidR="00585462" w:rsidRPr="00F07605">
        <w:t xml:space="preserve">able to </w:t>
      </w:r>
      <w:r w:rsidR="004F7107" w:rsidRPr="00F07605">
        <w:t xml:space="preserve">better </w:t>
      </w:r>
      <w:r w:rsidR="00592672" w:rsidRPr="00F07605">
        <w:t>c</w:t>
      </w:r>
      <w:r w:rsidR="00297DEF" w:rsidRPr="00F07605">
        <w:t>onnect</w:t>
      </w:r>
      <w:r w:rsidR="00592672" w:rsidRPr="00F07605">
        <w:t xml:space="preserve"> its</w:t>
      </w:r>
      <w:r w:rsidR="00297DEF" w:rsidRPr="00F07605">
        <w:t xml:space="preserve"> pric</w:t>
      </w:r>
      <w:r w:rsidR="00592672" w:rsidRPr="00F07605">
        <w:t>ing</w:t>
      </w:r>
      <w:r w:rsidR="00297DEF" w:rsidRPr="00F07605">
        <w:t xml:space="preserve"> advice </w:t>
      </w:r>
      <w:r w:rsidR="004F7107" w:rsidRPr="00F07605">
        <w:t xml:space="preserve">to be </w:t>
      </w:r>
      <w:r w:rsidR="008E1ED7" w:rsidRPr="00F07605">
        <w:t xml:space="preserve">aligned </w:t>
      </w:r>
      <w:r w:rsidR="002140B4" w:rsidRPr="00F07605">
        <w:t xml:space="preserve">with </w:t>
      </w:r>
      <w:r w:rsidR="008E1ED7" w:rsidRPr="00F07605">
        <w:t xml:space="preserve">the </w:t>
      </w:r>
      <w:r w:rsidR="5E605B56" w:rsidRPr="00F07605">
        <w:t>NTEO</w:t>
      </w:r>
      <w:r w:rsidR="008E1ED7" w:rsidRPr="00F07605">
        <w:t xml:space="preserve"> and other </w:t>
      </w:r>
      <w:r w:rsidR="00297DEF" w:rsidRPr="00F07605">
        <w:t>system</w:t>
      </w:r>
      <w:r w:rsidR="008E1ED7" w:rsidRPr="00F07605">
        <w:t>s</w:t>
      </w:r>
      <w:r w:rsidR="00297DEF" w:rsidRPr="00F07605">
        <w:t xml:space="preserve"> </w:t>
      </w:r>
      <w:r w:rsidR="008E1ED7" w:rsidRPr="00F07605">
        <w:t xml:space="preserve">such as </w:t>
      </w:r>
      <w:r w:rsidR="00D17D59" w:rsidRPr="00F07605">
        <w:t xml:space="preserve">mission-based compacts </w:t>
      </w:r>
      <w:r w:rsidR="008E1ED7" w:rsidRPr="00F07605">
        <w:t xml:space="preserve">and </w:t>
      </w:r>
      <w:r w:rsidR="00CE579F">
        <w:t xml:space="preserve">the </w:t>
      </w:r>
      <w:r w:rsidR="00D17D59" w:rsidRPr="00F07605">
        <w:t xml:space="preserve">Managed Growth </w:t>
      </w:r>
      <w:r w:rsidR="00905E72">
        <w:t>Funding System</w:t>
      </w:r>
      <w:r w:rsidR="00D17D59" w:rsidRPr="00F07605">
        <w:t>.</w:t>
      </w:r>
      <w:r w:rsidR="00FC200F">
        <w:t xml:space="preserve"> This allows the ATEC </w:t>
      </w:r>
      <w:r w:rsidR="00CE0505">
        <w:t>to provide more fulsome and coherent stewardship of the higher education sector.</w:t>
      </w:r>
    </w:p>
    <w:p w14:paraId="0339E81F" w14:textId="5E79B6E7" w:rsidR="00BB4DA7" w:rsidRPr="00F07605" w:rsidRDefault="00BB4DA7" w:rsidP="002E4435">
      <w:pPr>
        <w:pStyle w:val="Heading2"/>
      </w:pPr>
      <w:bookmarkStart w:id="6" w:name="_Toc239680539"/>
      <w:r w:rsidRPr="00F07605">
        <w:t>Role of the Department of Education</w:t>
      </w:r>
      <w:bookmarkEnd w:id="6"/>
    </w:p>
    <w:p w14:paraId="586F5455" w14:textId="0DF1F57F" w:rsidR="002A663F" w:rsidRPr="00F07605" w:rsidRDefault="002A663F" w:rsidP="002A663F">
      <w:r w:rsidRPr="00F07605">
        <w:t xml:space="preserve">The Department of Education remains the Commonwealth’s policy, legislative, funding and program administration body for higher education. It administers major funding mechanisms under the </w:t>
      </w:r>
      <w:r w:rsidRPr="00F07605">
        <w:rPr>
          <w:i/>
        </w:rPr>
        <w:t>Higher Education Support Act 2003</w:t>
      </w:r>
      <w:r w:rsidRPr="00F07605">
        <w:t>, including the Commonwealth Grant Scheme</w:t>
      </w:r>
      <w:r w:rsidR="00951858" w:rsidRPr="00F07605">
        <w:t xml:space="preserve"> (CGS)</w:t>
      </w:r>
      <w:r w:rsidRPr="00F07605">
        <w:t xml:space="preserve">, </w:t>
      </w:r>
      <w:r w:rsidR="00951858" w:rsidRPr="00F07605">
        <w:t>Higher Education Loan Program (</w:t>
      </w:r>
      <w:r w:rsidRPr="00F07605">
        <w:t>HELP</w:t>
      </w:r>
      <w:r w:rsidR="00951858" w:rsidRPr="00F07605">
        <w:t>)</w:t>
      </w:r>
      <w:r w:rsidRPr="00F07605">
        <w:t xml:space="preserve"> and other grants that support teaching, learning, equity, disability support, and outreach.</w:t>
      </w:r>
    </w:p>
    <w:p w14:paraId="7C93E0A2" w14:textId="50315681" w:rsidR="00E5693B" w:rsidRDefault="009452BD" w:rsidP="003E2972">
      <w:pPr>
        <w:rPr>
          <w:rFonts w:ascii="Arial" w:hAnsi="Arial"/>
          <w:szCs w:val="22"/>
        </w:rPr>
      </w:pPr>
      <w:r w:rsidRPr="00325D42">
        <w:t>For pricing, the Department</w:t>
      </w:r>
      <w:r>
        <w:t xml:space="preserve"> will support the Minister to consider </w:t>
      </w:r>
      <w:r w:rsidR="003A6E01">
        <w:t xml:space="preserve">the </w:t>
      </w:r>
      <w:r>
        <w:t>ATEC’s pricing advice, undertake its own policy and fiscal analysis, advi</w:t>
      </w:r>
      <w:r w:rsidR="00C6515E">
        <w:t>s</w:t>
      </w:r>
      <w:r>
        <w:t xml:space="preserve">e on implementation options </w:t>
      </w:r>
      <w:r w:rsidR="00D5680C">
        <w:t>as needed</w:t>
      </w:r>
      <w:r w:rsidR="00C24FDD">
        <w:t>,</w:t>
      </w:r>
      <w:r w:rsidR="00D5680C">
        <w:t xml:space="preserve"> </w:t>
      </w:r>
      <w:r>
        <w:t xml:space="preserve">and broader reform implications. </w:t>
      </w:r>
      <w:r w:rsidRPr="00325D42">
        <w:t>This includ</w:t>
      </w:r>
      <w:r>
        <w:t>es</w:t>
      </w:r>
      <w:r w:rsidRPr="00325D42">
        <w:t xml:space="preserve"> </w:t>
      </w:r>
      <w:r>
        <w:t>b</w:t>
      </w:r>
      <w:r w:rsidRPr="00325D42">
        <w:t xml:space="preserve">udget measures, legislation, determinations and payments. It administers the CGS, where </w:t>
      </w:r>
      <w:r>
        <w:t>Government</w:t>
      </w:r>
      <w:r w:rsidRPr="00325D42">
        <w:t xml:space="preserve"> subsidises tuition costs for Commonwealth supported students, </w:t>
      </w:r>
      <w:r>
        <w:t xml:space="preserve">and leads the implementation of higher education reforms guided by the </w:t>
      </w:r>
      <w:r w:rsidR="00696DD0" w:rsidRPr="00FD68CF">
        <w:rPr>
          <w:i/>
          <w:iCs/>
        </w:rPr>
        <w:t>Universities Accord (</w:t>
      </w:r>
      <w:r w:rsidRPr="00FD68CF">
        <w:rPr>
          <w:i/>
          <w:iCs/>
        </w:rPr>
        <w:t>Opening the Doors of Opportunity</w:t>
      </w:r>
      <w:r w:rsidR="00696DD0" w:rsidRPr="00FD68CF">
        <w:rPr>
          <w:i/>
          <w:iCs/>
        </w:rPr>
        <w:t>)</w:t>
      </w:r>
      <w:r w:rsidRPr="00FD68CF">
        <w:rPr>
          <w:i/>
          <w:iCs/>
        </w:rPr>
        <w:t xml:space="preserve"> </w:t>
      </w:r>
      <w:r w:rsidR="00977272">
        <w:rPr>
          <w:i/>
          <w:iCs/>
        </w:rPr>
        <w:t xml:space="preserve">Act </w:t>
      </w:r>
      <w:r w:rsidR="00813A09" w:rsidRPr="00FD68CF">
        <w:rPr>
          <w:i/>
          <w:iCs/>
        </w:rPr>
        <w:t>2026</w:t>
      </w:r>
      <w:r>
        <w:t>, including the Managed Growth Funding System</w:t>
      </w:r>
      <w:r w:rsidR="00A819E2">
        <w:t xml:space="preserve"> </w:t>
      </w:r>
      <w:r>
        <w:t xml:space="preserve">and ongoing Needs Based Funding arrangements. </w:t>
      </w:r>
    </w:p>
    <w:p w14:paraId="0D303B1C" w14:textId="77777777" w:rsidR="005B0A7E" w:rsidRPr="00F07605" w:rsidRDefault="005B0A7E" w:rsidP="005B0A7E">
      <w:pPr>
        <w:pStyle w:val="Heading1"/>
        <w:rPr>
          <w:kern w:val="36"/>
          <w:szCs w:val="48"/>
          <w14:ligatures w14:val="standardContextual"/>
        </w:rPr>
      </w:pPr>
      <w:bookmarkStart w:id="7" w:name="_Toc244072876"/>
      <w:r w:rsidRPr="00F07605">
        <w:t>Pricing context</w:t>
      </w:r>
      <w:r>
        <w:t xml:space="preserve"> and development</w:t>
      </w:r>
      <w:bookmarkEnd w:id="7"/>
    </w:p>
    <w:p w14:paraId="0E585F71" w14:textId="77777777" w:rsidR="005B0A7E" w:rsidRPr="00F07605" w:rsidRDefault="005B0A7E" w:rsidP="005B0A7E">
      <w:pPr>
        <w:pStyle w:val="Heading2"/>
        <w:rPr>
          <w:kern w:val="2"/>
          <w:szCs w:val="32"/>
          <w14:ligatures w14:val="standardContextual"/>
        </w:rPr>
      </w:pPr>
      <w:r w:rsidRPr="00F07605">
        <w:t>Overview of setting prices</w:t>
      </w:r>
    </w:p>
    <w:p w14:paraId="3D232177" w14:textId="334B259E" w:rsidR="005B0A7E" w:rsidRPr="00F07605" w:rsidRDefault="005B0A7E" w:rsidP="005B0A7E">
      <w:pPr>
        <w:rPr>
          <w:rFonts w:ascii="Arial" w:hAnsi="Arial"/>
        </w:rPr>
      </w:pPr>
      <w:r w:rsidRPr="007A09DB">
        <w:rPr>
          <w:rFonts w:ascii="Arial" w:hAnsi="Arial"/>
        </w:rPr>
        <w:t xml:space="preserve">For the purposes of </w:t>
      </w:r>
      <w:r w:rsidR="0082457B">
        <w:rPr>
          <w:rFonts w:ascii="Arial" w:hAnsi="Arial"/>
        </w:rPr>
        <w:t xml:space="preserve">this discussion paper and </w:t>
      </w:r>
      <w:r w:rsidRPr="007A09DB">
        <w:rPr>
          <w:rFonts w:ascii="Arial" w:hAnsi="Arial"/>
        </w:rPr>
        <w:t xml:space="preserve">the Framework, </w:t>
      </w:r>
      <w:r w:rsidRPr="008473F1">
        <w:rPr>
          <w:rFonts w:ascii="Arial" w:hAnsi="Arial"/>
        </w:rPr>
        <w:t xml:space="preserve">the </w:t>
      </w:r>
      <w:r w:rsidR="0082457B">
        <w:rPr>
          <w:rFonts w:ascii="Arial" w:hAnsi="Arial"/>
        </w:rPr>
        <w:t xml:space="preserve">total </w:t>
      </w:r>
      <w:r w:rsidRPr="008473F1">
        <w:rPr>
          <w:rFonts w:ascii="Arial" w:hAnsi="Arial"/>
        </w:rPr>
        <w:t xml:space="preserve">price </w:t>
      </w:r>
      <w:r w:rsidR="0082457B">
        <w:rPr>
          <w:rFonts w:ascii="Arial" w:hAnsi="Arial"/>
        </w:rPr>
        <w:t xml:space="preserve">refers to </w:t>
      </w:r>
      <w:r w:rsidRPr="008473F1">
        <w:rPr>
          <w:rFonts w:ascii="Arial" w:hAnsi="Arial"/>
        </w:rPr>
        <w:t xml:space="preserve">the total </w:t>
      </w:r>
      <w:r w:rsidR="00856D6C">
        <w:rPr>
          <w:rFonts w:ascii="Arial" w:hAnsi="Arial"/>
        </w:rPr>
        <w:t>resourcing</w:t>
      </w:r>
      <w:r w:rsidRPr="008473F1">
        <w:rPr>
          <w:rFonts w:ascii="Arial" w:hAnsi="Arial"/>
        </w:rPr>
        <w:t xml:space="preserve"> associated with </w:t>
      </w:r>
      <w:r>
        <w:rPr>
          <w:rFonts w:ascii="Arial" w:hAnsi="Arial"/>
        </w:rPr>
        <w:t>delivering teaching and supporting scholarship</w:t>
      </w:r>
      <w:r w:rsidRPr="008473F1">
        <w:rPr>
          <w:rFonts w:ascii="Arial" w:hAnsi="Arial"/>
        </w:rPr>
        <w:t xml:space="preserve"> for a</w:t>
      </w:r>
      <w:r w:rsidR="00B5117C">
        <w:rPr>
          <w:rFonts w:ascii="Arial" w:hAnsi="Arial"/>
        </w:rPr>
        <w:t xml:space="preserve"> CSP</w:t>
      </w:r>
      <w:r>
        <w:rPr>
          <w:rFonts w:ascii="Arial" w:hAnsi="Arial"/>
        </w:rPr>
        <w:t xml:space="preserve">, comprising </w:t>
      </w:r>
      <w:r w:rsidR="00856D6C">
        <w:rPr>
          <w:rFonts w:ascii="Arial" w:hAnsi="Arial"/>
        </w:rPr>
        <w:t xml:space="preserve">of both </w:t>
      </w:r>
      <w:r>
        <w:rPr>
          <w:rFonts w:ascii="Arial" w:hAnsi="Arial"/>
        </w:rPr>
        <w:t xml:space="preserve">the </w:t>
      </w:r>
      <w:r w:rsidRPr="00F07605">
        <w:rPr>
          <w:rFonts w:ascii="Arial" w:hAnsi="Arial"/>
        </w:rPr>
        <w:t>Commonwealth and student contribution</w:t>
      </w:r>
      <w:r>
        <w:rPr>
          <w:rFonts w:ascii="Arial" w:hAnsi="Arial"/>
        </w:rPr>
        <w:t>s</w:t>
      </w:r>
      <w:r w:rsidRPr="00F07605">
        <w:rPr>
          <w:rFonts w:ascii="Arial" w:hAnsi="Arial"/>
        </w:rPr>
        <w:t>.</w:t>
      </w:r>
      <w:r>
        <w:rPr>
          <w:rFonts w:ascii="Arial" w:hAnsi="Arial"/>
        </w:rPr>
        <w:t xml:space="preserve"> The price is </w:t>
      </w:r>
      <w:r w:rsidRPr="00F07605">
        <w:rPr>
          <w:rFonts w:ascii="Arial" w:hAnsi="Arial"/>
        </w:rPr>
        <w:t xml:space="preserve">expressed on an Equivalent Full-Time Student Load </w:t>
      </w:r>
      <w:r>
        <w:rPr>
          <w:rFonts w:ascii="Arial" w:hAnsi="Arial"/>
        </w:rPr>
        <w:t xml:space="preserve">(EFTSL) </w:t>
      </w:r>
      <w:r w:rsidRPr="00F07605">
        <w:rPr>
          <w:rFonts w:ascii="Arial" w:hAnsi="Arial"/>
        </w:rPr>
        <w:t xml:space="preserve">basis and </w:t>
      </w:r>
      <w:r w:rsidR="00D975B6">
        <w:rPr>
          <w:rFonts w:ascii="Arial" w:hAnsi="Arial"/>
        </w:rPr>
        <w:t xml:space="preserve">will be </w:t>
      </w:r>
      <w:r w:rsidRPr="00F07605">
        <w:rPr>
          <w:rFonts w:ascii="Arial" w:hAnsi="Arial"/>
        </w:rPr>
        <w:t xml:space="preserve">applied </w:t>
      </w:r>
      <w:r>
        <w:rPr>
          <w:rFonts w:ascii="Arial" w:hAnsi="Arial"/>
        </w:rPr>
        <w:t xml:space="preserve">through </w:t>
      </w:r>
      <w:r w:rsidR="006D73F0">
        <w:rPr>
          <w:rFonts w:ascii="Arial" w:hAnsi="Arial"/>
        </w:rPr>
        <w:t>cost groupings that</w:t>
      </w:r>
      <w:r>
        <w:rPr>
          <w:rFonts w:ascii="Arial" w:hAnsi="Arial"/>
        </w:rPr>
        <w:t xml:space="preserve"> </w:t>
      </w:r>
      <w:r w:rsidR="006D73F0">
        <w:rPr>
          <w:rFonts w:ascii="Arial" w:hAnsi="Arial"/>
        </w:rPr>
        <w:t>aggregate</w:t>
      </w:r>
      <w:r w:rsidRPr="00F07605">
        <w:rPr>
          <w:rFonts w:ascii="Arial" w:hAnsi="Arial"/>
        </w:rPr>
        <w:t xml:space="preserve"> </w:t>
      </w:r>
      <w:r>
        <w:rPr>
          <w:rFonts w:ascii="Arial" w:hAnsi="Arial"/>
        </w:rPr>
        <w:t xml:space="preserve">fields of education </w:t>
      </w:r>
      <w:r w:rsidR="00207DFD">
        <w:rPr>
          <w:rFonts w:ascii="Arial" w:hAnsi="Arial"/>
        </w:rPr>
        <w:t>(</w:t>
      </w:r>
      <w:proofErr w:type="spellStart"/>
      <w:r w:rsidR="00207DFD">
        <w:rPr>
          <w:rFonts w:ascii="Arial" w:hAnsi="Arial"/>
        </w:rPr>
        <w:t>FoE</w:t>
      </w:r>
      <w:proofErr w:type="spellEnd"/>
      <w:r w:rsidR="00207DFD">
        <w:rPr>
          <w:rFonts w:ascii="Arial" w:hAnsi="Arial"/>
        </w:rPr>
        <w:t xml:space="preserve">) </w:t>
      </w:r>
      <w:r w:rsidRPr="00F07605">
        <w:rPr>
          <w:rFonts w:ascii="Arial" w:hAnsi="Arial"/>
        </w:rPr>
        <w:t>with similar efficient delivery costs</w:t>
      </w:r>
      <w:r>
        <w:rPr>
          <w:rFonts w:ascii="Arial" w:hAnsi="Arial"/>
        </w:rPr>
        <w:t>.</w:t>
      </w:r>
    </w:p>
    <w:p w14:paraId="07C7B01F" w14:textId="6F473716" w:rsidR="005B0A7E" w:rsidRPr="00F07605" w:rsidRDefault="005B0A7E" w:rsidP="005B0A7E">
      <w:r w:rsidRPr="00F07605">
        <w:rPr>
          <w:rFonts w:ascii="Arial" w:hAnsi="Arial"/>
          <w:szCs w:val="22"/>
        </w:rPr>
        <w:t xml:space="preserve">The ATEC's pricing advice will seek to align total </w:t>
      </w:r>
      <w:r w:rsidR="003D505B">
        <w:rPr>
          <w:rFonts w:ascii="Arial" w:hAnsi="Arial"/>
          <w:szCs w:val="22"/>
        </w:rPr>
        <w:t>price</w:t>
      </w:r>
      <w:r w:rsidRPr="00F07605">
        <w:rPr>
          <w:rFonts w:ascii="Arial" w:hAnsi="Arial"/>
          <w:szCs w:val="22"/>
        </w:rPr>
        <w:t xml:space="preserve"> with the estimated efficient cost of </w:t>
      </w:r>
      <w:r>
        <w:rPr>
          <w:rFonts w:ascii="Arial" w:hAnsi="Arial"/>
          <w:szCs w:val="22"/>
        </w:rPr>
        <w:t>delivering teaching and supporting scholarship</w:t>
      </w:r>
      <w:r w:rsidRPr="00F07605">
        <w:rPr>
          <w:rFonts w:ascii="Arial" w:hAnsi="Arial"/>
          <w:szCs w:val="22"/>
        </w:rPr>
        <w:t xml:space="preserve">, having regard to applicable quality and regulatory requirements. </w:t>
      </w:r>
    </w:p>
    <w:p w14:paraId="12BC393B" w14:textId="77777777" w:rsidR="005B0A7E" w:rsidRPr="00F07605" w:rsidRDefault="005B0A7E" w:rsidP="005B0A7E">
      <w:pPr>
        <w:pStyle w:val="Heading2"/>
        <w:rPr>
          <w:kern w:val="2"/>
          <w:szCs w:val="32"/>
          <w14:ligatures w14:val="standardContextual"/>
        </w:rPr>
      </w:pPr>
      <w:r w:rsidRPr="00F07605">
        <w:t>Importance of getting the price right</w:t>
      </w:r>
    </w:p>
    <w:p w14:paraId="2F82A969" w14:textId="67B2DF59" w:rsidR="00E273FA" w:rsidRPr="00E273FA" w:rsidRDefault="005B0A7E" w:rsidP="005B0A7E">
      <w:pPr>
        <w:rPr>
          <w:rFonts w:ascii="Arial" w:hAnsi="Arial"/>
          <w:szCs w:val="22"/>
        </w:rPr>
      </w:pPr>
      <w:r w:rsidRPr="00F07605">
        <w:rPr>
          <w:rFonts w:ascii="Arial" w:hAnsi="Arial"/>
        </w:rPr>
        <w:t xml:space="preserve">An appropriately calibrated price </w:t>
      </w:r>
      <w:r w:rsidR="00B938CA">
        <w:rPr>
          <w:rFonts w:ascii="Arial" w:hAnsi="Arial"/>
        </w:rPr>
        <w:t xml:space="preserve">enables </w:t>
      </w:r>
      <w:r w:rsidRPr="00F07605">
        <w:rPr>
          <w:rFonts w:ascii="Arial" w:hAnsi="Arial"/>
        </w:rPr>
        <w:t>efficient, high-quality teaching and scholarship while promoting value for money for Government and students.</w:t>
      </w:r>
      <w:r w:rsidR="00E273FA">
        <w:rPr>
          <w:rFonts w:ascii="Arial" w:hAnsi="Arial"/>
          <w:szCs w:val="22"/>
        </w:rPr>
        <w:t xml:space="preserve"> </w:t>
      </w:r>
      <w:r w:rsidRPr="00F07605">
        <w:rPr>
          <w:rFonts w:ascii="Arial" w:hAnsi="Arial"/>
        </w:rPr>
        <w:t xml:space="preserve">Material differences between </w:t>
      </w:r>
      <w:r w:rsidR="00175F40">
        <w:rPr>
          <w:rFonts w:ascii="Arial" w:hAnsi="Arial"/>
        </w:rPr>
        <w:t xml:space="preserve">total </w:t>
      </w:r>
      <w:r w:rsidRPr="00F07605">
        <w:rPr>
          <w:rFonts w:ascii="Arial" w:hAnsi="Arial"/>
        </w:rPr>
        <w:t xml:space="preserve">price and efficient costs may affect provider behaviour, resource allocation and value for money. </w:t>
      </w:r>
    </w:p>
    <w:p w14:paraId="6F496585" w14:textId="73751129" w:rsidR="00467EF8" w:rsidRDefault="00E273FA" w:rsidP="005B0A7E">
      <w:pPr>
        <w:rPr>
          <w:rFonts w:ascii="Arial" w:hAnsi="Arial"/>
        </w:rPr>
      </w:pPr>
      <w:r>
        <w:rPr>
          <w:rFonts w:ascii="Arial" w:hAnsi="Arial"/>
        </w:rPr>
        <w:t>For example, i</w:t>
      </w:r>
      <w:r w:rsidR="00467EF8" w:rsidRPr="00467EF8">
        <w:rPr>
          <w:rFonts w:ascii="Arial" w:hAnsi="Arial"/>
        </w:rPr>
        <w:t xml:space="preserve">f total funding from Commonwealth and student contributions is below </w:t>
      </w:r>
      <w:r w:rsidR="004B2B8C">
        <w:rPr>
          <w:rFonts w:ascii="Arial" w:hAnsi="Arial"/>
        </w:rPr>
        <w:t xml:space="preserve">a </w:t>
      </w:r>
      <w:r w:rsidR="00467EF8" w:rsidRPr="00467EF8">
        <w:rPr>
          <w:rFonts w:ascii="Arial" w:hAnsi="Arial"/>
        </w:rPr>
        <w:t xml:space="preserve">reasonable cost of teaching, providers may be forced to reduce course offerings, increase class sizes, limit practical learning or cross-subsidise teaching from other activities. Conversely, funding materially above delivery costs can result in inefficient public expenditure and distort provider incentives. </w:t>
      </w:r>
    </w:p>
    <w:p w14:paraId="71C07551" w14:textId="2FD8BC79" w:rsidR="005B0A7E" w:rsidRDefault="005B0A7E" w:rsidP="005B0A7E">
      <w:pPr>
        <w:rPr>
          <w:rFonts w:ascii="Arial" w:hAnsi="Arial"/>
          <w:szCs w:val="22"/>
        </w:rPr>
      </w:pPr>
      <w:r>
        <w:rPr>
          <w:rFonts w:ascii="Arial" w:hAnsi="Arial"/>
        </w:rPr>
        <w:lastRenderedPageBreak/>
        <w:t>T</w:t>
      </w:r>
      <w:r w:rsidRPr="00F07605">
        <w:rPr>
          <w:rFonts w:ascii="Arial" w:hAnsi="Arial"/>
        </w:rPr>
        <w:t xml:space="preserve">he Framework </w:t>
      </w:r>
      <w:r>
        <w:rPr>
          <w:rFonts w:ascii="Arial" w:hAnsi="Arial"/>
        </w:rPr>
        <w:t xml:space="preserve">therefore seeks </w:t>
      </w:r>
      <w:r w:rsidRPr="00F07605">
        <w:rPr>
          <w:rFonts w:ascii="Arial" w:hAnsi="Arial"/>
        </w:rPr>
        <w:t xml:space="preserve">to </w:t>
      </w:r>
      <w:r>
        <w:rPr>
          <w:rFonts w:ascii="Arial" w:hAnsi="Arial"/>
        </w:rPr>
        <w:t xml:space="preserve">develop </w:t>
      </w:r>
      <w:r w:rsidRPr="00F07605">
        <w:rPr>
          <w:rFonts w:ascii="Arial" w:hAnsi="Arial"/>
        </w:rPr>
        <w:t xml:space="preserve">a transparent and evidence-based approach </w:t>
      </w:r>
      <w:r>
        <w:rPr>
          <w:rFonts w:ascii="Arial" w:hAnsi="Arial"/>
        </w:rPr>
        <w:t xml:space="preserve">to estimating </w:t>
      </w:r>
      <w:r w:rsidRPr="00F07605">
        <w:rPr>
          <w:rFonts w:ascii="Arial" w:hAnsi="Arial"/>
        </w:rPr>
        <w:t>efficient cost</w:t>
      </w:r>
      <w:r w:rsidR="00175F40">
        <w:rPr>
          <w:rFonts w:ascii="Arial" w:hAnsi="Arial"/>
        </w:rPr>
        <w:t>s</w:t>
      </w:r>
      <w:r w:rsidR="001F3A47">
        <w:rPr>
          <w:rFonts w:ascii="Arial" w:hAnsi="Arial"/>
        </w:rPr>
        <w:t xml:space="preserve"> </w:t>
      </w:r>
      <w:r w:rsidR="00F87C83">
        <w:rPr>
          <w:rFonts w:ascii="Arial" w:hAnsi="Arial"/>
        </w:rPr>
        <w:t>recognising</w:t>
      </w:r>
      <w:r w:rsidR="00A641A8">
        <w:rPr>
          <w:rFonts w:ascii="Arial" w:hAnsi="Arial"/>
        </w:rPr>
        <w:t xml:space="preserve"> legitimate </w:t>
      </w:r>
      <w:r w:rsidR="00F87C83">
        <w:rPr>
          <w:rFonts w:ascii="Arial" w:hAnsi="Arial"/>
        </w:rPr>
        <w:t xml:space="preserve">differences in costs across structural cost drivers to </w:t>
      </w:r>
      <w:r w:rsidRPr="00F07605">
        <w:rPr>
          <w:rFonts w:ascii="Arial" w:hAnsi="Arial"/>
        </w:rPr>
        <w:t>inform advice. The ATEC</w:t>
      </w:r>
      <w:r>
        <w:rPr>
          <w:rFonts w:ascii="Arial" w:hAnsi="Arial"/>
        </w:rPr>
        <w:t>’s</w:t>
      </w:r>
      <w:r w:rsidRPr="00F07605">
        <w:rPr>
          <w:rFonts w:ascii="Arial" w:hAnsi="Arial"/>
        </w:rPr>
        <w:t xml:space="preserve"> advice </w:t>
      </w:r>
      <w:r>
        <w:rPr>
          <w:rFonts w:ascii="Arial" w:hAnsi="Arial"/>
        </w:rPr>
        <w:t xml:space="preserve">will be based </w:t>
      </w:r>
      <w:r w:rsidRPr="00F07605">
        <w:rPr>
          <w:rFonts w:ascii="Arial" w:hAnsi="Arial"/>
        </w:rPr>
        <w:t>on standardised cost evidence</w:t>
      </w:r>
      <w:r>
        <w:rPr>
          <w:rFonts w:ascii="Arial" w:hAnsi="Arial"/>
        </w:rPr>
        <w:t xml:space="preserve"> and</w:t>
      </w:r>
      <w:r w:rsidRPr="00F07605">
        <w:rPr>
          <w:rFonts w:ascii="Arial" w:hAnsi="Arial"/>
        </w:rPr>
        <w:t xml:space="preserve"> efficient-cost analysis. </w:t>
      </w:r>
      <w:r w:rsidR="008A79B2">
        <w:rPr>
          <w:rFonts w:ascii="Arial" w:hAnsi="Arial"/>
        </w:rPr>
        <w:t>This includes a new data collection on more detailed (unit-of-study level)</w:t>
      </w:r>
      <w:r w:rsidRPr="00F07605">
        <w:rPr>
          <w:rFonts w:ascii="Arial" w:hAnsi="Arial"/>
          <w:szCs w:val="22"/>
        </w:rPr>
        <w:t xml:space="preserve"> expenditure, activity and costing information to support the development of a consistent evidence base</w:t>
      </w:r>
      <w:r>
        <w:rPr>
          <w:rFonts w:ascii="Arial" w:hAnsi="Arial"/>
          <w:szCs w:val="22"/>
        </w:rPr>
        <w:t>.</w:t>
      </w:r>
      <w:r w:rsidRPr="00F07605">
        <w:rPr>
          <w:rFonts w:ascii="Arial" w:hAnsi="Arial"/>
          <w:szCs w:val="22"/>
        </w:rPr>
        <w:t xml:space="preserve"> Detailed reporting requirements</w:t>
      </w:r>
      <w:r>
        <w:rPr>
          <w:rFonts w:ascii="Arial" w:hAnsi="Arial"/>
          <w:szCs w:val="22"/>
        </w:rPr>
        <w:t xml:space="preserve"> and </w:t>
      </w:r>
      <w:r w:rsidRPr="00F07605">
        <w:rPr>
          <w:rFonts w:ascii="Arial" w:hAnsi="Arial"/>
          <w:szCs w:val="22"/>
        </w:rPr>
        <w:t xml:space="preserve">collection </w:t>
      </w:r>
      <w:r>
        <w:rPr>
          <w:rFonts w:ascii="Arial" w:hAnsi="Arial"/>
          <w:szCs w:val="22"/>
        </w:rPr>
        <w:t xml:space="preserve">requirements </w:t>
      </w:r>
      <w:r w:rsidRPr="00F07605">
        <w:rPr>
          <w:rFonts w:ascii="Arial" w:hAnsi="Arial"/>
          <w:szCs w:val="22"/>
        </w:rPr>
        <w:t>will be developed separately.</w:t>
      </w:r>
    </w:p>
    <w:p w14:paraId="09C266D5" w14:textId="2348C382" w:rsidR="00C547B6" w:rsidRPr="00F07605" w:rsidRDefault="00C547B6" w:rsidP="005B0A7E">
      <w:pPr>
        <w:rPr>
          <w:rFonts w:ascii="Arial" w:hAnsi="Arial"/>
          <w:szCs w:val="22"/>
        </w:rPr>
      </w:pPr>
      <w:r>
        <w:rPr>
          <w:rFonts w:ascii="Arial" w:hAnsi="Arial"/>
          <w:szCs w:val="22"/>
        </w:rPr>
        <w:t xml:space="preserve">In formulating its advice on prices, the ATEC will </w:t>
      </w:r>
      <w:proofErr w:type="gramStart"/>
      <w:r>
        <w:rPr>
          <w:rFonts w:ascii="Arial" w:hAnsi="Arial"/>
          <w:szCs w:val="22"/>
        </w:rPr>
        <w:t>take into account</w:t>
      </w:r>
      <w:proofErr w:type="gramEnd"/>
      <w:r>
        <w:rPr>
          <w:rFonts w:ascii="Arial" w:hAnsi="Arial"/>
          <w:szCs w:val="22"/>
        </w:rPr>
        <w:t xml:space="preserve"> the interactive nature of teaching and scholarship broadly defined.</w:t>
      </w:r>
    </w:p>
    <w:p w14:paraId="7F61969D" w14:textId="77777777" w:rsidR="005B0A7E" w:rsidRPr="00F07605" w:rsidRDefault="005B0A7E" w:rsidP="005B0A7E">
      <w:pPr>
        <w:pStyle w:val="Heading2"/>
      </w:pPr>
      <w:r w:rsidRPr="00F07605">
        <w:t>Sector and market impacts</w:t>
      </w:r>
    </w:p>
    <w:p w14:paraId="6FAA84B2" w14:textId="4EABF77D" w:rsidR="005B0A7E" w:rsidRPr="00F07605" w:rsidRDefault="005B0A7E" w:rsidP="005B0A7E">
      <w:pPr>
        <w:rPr>
          <w:rFonts w:ascii="Arial" w:hAnsi="Arial"/>
        </w:rPr>
      </w:pPr>
      <w:r w:rsidRPr="1487389E">
        <w:rPr>
          <w:rFonts w:ascii="Arial" w:hAnsi="Arial"/>
        </w:rPr>
        <w:t xml:space="preserve">The ATEC will assess how </w:t>
      </w:r>
      <w:r w:rsidR="00E978D5" w:rsidRPr="1487389E">
        <w:rPr>
          <w:rFonts w:ascii="Arial" w:hAnsi="Arial"/>
        </w:rPr>
        <w:t xml:space="preserve">the </w:t>
      </w:r>
      <w:r w:rsidRPr="1487389E">
        <w:rPr>
          <w:rFonts w:ascii="Arial" w:hAnsi="Arial"/>
        </w:rPr>
        <w:t xml:space="preserve">proposed pricing approach may influence higher education provision across different </w:t>
      </w:r>
      <w:proofErr w:type="spellStart"/>
      <w:r w:rsidR="00207DFD" w:rsidRPr="1487389E">
        <w:rPr>
          <w:rFonts w:ascii="Arial" w:hAnsi="Arial"/>
        </w:rPr>
        <w:t>FoE</w:t>
      </w:r>
      <w:r w:rsidR="25949B2F" w:rsidRPr="1487389E">
        <w:rPr>
          <w:rFonts w:ascii="Arial" w:hAnsi="Arial"/>
        </w:rPr>
        <w:t>s</w:t>
      </w:r>
      <w:proofErr w:type="spellEnd"/>
      <w:r w:rsidRPr="1487389E">
        <w:rPr>
          <w:rFonts w:ascii="Arial" w:hAnsi="Arial"/>
        </w:rPr>
        <w:t>, geographic locations and modes of delivery. It will also consider whether pricing changes may create unintended incentives that affect provider behaviour, student choice or the allocation of resources across the higher education system.</w:t>
      </w:r>
    </w:p>
    <w:p w14:paraId="66AF0AD4" w14:textId="77777777" w:rsidR="005B0A7E" w:rsidRPr="00F07605" w:rsidRDefault="005B0A7E" w:rsidP="005B0A7E">
      <w:pPr>
        <w:rPr>
          <w:rFonts w:ascii="Arial" w:hAnsi="Arial"/>
          <w:szCs w:val="22"/>
        </w:rPr>
      </w:pPr>
      <w:r w:rsidRPr="00F07605">
        <w:rPr>
          <w:rFonts w:ascii="Arial" w:hAnsi="Arial"/>
          <w:szCs w:val="22"/>
        </w:rPr>
        <w:t xml:space="preserve">Before providing final advice, the ATEC will assess the distributional </w:t>
      </w:r>
      <w:r>
        <w:rPr>
          <w:rFonts w:ascii="Arial" w:hAnsi="Arial"/>
          <w:szCs w:val="22"/>
        </w:rPr>
        <w:t xml:space="preserve">impacts, </w:t>
      </w:r>
      <w:r w:rsidRPr="00F07605">
        <w:rPr>
          <w:rFonts w:ascii="Arial" w:hAnsi="Arial"/>
          <w:szCs w:val="22"/>
        </w:rPr>
        <w:t>implementation risks</w:t>
      </w:r>
      <w:r>
        <w:rPr>
          <w:rFonts w:ascii="Arial" w:hAnsi="Arial"/>
          <w:szCs w:val="22"/>
        </w:rPr>
        <w:t xml:space="preserve"> and broader </w:t>
      </w:r>
      <w:r w:rsidRPr="00F07605">
        <w:rPr>
          <w:rFonts w:ascii="Arial" w:hAnsi="Arial"/>
          <w:szCs w:val="22"/>
        </w:rPr>
        <w:t>system impacts</w:t>
      </w:r>
      <w:r>
        <w:rPr>
          <w:rFonts w:ascii="Arial" w:hAnsi="Arial"/>
          <w:szCs w:val="22"/>
        </w:rPr>
        <w:t xml:space="preserve"> of proposed pricing approaches</w:t>
      </w:r>
      <w:r w:rsidRPr="00F07605">
        <w:rPr>
          <w:rFonts w:ascii="Arial" w:hAnsi="Arial"/>
          <w:szCs w:val="22"/>
        </w:rPr>
        <w:t>.</w:t>
      </w:r>
    </w:p>
    <w:p w14:paraId="643F4666" w14:textId="77777777" w:rsidR="005B0A7E" w:rsidRPr="00F07605" w:rsidRDefault="005B0A7E" w:rsidP="005B0A7E">
      <w:pPr>
        <w:pStyle w:val="Heading2"/>
        <w:rPr>
          <w:kern w:val="36"/>
          <w:szCs w:val="48"/>
          <w14:ligatures w14:val="standardContextual"/>
        </w:rPr>
      </w:pPr>
      <w:r w:rsidRPr="00F07605">
        <w:t>Pricing advice development</w:t>
      </w:r>
    </w:p>
    <w:p w14:paraId="6A7C99A8" w14:textId="2473AFBC" w:rsidR="005B0A7E" w:rsidRPr="00F07605" w:rsidRDefault="003D3DE3" w:rsidP="005B0A7E">
      <w:r>
        <w:fldChar w:fldCharType="begin"/>
      </w:r>
      <w:r>
        <w:instrText>REF _Ref241684221</w:instrText>
      </w:r>
      <w:r>
        <w:fldChar w:fldCharType="separate"/>
      </w:r>
      <w:r>
        <w:t xml:space="preserve">Figure </w:t>
      </w:r>
      <w:r>
        <w:rPr>
          <w:noProof/>
        </w:rPr>
        <w:t>1</w:t>
      </w:r>
      <w:r>
        <w:fldChar w:fldCharType="end"/>
      </w:r>
      <w:r w:rsidR="005B0A7E">
        <w:t xml:space="preserve"> </w:t>
      </w:r>
      <w:r w:rsidR="005B0A7E" w:rsidRPr="00F07605">
        <w:t xml:space="preserve">provides an overview of the proposed process for developing pricing advice. </w:t>
      </w:r>
      <w:r w:rsidR="005B0A7E">
        <w:t xml:space="preserve">The process is </w:t>
      </w:r>
      <w:r w:rsidR="005B0A7E" w:rsidRPr="00F07605">
        <w:t xml:space="preserve">indicative only and does not pre-empt </w:t>
      </w:r>
      <w:r w:rsidR="005B0A7E">
        <w:t xml:space="preserve">future Government decisions on </w:t>
      </w:r>
      <w:r w:rsidR="005B0A7E" w:rsidRPr="00F07605">
        <w:t xml:space="preserve">pricing </w:t>
      </w:r>
      <w:r w:rsidR="005B0A7E">
        <w:t>arrangements</w:t>
      </w:r>
      <w:r w:rsidR="005B0A7E" w:rsidRPr="00F07605">
        <w:t>.</w:t>
      </w:r>
    </w:p>
    <w:p w14:paraId="001A2199" w14:textId="5250316A" w:rsidR="005B0A7E" w:rsidRDefault="6D5447FA" w:rsidP="005B0A7E">
      <w:r>
        <w:t xml:space="preserve">The ATEC’s pricing advice will be informed by cost evidence, analysis and consultation. </w:t>
      </w:r>
    </w:p>
    <w:p w14:paraId="491FC3BB" w14:textId="77777777" w:rsidR="005B0A7E" w:rsidRDefault="005B0A7E" w:rsidP="005B0A7E">
      <w:pPr>
        <w:sectPr w:rsidR="005B0A7E" w:rsidSect="005B0A7E">
          <w:pgSz w:w="11907" w:h="16839" w:code="9"/>
          <w:pgMar w:top="1077" w:right="1134" w:bottom="1134" w:left="1134" w:header="567" w:footer="805" w:gutter="0"/>
          <w:cols w:space="708"/>
          <w:docGrid w:linePitch="360"/>
        </w:sectPr>
      </w:pPr>
    </w:p>
    <w:p w14:paraId="6B115AE8" w14:textId="77777777" w:rsidR="006A19E3" w:rsidRDefault="0F5447D1" w:rsidP="1FA4C35C">
      <w:pPr>
        <w:pStyle w:val="Caption"/>
        <w:jc w:val="center"/>
      </w:pPr>
      <w:bookmarkStart w:id="8" w:name="_Ref241684221"/>
      <w:r>
        <w:lastRenderedPageBreak/>
        <w:t xml:space="preserve">Figure </w:t>
      </w:r>
      <w:r w:rsidRPr="1FA4C35C">
        <w:fldChar w:fldCharType="begin"/>
      </w:r>
      <w:r>
        <w:instrText xml:space="preserve"> SEQ Figure \* ARABIC </w:instrText>
      </w:r>
      <w:r w:rsidRPr="1FA4C35C">
        <w:fldChar w:fldCharType="separate"/>
      </w:r>
      <w:r w:rsidR="52625590" w:rsidRPr="1FA4C35C">
        <w:rPr>
          <w:noProof/>
        </w:rPr>
        <w:t>1</w:t>
      </w:r>
      <w:r w:rsidRPr="1FA4C35C">
        <w:rPr>
          <w:noProof/>
        </w:rPr>
        <w:fldChar w:fldCharType="end"/>
      </w:r>
      <w:bookmarkEnd w:id="8"/>
      <w:r>
        <w:t xml:space="preserve">: Overview of the process for the development and delivery of the ATEC’s </w:t>
      </w:r>
      <w:r w:rsidR="745B4F63">
        <w:t xml:space="preserve">costing and </w:t>
      </w:r>
      <w:r>
        <w:t>pricing advice</w:t>
      </w:r>
    </w:p>
    <w:p w14:paraId="35C1468D" w14:textId="4FC7B8C2" w:rsidR="00531F39" w:rsidRDefault="006A19E3" w:rsidP="4D83E248">
      <w:pPr>
        <w:jc w:val="center"/>
        <w:rPr>
          <w:rFonts w:ascii="Arial" w:hAnsi="Arial"/>
        </w:rPr>
      </w:pPr>
      <w:r w:rsidRPr="006A19E3">
        <w:rPr>
          <w:noProof/>
        </w:rPr>
        <w:drawing>
          <wp:inline distT="0" distB="0" distL="0" distR="0" wp14:anchorId="13C724E0" wp14:editId="717EE704">
            <wp:extent cx="7744096" cy="5162550"/>
            <wp:effectExtent l="0" t="0" r="9525" b="0"/>
            <wp:docPr id="325801240" name="Picture 1" descr="Figure 1 presents an overview of the process for developing costing and pricing advice. Eight numbered stages run from left to right and are connected by arrows. Publication of pricing advice is subject to further decisions by government.&#10;&#10;Stage 1: Data acquisition&#10;Define data requirements and cost drivers, including activity-based, direct and indirect, and endogenous and exogenous factors.&#10;Collect data from universities.&#10;Conduct initial data-quality checks.&#10;&#10;Stage 2: Data cleaning and verification&#10;Clean, standardise and validate the data.&#10;Reconcile and verify data with providers.&#10;Ensure consistent definitions and allocations.&#10;&#10;Stage 3: Descriptive analysis&#10;Analyse observed costs and patterns.&#10;Identify structural differences between providers and fields.&#10;Explore the drivers of cost variation.&#10;Develop initial insights into costs and current prices.&#10;&#10;Stage 4: Model development&#10;Develop a statistical model, such as a regression model, of cost drivers.&#10;Test the model’s specification and robustness.&#10;Determine how cost drivers should be treated, including whether factors are exogenous or endogenous.&#10;&#10;Stage 5: Efficient-cost estimation&#10;Estimate the efficient cost of delivery by field or cost grouping.&#10;Reflect efficient practices and a reasonable quality standard.&#10;Account for material or legitimate differences in delivery, such as scale, mode and location.&#10;&#10;Stage 6: Base-price determination&#10;Set a base price that takes account of the efficient cost for each field or cost grouping.&#10;Determine the components of the base price, comprising the Commonwealth contribution amount, abbreviated as CCA, and the student contribution amount, abbreviated as SCA.&#10;&#10;Stage 7: Pricing adjustments&#10;Identify and size adjustment factors for material structural cost differences that are not captured in the base price.&#10;Apply transparent criteria and processes.&#10;&#10;Stage 8: Pricing advice to government&#10;Prepare costing and pricing advice, including the methodology, assumptions, results and sensitivity analysis.&#10;Provide advice on base-funding amounts and Commonwealth contribution amounts, including other matters that are within scope.&#10;&#10;There are some activities occurring across the process: Consultation and engagement and Governance and quality assurance.&#10;&#10;1. Consultation and engagement, ongoing: Engage with universities, sector bodies, experts and other stakeholders at key points, such as during data specification, methodology development and consultation.&#10;2. Governance and quality assurance, throughout: Provide independent assurance, expert input, data governance, methodological transparency and documentation.&#10;Legislative context&#10;&#10;The figure identifies an ATEC function under the Universities Accord (Australian Tertiary Education Commission) Act 2026, subparagraph 11(d)(ii). The function concerns: &quot;The efficient cost of higher education across disciplines and student cohorts, and its relationship to Commonwealth contribution amounts for places in funding clusters.&quot;&#10;&#10;Notes included in the figure are:&#10;1. The process shows the ideal sequence of steps. Some stages may be iterative, including data work, modelling and estimation.&#10;2. ATEC provides advice on Commonwealth-supported places, including base-funding amounts and Commonwealth contribution am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801240" name="Picture 1" descr="Figure 1 presents an overview of the process for developing costing and pricing advice. Eight numbered stages run from left to right and are connected by arrows. Publication of pricing advice is subject to further decisions by government.&#10;&#10;Stage 1: Data acquisition&#10;Define data requirements and cost drivers, including activity-based, direct and indirect, and endogenous and exogenous factors.&#10;Collect data from universities.&#10;Conduct initial data-quality checks.&#10;&#10;Stage 2: Data cleaning and verification&#10;Clean, standardise and validate the data.&#10;Reconcile and verify data with providers.&#10;Ensure consistent definitions and allocations.&#10;&#10;Stage 3: Descriptive analysis&#10;Analyse observed costs and patterns.&#10;Identify structural differences between providers and fields.&#10;Explore the drivers of cost variation.&#10;Develop initial insights into costs and current prices.&#10;&#10;Stage 4: Model development&#10;Develop a statistical model, such as a regression model, of cost drivers.&#10;Test the model’s specification and robustness.&#10;Determine how cost drivers should be treated, including whether factors are exogenous or endogenous.&#10;&#10;Stage 5: Efficient-cost estimation&#10;Estimate the efficient cost of delivery by field or cost grouping.&#10;Reflect efficient practices and a reasonable quality standard.&#10;Account for material or legitimate differences in delivery, such as scale, mode and location.&#10;&#10;Stage 6: Base-price determination&#10;Set a base price that takes account of the efficient cost for each field or cost grouping.&#10;Determine the components of the base price, comprising the Commonwealth contribution amount, abbreviated as CCA, and the student contribution amount, abbreviated as SCA.&#10;&#10;Stage 7: Pricing adjustments&#10;Identify and size adjustment factors for material structural cost differences that are not captured in the base price.&#10;Apply transparent criteria and processes.&#10;&#10;Stage 8: Pricing advice to government&#10;Prepare costing and pricing advice, including the methodology, assumptions, results and sensitivity analysis.&#10;Provide advice on base-funding amounts and Commonwealth contribution amounts, including other matters that are within scope.&#10;&#10;There are some activities occurring across the process: Consultation and engagement and Governance and quality assurance.&#10;&#10;1. Consultation and engagement, ongoing: Engage with universities, sector bodies, experts and other stakeholders at key points, such as during data specification, methodology development and consultation.&#10;2. Governance and quality assurance, throughout: Provide independent assurance, expert input, data governance, methodological transparency and documentation.&#10;Legislative context&#10;&#10;The figure identifies an ATEC function under the Universities Accord (Australian Tertiary Education Commission) Act 2026, subparagraph 11(d)(ii). The function concerns: &quot;The efficient cost of higher education across disciplines and student cohorts, and its relationship to Commonwealth contribution amounts for places in funding clusters.&quot;&#10;&#10;Notes included in the figure are:&#10;1. The process shows the ideal sequence of steps. Some stages may be iterative, including data work, modelling and estimation.&#10;2. ATEC provides advice on Commonwealth-supported places, including base-funding amounts and Commonwealth contribution amounts."/>
                    <pic:cNvPicPr/>
                  </pic:nvPicPr>
                  <pic:blipFill>
                    <a:blip r:embed="rId21"/>
                    <a:stretch>
                      <a:fillRect/>
                    </a:stretch>
                  </pic:blipFill>
                  <pic:spPr>
                    <a:xfrm>
                      <a:off x="0" y="0"/>
                      <a:ext cx="7816439" cy="5210777"/>
                    </a:xfrm>
                    <a:prstGeom prst="rect">
                      <a:avLst/>
                    </a:prstGeom>
                  </pic:spPr>
                </pic:pic>
              </a:graphicData>
            </a:graphic>
          </wp:inline>
        </w:drawing>
      </w:r>
      <w:r w:rsidR="00A12155">
        <w:br/>
      </w:r>
    </w:p>
    <w:p w14:paraId="582348DF" w14:textId="41B3C58B" w:rsidR="1FA4C35C" w:rsidRDefault="1FA4C35C" w:rsidP="1FA4C35C">
      <w:pPr>
        <w:jc w:val="center"/>
        <w:rPr>
          <w:rFonts w:ascii="Arial" w:hAnsi="Arial"/>
        </w:rPr>
        <w:sectPr w:rsidR="1FA4C35C" w:rsidSect="008473F1">
          <w:pgSz w:w="16839" w:h="11907" w:orient="landscape" w:code="9"/>
          <w:pgMar w:top="1134" w:right="1077" w:bottom="1134" w:left="1134" w:header="567" w:footer="805" w:gutter="0"/>
          <w:cols w:space="708"/>
          <w:docGrid w:linePitch="360"/>
        </w:sectPr>
      </w:pPr>
    </w:p>
    <w:p w14:paraId="444108CF" w14:textId="6D85F962" w:rsidR="00204B40" w:rsidRPr="00F07605" w:rsidRDefault="00204B40" w:rsidP="00236247">
      <w:pPr>
        <w:pStyle w:val="Heading1"/>
      </w:pPr>
      <w:bookmarkStart w:id="9" w:name="_Toc241671196"/>
      <w:bookmarkStart w:id="10" w:name="_Toc244072877"/>
      <w:bookmarkStart w:id="11" w:name="_Toc239680541"/>
      <w:bookmarkEnd w:id="9"/>
      <w:r w:rsidRPr="00F07605">
        <w:lastRenderedPageBreak/>
        <w:t>Framework requirements</w:t>
      </w:r>
      <w:bookmarkEnd w:id="10"/>
    </w:p>
    <w:bookmarkEnd w:id="11"/>
    <w:p w14:paraId="719BBAF6" w14:textId="7F6F4E47" w:rsidR="0075691B" w:rsidRPr="00F07605" w:rsidRDefault="00CD0395" w:rsidP="6D6A7569">
      <w:pPr>
        <w:rPr>
          <w:rFonts w:ascii="Arial" w:hAnsi="Arial"/>
        </w:rPr>
      </w:pPr>
      <w:r w:rsidRPr="00F07605">
        <w:rPr>
          <w:rFonts w:ascii="Arial" w:hAnsi="Arial"/>
        </w:rPr>
        <w:t xml:space="preserve">Australia’s </w:t>
      </w:r>
      <w:r w:rsidR="26FE92A7" w:rsidRPr="00F07605">
        <w:rPr>
          <w:rFonts w:ascii="Arial" w:hAnsi="Arial"/>
        </w:rPr>
        <w:t xml:space="preserve">current </w:t>
      </w:r>
      <w:r w:rsidR="30D81AEC" w:rsidRPr="00F07605">
        <w:rPr>
          <w:rFonts w:ascii="Arial" w:hAnsi="Arial"/>
        </w:rPr>
        <w:t>approach to</w:t>
      </w:r>
      <w:r w:rsidRPr="00F07605">
        <w:rPr>
          <w:rFonts w:ascii="Arial" w:hAnsi="Arial"/>
        </w:rPr>
        <w:t xml:space="preserve"> funding </w:t>
      </w:r>
      <w:r w:rsidR="00B5117C">
        <w:rPr>
          <w:rFonts w:ascii="Arial" w:hAnsi="Arial"/>
        </w:rPr>
        <w:t xml:space="preserve">CSPs </w:t>
      </w:r>
      <w:r w:rsidRPr="00F07605">
        <w:rPr>
          <w:rFonts w:ascii="Arial" w:hAnsi="Arial"/>
        </w:rPr>
        <w:t>provide</w:t>
      </w:r>
      <w:r w:rsidR="66164ABB" w:rsidRPr="00F07605">
        <w:rPr>
          <w:rFonts w:ascii="Arial" w:hAnsi="Arial"/>
        </w:rPr>
        <w:t>s</w:t>
      </w:r>
      <w:r w:rsidRPr="00F07605">
        <w:rPr>
          <w:rFonts w:ascii="Arial" w:hAnsi="Arial"/>
        </w:rPr>
        <w:t xml:space="preserve"> a workable basis for allocating funding. Funding clusters and indexed contribution amounts are embedded </w:t>
      </w:r>
      <w:r w:rsidR="00B16D6E">
        <w:rPr>
          <w:rFonts w:ascii="Arial" w:hAnsi="Arial"/>
        </w:rPr>
        <w:t>across the sector</w:t>
      </w:r>
      <w:r w:rsidR="00FD04DE">
        <w:rPr>
          <w:rFonts w:ascii="Arial" w:hAnsi="Arial"/>
        </w:rPr>
        <w:t xml:space="preserve"> through legislation</w:t>
      </w:r>
      <w:r w:rsidR="00B41236">
        <w:rPr>
          <w:rFonts w:ascii="Arial" w:hAnsi="Arial"/>
        </w:rPr>
        <w:t xml:space="preserve"> (HESA 2003)</w:t>
      </w:r>
      <w:r w:rsidRPr="00F07605">
        <w:rPr>
          <w:rFonts w:ascii="Arial" w:hAnsi="Arial"/>
        </w:rPr>
        <w:t>.</w:t>
      </w:r>
    </w:p>
    <w:p w14:paraId="62D9DEB9" w14:textId="056F053A" w:rsidR="0075691B" w:rsidRPr="00F07605" w:rsidRDefault="2FBD5ABC" w:rsidP="00B7431D">
      <w:pPr>
        <w:rPr>
          <w:rFonts w:ascii="Arial" w:hAnsi="Arial"/>
        </w:rPr>
      </w:pPr>
      <w:r w:rsidRPr="00F07605">
        <w:rPr>
          <w:rFonts w:ascii="Arial" w:hAnsi="Arial"/>
        </w:rPr>
        <w:t>The Framework seeks to establish a transparent</w:t>
      </w:r>
      <w:r w:rsidR="00B16D6E">
        <w:rPr>
          <w:rFonts w:ascii="Arial" w:hAnsi="Arial"/>
        </w:rPr>
        <w:t>,</w:t>
      </w:r>
      <w:r w:rsidRPr="00F07605">
        <w:rPr>
          <w:rFonts w:ascii="Arial" w:hAnsi="Arial"/>
        </w:rPr>
        <w:t xml:space="preserve"> evidence-based </w:t>
      </w:r>
      <w:r w:rsidR="00D70D74">
        <w:rPr>
          <w:rFonts w:ascii="Arial" w:hAnsi="Arial"/>
        </w:rPr>
        <w:t xml:space="preserve">structure </w:t>
      </w:r>
      <w:r w:rsidR="00B16D6E">
        <w:rPr>
          <w:rFonts w:ascii="Arial" w:hAnsi="Arial"/>
        </w:rPr>
        <w:t xml:space="preserve">for </w:t>
      </w:r>
      <w:r w:rsidRPr="00F07605">
        <w:rPr>
          <w:rFonts w:ascii="Arial" w:hAnsi="Arial"/>
        </w:rPr>
        <w:t>assess</w:t>
      </w:r>
      <w:r w:rsidR="00B16D6E">
        <w:rPr>
          <w:rFonts w:ascii="Arial" w:hAnsi="Arial"/>
        </w:rPr>
        <w:t>ing</w:t>
      </w:r>
      <w:r w:rsidRPr="00F07605">
        <w:rPr>
          <w:rFonts w:ascii="Arial" w:hAnsi="Arial"/>
        </w:rPr>
        <w:t xml:space="preserve"> </w:t>
      </w:r>
      <w:r w:rsidR="00F73C94">
        <w:rPr>
          <w:rFonts w:ascii="Arial" w:hAnsi="Arial"/>
        </w:rPr>
        <w:t xml:space="preserve">whether the </w:t>
      </w:r>
      <w:r w:rsidRPr="00F07605">
        <w:rPr>
          <w:rFonts w:ascii="Arial" w:hAnsi="Arial"/>
        </w:rPr>
        <w:t xml:space="preserve">current </w:t>
      </w:r>
      <w:r w:rsidR="002C1B8D">
        <w:rPr>
          <w:rFonts w:ascii="Arial" w:hAnsi="Arial"/>
        </w:rPr>
        <w:t xml:space="preserve">total </w:t>
      </w:r>
      <w:r w:rsidRPr="00F07605">
        <w:rPr>
          <w:rFonts w:ascii="Arial" w:hAnsi="Arial"/>
        </w:rPr>
        <w:t xml:space="preserve">prices </w:t>
      </w:r>
      <w:r w:rsidR="00C20D73">
        <w:rPr>
          <w:rFonts w:ascii="Arial" w:hAnsi="Arial"/>
        </w:rPr>
        <w:t>(</w:t>
      </w:r>
      <w:r w:rsidR="002C1B8D">
        <w:rPr>
          <w:rFonts w:ascii="Arial" w:hAnsi="Arial"/>
        </w:rPr>
        <w:t xml:space="preserve">comprising of </w:t>
      </w:r>
      <w:r w:rsidR="00C20D73">
        <w:rPr>
          <w:rFonts w:ascii="Arial" w:hAnsi="Arial"/>
        </w:rPr>
        <w:t xml:space="preserve">Commonwealth </w:t>
      </w:r>
      <w:r w:rsidR="00B5117C">
        <w:rPr>
          <w:rFonts w:ascii="Arial" w:hAnsi="Arial"/>
        </w:rPr>
        <w:t>c</w:t>
      </w:r>
      <w:r w:rsidR="00C20D73">
        <w:rPr>
          <w:rFonts w:ascii="Arial" w:hAnsi="Arial"/>
        </w:rPr>
        <w:t xml:space="preserve">ontribution and </w:t>
      </w:r>
      <w:r w:rsidR="00B5117C">
        <w:rPr>
          <w:rFonts w:ascii="Arial" w:hAnsi="Arial"/>
        </w:rPr>
        <w:t>s</w:t>
      </w:r>
      <w:r w:rsidR="00C20D73">
        <w:rPr>
          <w:rFonts w:ascii="Arial" w:hAnsi="Arial"/>
        </w:rPr>
        <w:t xml:space="preserve">tudent </w:t>
      </w:r>
      <w:r w:rsidR="00B5117C">
        <w:rPr>
          <w:rFonts w:ascii="Arial" w:hAnsi="Arial"/>
        </w:rPr>
        <w:t>c</w:t>
      </w:r>
      <w:r w:rsidR="00C20D73">
        <w:rPr>
          <w:rFonts w:ascii="Arial" w:hAnsi="Arial"/>
        </w:rPr>
        <w:t xml:space="preserve">ontribution amounts) </w:t>
      </w:r>
      <w:r w:rsidR="00F73C94">
        <w:rPr>
          <w:rFonts w:ascii="Arial" w:hAnsi="Arial"/>
        </w:rPr>
        <w:t xml:space="preserve">reflect </w:t>
      </w:r>
      <w:r w:rsidR="00C20D73">
        <w:rPr>
          <w:rFonts w:ascii="Arial" w:hAnsi="Arial"/>
        </w:rPr>
        <w:t>the</w:t>
      </w:r>
      <w:r w:rsidRPr="00F07605">
        <w:rPr>
          <w:rFonts w:ascii="Arial" w:hAnsi="Arial"/>
        </w:rPr>
        <w:t xml:space="preserve"> efficient cost</w:t>
      </w:r>
      <w:r w:rsidR="00F73C94">
        <w:rPr>
          <w:rFonts w:ascii="Arial" w:hAnsi="Arial"/>
        </w:rPr>
        <w:t xml:space="preserve"> of </w:t>
      </w:r>
      <w:r w:rsidR="00130BF7">
        <w:rPr>
          <w:rFonts w:ascii="Arial" w:hAnsi="Arial"/>
        </w:rPr>
        <w:t>delivering teaching and supporting scholarship</w:t>
      </w:r>
      <w:r w:rsidR="00F73C94">
        <w:rPr>
          <w:rFonts w:ascii="Arial" w:hAnsi="Arial"/>
        </w:rPr>
        <w:t>. While e</w:t>
      </w:r>
      <w:r w:rsidR="00CD0395" w:rsidRPr="00F07605">
        <w:rPr>
          <w:rFonts w:ascii="Arial" w:hAnsi="Arial"/>
        </w:rPr>
        <w:t xml:space="preserve">xisting arrangements </w:t>
      </w:r>
      <w:r w:rsidR="003B01F2">
        <w:rPr>
          <w:rFonts w:ascii="Arial" w:hAnsi="Arial"/>
        </w:rPr>
        <w:t>have been informed by previous reviews, the relat</w:t>
      </w:r>
      <w:r w:rsidR="00051E8D">
        <w:rPr>
          <w:rFonts w:ascii="Arial" w:hAnsi="Arial"/>
        </w:rPr>
        <w:t>ion</w:t>
      </w:r>
      <w:r w:rsidR="003B01F2">
        <w:rPr>
          <w:rFonts w:ascii="Arial" w:hAnsi="Arial"/>
        </w:rPr>
        <w:t>ship</w:t>
      </w:r>
      <w:r w:rsidR="00051E8D">
        <w:rPr>
          <w:rFonts w:ascii="Arial" w:hAnsi="Arial"/>
        </w:rPr>
        <w:t xml:space="preserve"> between funding relativities, underlying costs and policy judgements is not always clear</w:t>
      </w:r>
      <w:r w:rsidR="00D925F3">
        <w:rPr>
          <w:rFonts w:ascii="Arial" w:hAnsi="Arial"/>
        </w:rPr>
        <w:t xml:space="preserve"> to the sector</w:t>
      </w:r>
      <w:r w:rsidR="006D2945">
        <w:rPr>
          <w:rFonts w:ascii="Arial" w:hAnsi="Arial"/>
        </w:rPr>
        <w:t>.</w:t>
      </w:r>
      <w:r w:rsidR="00051E8D">
        <w:rPr>
          <w:rFonts w:ascii="Arial" w:hAnsi="Arial"/>
        </w:rPr>
        <w:t xml:space="preserve"> </w:t>
      </w:r>
      <w:r w:rsidR="00B238F8">
        <w:rPr>
          <w:rFonts w:ascii="Arial" w:hAnsi="Arial"/>
        </w:rPr>
        <w:t>Current f</w:t>
      </w:r>
      <w:r w:rsidR="004C533C">
        <w:rPr>
          <w:rFonts w:ascii="Arial" w:hAnsi="Arial"/>
        </w:rPr>
        <w:t xml:space="preserve">unding </w:t>
      </w:r>
      <w:r w:rsidR="00051E8D">
        <w:rPr>
          <w:rFonts w:ascii="Arial" w:hAnsi="Arial"/>
        </w:rPr>
        <w:t xml:space="preserve">arrangements </w:t>
      </w:r>
      <w:r w:rsidR="00E37337">
        <w:rPr>
          <w:rFonts w:ascii="Arial" w:hAnsi="Arial"/>
        </w:rPr>
        <w:t xml:space="preserve">are </w:t>
      </w:r>
      <w:r w:rsidR="003D460A">
        <w:rPr>
          <w:rFonts w:ascii="Arial" w:hAnsi="Arial"/>
        </w:rPr>
        <w:t xml:space="preserve">also </w:t>
      </w:r>
      <w:r w:rsidR="00051E8D">
        <w:rPr>
          <w:rFonts w:ascii="Arial" w:hAnsi="Arial"/>
        </w:rPr>
        <w:t>not designed for periodic reassessment of efficient costs</w:t>
      </w:r>
      <w:r w:rsidR="00E37337">
        <w:rPr>
          <w:rFonts w:ascii="Arial" w:hAnsi="Arial"/>
        </w:rPr>
        <w:t xml:space="preserve"> as </w:t>
      </w:r>
      <w:r w:rsidR="00FE5212">
        <w:rPr>
          <w:rFonts w:ascii="Arial" w:hAnsi="Arial"/>
        </w:rPr>
        <w:t xml:space="preserve">they </w:t>
      </w:r>
      <w:r w:rsidR="00E37337">
        <w:rPr>
          <w:rFonts w:ascii="Arial" w:hAnsi="Arial"/>
        </w:rPr>
        <w:t>require legislative changes</w:t>
      </w:r>
      <w:r w:rsidR="00051E8D">
        <w:rPr>
          <w:rFonts w:ascii="Arial" w:hAnsi="Arial"/>
        </w:rPr>
        <w:t xml:space="preserve">. </w:t>
      </w:r>
      <w:r w:rsidR="4C8C4965" w:rsidRPr="00F07605">
        <w:rPr>
          <w:rFonts w:ascii="Arial" w:hAnsi="Arial"/>
        </w:rPr>
        <w:t>The</w:t>
      </w:r>
      <w:r w:rsidR="00B7431D" w:rsidRPr="00F07605">
        <w:rPr>
          <w:rFonts w:ascii="Arial" w:hAnsi="Arial"/>
        </w:rPr>
        <w:t xml:space="preserve"> Framework is intended to provide a more systematic and reviewable basis for assessing efficient costing and inform future pricing advice.</w:t>
      </w:r>
      <w:r w:rsidR="0075691B" w:rsidRPr="00F07605">
        <w:rPr>
          <w:rFonts w:ascii="Arial" w:hAnsi="Arial"/>
        </w:rPr>
        <w:t xml:space="preserve"> </w:t>
      </w:r>
    </w:p>
    <w:p w14:paraId="04023DB0" w14:textId="6319BF00" w:rsidR="00506964" w:rsidRDefault="00506964" w:rsidP="00B7431D">
      <w:pPr>
        <w:rPr>
          <w:rFonts w:ascii="Arial" w:hAnsi="Arial"/>
        </w:rPr>
      </w:pPr>
      <w:r w:rsidRPr="00506964">
        <w:rPr>
          <w:rFonts w:ascii="Arial" w:hAnsi="Arial"/>
        </w:rPr>
        <w:t xml:space="preserve">When working within the Framework, the ATEC will test whether material differences in delivery costs exist across </w:t>
      </w:r>
      <w:proofErr w:type="spellStart"/>
      <w:r w:rsidRPr="4FBF9D2B">
        <w:rPr>
          <w:rFonts w:ascii="Arial" w:hAnsi="Arial"/>
        </w:rPr>
        <w:t>FoE</w:t>
      </w:r>
      <w:r w:rsidR="62BE591D" w:rsidRPr="4FBF9D2B">
        <w:rPr>
          <w:rFonts w:ascii="Arial" w:hAnsi="Arial"/>
        </w:rPr>
        <w:t>s</w:t>
      </w:r>
      <w:proofErr w:type="spellEnd"/>
      <w:r w:rsidRPr="00506964">
        <w:rPr>
          <w:rFonts w:ascii="Arial" w:hAnsi="Arial"/>
        </w:rPr>
        <w:t xml:space="preserve"> and are influenced by other structural factors, such as scale, location, placements, specialised facilities and delivery methods. The ATEC will assess whether current arrangements create material misalignment between funding and efficient costs of delivering teaching and supporting scholarship </w:t>
      </w:r>
      <w:r w:rsidR="00E6770A" w:rsidRPr="00506964">
        <w:rPr>
          <w:rFonts w:ascii="Arial" w:hAnsi="Arial"/>
        </w:rPr>
        <w:t>to</w:t>
      </w:r>
      <w:r w:rsidRPr="00506964">
        <w:rPr>
          <w:rFonts w:ascii="Arial" w:hAnsi="Arial"/>
        </w:rPr>
        <w:t xml:space="preserve"> inform the ATEC’s advice to </w:t>
      </w:r>
      <w:r w:rsidR="6235CFD9" w:rsidRPr="6F633830">
        <w:rPr>
          <w:rFonts w:ascii="Arial" w:hAnsi="Arial"/>
        </w:rPr>
        <w:t>G</w:t>
      </w:r>
      <w:r w:rsidRPr="00506964">
        <w:rPr>
          <w:rFonts w:ascii="Arial" w:hAnsi="Arial"/>
        </w:rPr>
        <w:t>overnment.</w:t>
      </w:r>
    </w:p>
    <w:p w14:paraId="64862184" w14:textId="4DBF4699" w:rsidR="005C30AB" w:rsidRDefault="00810DD4" w:rsidP="00B7431D">
      <w:pPr>
        <w:rPr>
          <w:rFonts w:ascii="Arial" w:hAnsi="Arial"/>
        </w:rPr>
      </w:pPr>
      <w:r w:rsidRPr="00810DD4">
        <w:rPr>
          <w:rFonts w:ascii="Arial" w:hAnsi="Arial"/>
        </w:rPr>
        <w:t>The Framework signals a shift towards a more evidence-based and transparent approach to pricing advice. Over time, this will involve greater use of detailed university cost and activity data to better understand the efficient cost of delivering teaching and supporting scholarship, the factors that influence those costs, and whether current pricing arrangements remain aligned with contemporary delivery practices.</w:t>
      </w:r>
    </w:p>
    <w:p w14:paraId="40AFCAD6" w14:textId="158DBF11" w:rsidR="00775367" w:rsidRPr="00B52B2C" w:rsidRDefault="0073242A" w:rsidP="00D054BA">
      <w:pPr>
        <w:pStyle w:val="Heading1"/>
      </w:pPr>
      <w:bookmarkStart w:id="12" w:name="_Toc244072878"/>
      <w:r w:rsidRPr="0079031C">
        <w:t xml:space="preserve">Pricing </w:t>
      </w:r>
      <w:r w:rsidR="00CA2A37" w:rsidRPr="0079031C">
        <w:t>advice o</w:t>
      </w:r>
      <w:r w:rsidR="00020212" w:rsidRPr="0079031C">
        <w:t>bjective</w:t>
      </w:r>
      <w:bookmarkStart w:id="13" w:name="_Toc237875661"/>
      <w:bookmarkStart w:id="14" w:name="_Toc239680542"/>
      <w:bookmarkEnd w:id="12"/>
      <w:bookmarkEnd w:id="13"/>
    </w:p>
    <w:tbl>
      <w:tblPr>
        <w:tblStyle w:val="GridTable4-Accent1"/>
        <w:tblW w:w="9634" w:type="dxa"/>
        <w:tblLook w:val="04A0" w:firstRow="1" w:lastRow="0" w:firstColumn="1" w:lastColumn="0" w:noHBand="0" w:noVBand="1"/>
      </w:tblPr>
      <w:tblGrid>
        <w:gridCol w:w="9634"/>
      </w:tblGrid>
      <w:tr w:rsidR="00204B40" w:rsidRPr="00F07605" w14:paraId="4893AF12" w14:textId="77777777" w:rsidTr="006A19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195B54" w:themeFill="accent1" w:themeFillTint="E6"/>
            <w:tcMar>
              <w:top w:w="120" w:type="dxa"/>
              <w:left w:w="120" w:type="dxa"/>
              <w:bottom w:w="120" w:type="dxa"/>
              <w:right w:w="120" w:type="dxa"/>
            </w:tcMar>
            <w:hideMark/>
          </w:tcPr>
          <w:bookmarkEnd w:id="14"/>
          <w:p w14:paraId="487B986F" w14:textId="58EFDB7B" w:rsidR="00204B40" w:rsidRPr="00F07605" w:rsidRDefault="00AD4AD6" w:rsidP="5901039E">
            <w:pPr>
              <w:spacing w:before="0" w:after="0"/>
              <w:rPr>
                <w:color w:val="000000"/>
                <w:kern w:val="2"/>
                <w14:ligatures w14:val="standardContextual"/>
              </w:rPr>
            </w:pPr>
            <w:r w:rsidRPr="00AD4AD6">
              <w:rPr>
                <w:i/>
                <w:iCs/>
              </w:rPr>
              <w:t xml:space="preserve">The objective of the ATEC's higher education pricing advice is to provide Government with evidence and analysis on prices that would support efficient, high-quality education across a diverse range of nationally accessible disciplines and sustainable universities (and other providers), in the context of the National Tertiary Education Objective and mission-based compacts negotiated with </w:t>
            </w:r>
            <w:proofErr w:type="gramStart"/>
            <w:r w:rsidRPr="00AD4AD6">
              <w:rPr>
                <w:i/>
                <w:iCs/>
              </w:rPr>
              <w:t>universities.</w:t>
            </w:r>
            <w:r w:rsidR="00204B40" w:rsidRPr="00F07605">
              <w:rPr>
                <w:i/>
                <w:iCs/>
              </w:rPr>
              <w:t>.</w:t>
            </w:r>
            <w:proofErr w:type="gramEnd"/>
          </w:p>
        </w:tc>
      </w:tr>
    </w:tbl>
    <w:p w14:paraId="7740EB57" w14:textId="1C9040B6" w:rsidR="641C8AFA" w:rsidRPr="00F07605" w:rsidRDefault="00100B79">
      <w:pPr>
        <w:rPr>
          <w:rFonts w:ascii="Arial" w:hAnsi="Arial"/>
        </w:rPr>
      </w:pPr>
      <w:r>
        <w:rPr>
          <w:rFonts w:ascii="Arial" w:hAnsi="Arial"/>
        </w:rPr>
        <w:t xml:space="preserve">This objective </w:t>
      </w:r>
      <w:r w:rsidR="000F5795">
        <w:rPr>
          <w:rFonts w:ascii="Arial" w:hAnsi="Arial"/>
        </w:rPr>
        <w:t xml:space="preserve">recognises the </w:t>
      </w:r>
      <w:r w:rsidR="641C8AFA" w:rsidRPr="00F07605">
        <w:rPr>
          <w:rFonts w:ascii="Arial" w:hAnsi="Arial"/>
        </w:rPr>
        <w:t>divers</w:t>
      </w:r>
      <w:r w:rsidR="000F5795">
        <w:rPr>
          <w:rFonts w:ascii="Arial" w:hAnsi="Arial"/>
        </w:rPr>
        <w:t xml:space="preserve">ity of </w:t>
      </w:r>
      <w:r w:rsidR="641C8AFA" w:rsidRPr="00F07605">
        <w:rPr>
          <w:rFonts w:ascii="Arial" w:hAnsi="Arial"/>
        </w:rPr>
        <w:t>costs, delivery models</w:t>
      </w:r>
      <w:r w:rsidR="00243C5F">
        <w:rPr>
          <w:rFonts w:ascii="Arial" w:hAnsi="Arial"/>
        </w:rPr>
        <w:t xml:space="preserve"> and </w:t>
      </w:r>
      <w:r w:rsidR="641C8AFA" w:rsidRPr="00F07605">
        <w:rPr>
          <w:rFonts w:ascii="Arial" w:hAnsi="Arial"/>
        </w:rPr>
        <w:t xml:space="preserve">institutional missions </w:t>
      </w:r>
      <w:r w:rsidR="00243C5F">
        <w:rPr>
          <w:rFonts w:ascii="Arial" w:hAnsi="Arial"/>
        </w:rPr>
        <w:t xml:space="preserve">across </w:t>
      </w:r>
      <w:r w:rsidR="641C8AFA" w:rsidRPr="00F07605">
        <w:rPr>
          <w:rFonts w:ascii="Arial" w:hAnsi="Arial"/>
        </w:rPr>
        <w:t xml:space="preserve">the sector. </w:t>
      </w:r>
      <w:r w:rsidR="00D40777">
        <w:rPr>
          <w:rFonts w:ascii="Arial" w:hAnsi="Arial"/>
        </w:rPr>
        <w:t>This objective</w:t>
      </w:r>
      <w:r w:rsidR="008D17A7">
        <w:rPr>
          <w:rFonts w:ascii="Arial" w:hAnsi="Arial"/>
        </w:rPr>
        <w:t xml:space="preserve"> </w:t>
      </w:r>
      <w:r w:rsidR="00EA76AA">
        <w:rPr>
          <w:rFonts w:ascii="Arial" w:hAnsi="Arial"/>
        </w:rPr>
        <w:t>has been</w:t>
      </w:r>
      <w:r w:rsidR="008D17A7">
        <w:rPr>
          <w:rFonts w:ascii="Arial" w:hAnsi="Arial"/>
        </w:rPr>
        <w:t xml:space="preserve"> </w:t>
      </w:r>
      <w:r w:rsidR="00D40777">
        <w:rPr>
          <w:rFonts w:ascii="Arial" w:hAnsi="Arial"/>
        </w:rPr>
        <w:t xml:space="preserve">endorsed by the Working Group on Higher Education Costing and Pricing. </w:t>
      </w:r>
      <w:r w:rsidR="641C8AFA" w:rsidRPr="00F07605">
        <w:rPr>
          <w:rFonts w:ascii="Arial" w:hAnsi="Arial"/>
        </w:rPr>
        <w:t>Stakeholder feedback will inform the continued development of the Framework and the ATEC's future pricing advice to Government.</w:t>
      </w:r>
    </w:p>
    <w:p w14:paraId="39D4637A" w14:textId="7AB33A69" w:rsidR="002B5FA4" w:rsidRPr="00F07605" w:rsidRDefault="00715DEC" w:rsidP="002B5FA4">
      <w:pPr>
        <w:rPr>
          <w:szCs w:val="22"/>
        </w:rPr>
      </w:pPr>
      <w:r>
        <w:rPr>
          <w:szCs w:val="22"/>
        </w:rPr>
        <w:t xml:space="preserve">Consistent with this </w:t>
      </w:r>
      <w:r w:rsidR="009E2E46" w:rsidRPr="00F07605">
        <w:rPr>
          <w:szCs w:val="22"/>
        </w:rPr>
        <w:t>objective is that:</w:t>
      </w:r>
    </w:p>
    <w:p w14:paraId="2DAD949A" w14:textId="04C3DA4D" w:rsidR="00DB5519" w:rsidRPr="00F07605" w:rsidRDefault="002B5FA4" w:rsidP="00B52B2C">
      <w:pPr>
        <w:pStyle w:val="ListBullet"/>
        <w:numPr>
          <w:ilvl w:val="0"/>
          <w:numId w:val="65"/>
        </w:numPr>
      </w:pPr>
      <w:r w:rsidRPr="00F07605">
        <w:rPr>
          <w:i/>
          <w:iCs/>
        </w:rPr>
        <w:t>Pric</w:t>
      </w:r>
      <w:r w:rsidR="00280529">
        <w:rPr>
          <w:i/>
          <w:iCs/>
        </w:rPr>
        <w:t>ing</w:t>
      </w:r>
      <w:r w:rsidRPr="00F07605">
        <w:rPr>
          <w:i/>
          <w:iCs/>
        </w:rPr>
        <w:t xml:space="preserve"> </w:t>
      </w:r>
      <w:r w:rsidR="00280529">
        <w:rPr>
          <w:i/>
          <w:iCs/>
        </w:rPr>
        <w:t xml:space="preserve">advice </w:t>
      </w:r>
      <w:r w:rsidRPr="00F07605">
        <w:rPr>
          <w:i/>
          <w:iCs/>
        </w:rPr>
        <w:t>will be evidence-based</w:t>
      </w:r>
      <w:r w:rsidR="008954F3">
        <w:rPr>
          <w:i/>
          <w:iCs/>
        </w:rPr>
        <w:t xml:space="preserve"> and reflect the efficient cost of provision</w:t>
      </w:r>
      <w:r w:rsidRPr="00F07605">
        <w:rPr>
          <w:i/>
          <w:iCs/>
        </w:rPr>
        <w:t>.</w:t>
      </w:r>
      <w:r w:rsidRPr="00F07605">
        <w:t xml:space="preserve"> </w:t>
      </w:r>
      <w:r w:rsidR="6D977C55" w:rsidRPr="00F07605">
        <w:t>P</w:t>
      </w:r>
      <w:r w:rsidRPr="00F07605">
        <w:t xml:space="preserve">ricing advice will </w:t>
      </w:r>
      <w:r w:rsidR="00F36264">
        <w:t xml:space="preserve">consider </w:t>
      </w:r>
      <w:r w:rsidRPr="00F07605">
        <w:t>the contemporary cost of provision</w:t>
      </w:r>
      <w:r w:rsidR="00DB5519">
        <w:t xml:space="preserve"> </w:t>
      </w:r>
      <w:proofErr w:type="gramStart"/>
      <w:r w:rsidR="00DB5519" w:rsidRPr="00F07605">
        <w:t>and also</w:t>
      </w:r>
      <w:proofErr w:type="gramEnd"/>
      <w:r w:rsidR="00DB5519" w:rsidRPr="00F07605">
        <w:t xml:space="preserve"> </w:t>
      </w:r>
      <w:proofErr w:type="gramStart"/>
      <w:r w:rsidR="00DB5519" w:rsidRPr="00F07605">
        <w:t>take into account</w:t>
      </w:r>
      <w:proofErr w:type="gramEnd"/>
      <w:r w:rsidR="00DB5519" w:rsidRPr="00F07605">
        <w:t xml:space="preserve"> that some units in some universities cost more to deliver.</w:t>
      </w:r>
    </w:p>
    <w:p w14:paraId="61F0073D" w14:textId="7E210488" w:rsidR="009262E7" w:rsidRPr="00F07605" w:rsidRDefault="009262E7" w:rsidP="00B52B2C">
      <w:pPr>
        <w:pStyle w:val="ListBullet"/>
        <w:numPr>
          <w:ilvl w:val="0"/>
          <w:numId w:val="65"/>
        </w:numPr>
      </w:pPr>
      <w:r w:rsidRPr="00F07605">
        <w:rPr>
          <w:i/>
          <w:iCs/>
        </w:rPr>
        <w:t>Quality is important.</w:t>
      </w:r>
      <w:r w:rsidRPr="00F07605">
        <w:t xml:space="preserve"> Quality teaching and learning should be informed by scholarship</w:t>
      </w:r>
      <w:r w:rsidR="006503E6" w:rsidRPr="00F07605">
        <w:t xml:space="preserve"> and </w:t>
      </w:r>
      <w:r w:rsidR="576B6EB7" w:rsidRPr="00F07605">
        <w:t>enable universities to provide quality teaching and scholarship in line with national standards.</w:t>
      </w:r>
    </w:p>
    <w:p w14:paraId="6D9C6089" w14:textId="555BAF6C" w:rsidR="00437F62" w:rsidRPr="00F07605" w:rsidRDefault="00437F62" w:rsidP="00B52B2C">
      <w:pPr>
        <w:pStyle w:val="ListBullet"/>
        <w:numPr>
          <w:ilvl w:val="0"/>
          <w:numId w:val="65"/>
        </w:numPr>
      </w:pPr>
      <w:r w:rsidRPr="00F07605">
        <w:rPr>
          <w:i/>
          <w:iCs/>
        </w:rPr>
        <w:lastRenderedPageBreak/>
        <w:t xml:space="preserve">Pricing advice accounts for </w:t>
      </w:r>
      <w:r w:rsidR="0096258E">
        <w:rPr>
          <w:i/>
          <w:iCs/>
        </w:rPr>
        <w:t>systematic and material</w:t>
      </w:r>
      <w:r w:rsidR="0096258E" w:rsidRPr="00F07605">
        <w:rPr>
          <w:i/>
          <w:iCs/>
        </w:rPr>
        <w:t xml:space="preserve"> </w:t>
      </w:r>
      <w:r w:rsidRPr="00F07605">
        <w:rPr>
          <w:i/>
          <w:iCs/>
        </w:rPr>
        <w:t>variation</w:t>
      </w:r>
      <w:r w:rsidRPr="00F07605">
        <w:t xml:space="preserve"> in the cost of delivery, including</w:t>
      </w:r>
      <w:r w:rsidR="004C780A" w:rsidRPr="00F07605">
        <w:t xml:space="preserve"> </w:t>
      </w:r>
      <w:r w:rsidR="47447784" w:rsidRPr="00F07605">
        <w:t xml:space="preserve">potentially </w:t>
      </w:r>
      <w:r w:rsidR="004C780A" w:rsidRPr="00F07605">
        <w:t>those driven by</w:t>
      </w:r>
      <w:r w:rsidRPr="00F07605">
        <w:t xml:space="preserve"> </w:t>
      </w:r>
      <w:r w:rsidR="00A63902" w:rsidRPr="00F07605">
        <w:t xml:space="preserve">economies of scale, delivery methods and </w:t>
      </w:r>
      <w:proofErr w:type="spellStart"/>
      <w:r w:rsidR="0431F57A" w:rsidRPr="00F07605">
        <w:t>FoE</w:t>
      </w:r>
      <w:proofErr w:type="spellEnd"/>
      <w:r w:rsidR="00A63902" w:rsidRPr="00F07605">
        <w:t>.</w:t>
      </w:r>
    </w:p>
    <w:p w14:paraId="32D32710" w14:textId="5207707A" w:rsidR="000C7958" w:rsidRPr="00F07605" w:rsidRDefault="000C7958" w:rsidP="00B52B2C">
      <w:pPr>
        <w:pStyle w:val="ListBullet"/>
        <w:numPr>
          <w:ilvl w:val="0"/>
          <w:numId w:val="65"/>
        </w:numPr>
        <w:rPr>
          <w:szCs w:val="22"/>
        </w:rPr>
      </w:pPr>
      <w:r w:rsidRPr="00F07605">
        <w:rPr>
          <w:i/>
          <w:iCs/>
          <w:szCs w:val="22"/>
        </w:rPr>
        <w:t xml:space="preserve">University education should be </w:t>
      </w:r>
      <w:r w:rsidR="003B774C">
        <w:rPr>
          <w:i/>
          <w:iCs/>
          <w:szCs w:val="22"/>
        </w:rPr>
        <w:t>nat</w:t>
      </w:r>
      <w:r w:rsidR="005F1607">
        <w:rPr>
          <w:i/>
          <w:iCs/>
          <w:szCs w:val="22"/>
        </w:rPr>
        <w:t xml:space="preserve">ionally </w:t>
      </w:r>
      <w:r w:rsidRPr="00F07605" w:rsidDel="008D7EC8">
        <w:rPr>
          <w:i/>
          <w:iCs/>
          <w:szCs w:val="22"/>
        </w:rPr>
        <w:t>accessible</w:t>
      </w:r>
      <w:r w:rsidRPr="00F07605">
        <w:rPr>
          <w:i/>
          <w:iCs/>
          <w:szCs w:val="22"/>
        </w:rPr>
        <w:t>.</w:t>
      </w:r>
      <w:r w:rsidRPr="00F07605">
        <w:rPr>
          <w:szCs w:val="22"/>
        </w:rPr>
        <w:t xml:space="preserve"> Pricing advice should help to ensure that key </w:t>
      </w:r>
      <w:proofErr w:type="spellStart"/>
      <w:r w:rsidR="00207DFD">
        <w:rPr>
          <w:szCs w:val="22"/>
        </w:rPr>
        <w:t>FoEs</w:t>
      </w:r>
      <w:proofErr w:type="spellEnd"/>
      <w:r w:rsidRPr="00F07605">
        <w:rPr>
          <w:szCs w:val="22"/>
        </w:rPr>
        <w:t xml:space="preserve"> are available across Australia, and that a broad range of fields are </w:t>
      </w:r>
      <w:r w:rsidR="00225743" w:rsidRPr="00F07605">
        <w:rPr>
          <w:szCs w:val="22"/>
        </w:rPr>
        <w:t>viable</w:t>
      </w:r>
      <w:r w:rsidRPr="00F07605">
        <w:rPr>
          <w:szCs w:val="22"/>
        </w:rPr>
        <w:t xml:space="preserve"> nationally.</w:t>
      </w:r>
    </w:p>
    <w:p w14:paraId="2F8D8C43" w14:textId="1E2E4202" w:rsidR="00CD6B29" w:rsidRDefault="00CD6B29">
      <w:pPr>
        <w:pStyle w:val="ListBullet"/>
        <w:numPr>
          <w:ilvl w:val="0"/>
          <w:numId w:val="65"/>
        </w:numPr>
        <w:rPr>
          <w:szCs w:val="22"/>
        </w:rPr>
      </w:pPr>
      <w:r w:rsidRPr="00F07605">
        <w:rPr>
          <w:i/>
          <w:iCs/>
          <w:szCs w:val="22"/>
        </w:rPr>
        <w:t xml:space="preserve">Universities </w:t>
      </w:r>
      <w:r w:rsidR="001A6D7C" w:rsidRPr="00F07605">
        <w:rPr>
          <w:i/>
          <w:szCs w:val="22"/>
        </w:rPr>
        <w:t>are financially</w:t>
      </w:r>
      <w:r w:rsidR="001A6D7C" w:rsidRPr="00F07605">
        <w:rPr>
          <w:i/>
          <w:iCs/>
          <w:szCs w:val="22"/>
        </w:rPr>
        <w:t xml:space="preserve"> </w:t>
      </w:r>
      <w:r w:rsidRPr="00F07605">
        <w:rPr>
          <w:i/>
          <w:iCs/>
          <w:szCs w:val="22"/>
        </w:rPr>
        <w:t>sustainable.</w:t>
      </w:r>
      <w:r w:rsidRPr="00F07605">
        <w:rPr>
          <w:szCs w:val="22"/>
        </w:rPr>
        <w:t xml:space="preserve"> Pricing advice should reflect the contemporary costs of provision across</w:t>
      </w:r>
      <w:r w:rsidR="009A424F" w:rsidRPr="00F07605">
        <w:rPr>
          <w:szCs w:val="22"/>
        </w:rPr>
        <w:t xml:space="preserve"> </w:t>
      </w:r>
      <w:r w:rsidRPr="00F07605">
        <w:rPr>
          <w:szCs w:val="22"/>
        </w:rPr>
        <w:t>universities and</w:t>
      </w:r>
      <w:r w:rsidR="008743B4" w:rsidRPr="00F07605">
        <w:rPr>
          <w:szCs w:val="22"/>
        </w:rPr>
        <w:t xml:space="preserve"> identify implications for the sustainability of different provider types </w:t>
      </w:r>
      <w:r w:rsidR="007E6A2C" w:rsidRPr="00F07605">
        <w:rPr>
          <w:szCs w:val="22"/>
        </w:rPr>
        <w:t xml:space="preserve">(provided </w:t>
      </w:r>
      <w:r w:rsidR="001D55D2" w:rsidRPr="00F07605">
        <w:rPr>
          <w:szCs w:val="22"/>
        </w:rPr>
        <w:t xml:space="preserve">they are </w:t>
      </w:r>
      <w:r w:rsidR="007E6A2C" w:rsidRPr="00F07605">
        <w:rPr>
          <w:szCs w:val="22"/>
        </w:rPr>
        <w:t>operating efficiently)</w:t>
      </w:r>
      <w:r w:rsidRPr="00F07605">
        <w:rPr>
          <w:szCs w:val="22"/>
        </w:rPr>
        <w:t>.</w:t>
      </w:r>
    </w:p>
    <w:tbl>
      <w:tblPr>
        <w:tblStyle w:val="GridTable4-Accent1"/>
        <w:tblW w:w="9634" w:type="dxa"/>
        <w:shd w:val="clear" w:color="auto" w:fill="278F85" w:themeFill="accent1" w:themeFillTint="BF"/>
        <w:tblLook w:val="04A0" w:firstRow="1" w:lastRow="0" w:firstColumn="1" w:lastColumn="0" w:noHBand="0" w:noVBand="1"/>
      </w:tblPr>
      <w:tblGrid>
        <w:gridCol w:w="9634"/>
      </w:tblGrid>
      <w:tr w:rsidR="000D2626" w:rsidRPr="00F07605" w14:paraId="654AF62A" w14:textId="77777777" w:rsidTr="006A19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195B54" w:themeFill="accent1" w:themeFillTint="E6"/>
            <w:tcMar>
              <w:top w:w="120" w:type="dxa"/>
              <w:left w:w="120" w:type="dxa"/>
              <w:bottom w:w="120" w:type="dxa"/>
              <w:right w:w="120" w:type="dxa"/>
            </w:tcMar>
            <w:hideMark/>
          </w:tcPr>
          <w:p w14:paraId="6D56B8F0" w14:textId="17E8A0D8" w:rsidR="000D2626" w:rsidRPr="000D2626" w:rsidRDefault="000D2626" w:rsidP="000D2626">
            <w:pPr>
              <w:pStyle w:val="ListBullet"/>
              <w:rPr>
                <w:rFonts w:eastAsiaTheme="minorEastAsia"/>
                <w:i/>
                <w:iCs/>
              </w:rPr>
            </w:pPr>
            <w:r>
              <w:rPr>
                <w:rFonts w:eastAsiaTheme="minorEastAsia"/>
                <w:i/>
                <w:iCs/>
              </w:rPr>
              <w:t>Consultation Question</w:t>
            </w:r>
          </w:p>
          <w:p w14:paraId="01F9C017" w14:textId="510A0E3E" w:rsidR="000D2626" w:rsidRPr="00D753EE" w:rsidRDefault="00D753EE" w:rsidP="00D753EE">
            <w:pPr>
              <w:pStyle w:val="ListBullet"/>
              <w:numPr>
                <w:ilvl w:val="0"/>
                <w:numId w:val="74"/>
              </w:numPr>
              <w:rPr>
                <w:rFonts w:eastAsiaTheme="minorEastAsia"/>
                <w:i/>
                <w:iCs/>
              </w:rPr>
            </w:pPr>
            <w:r w:rsidRPr="00D753EE">
              <w:rPr>
                <w:rFonts w:eastAsiaTheme="minorEastAsia"/>
                <w:i/>
                <w:iCs/>
              </w:rPr>
              <w:t>Is the proposed Pricing Objective suitable for the ATEC to conduct its pricing work?</w:t>
            </w:r>
          </w:p>
        </w:tc>
      </w:tr>
    </w:tbl>
    <w:p w14:paraId="08930C1A" w14:textId="7E037442" w:rsidR="00775367" w:rsidRPr="00F07605" w:rsidRDefault="00B938CA" w:rsidP="007E39DA">
      <w:pPr>
        <w:pStyle w:val="Heading1"/>
        <w:rPr>
          <w:kern w:val="36"/>
          <w:szCs w:val="48"/>
          <w14:ligatures w14:val="standardContextual"/>
        </w:rPr>
      </w:pPr>
      <w:bookmarkStart w:id="15" w:name="_Toc237875664"/>
      <w:bookmarkStart w:id="16" w:name="_Toc244072879"/>
      <w:bookmarkStart w:id="17" w:name="_Toc239680543"/>
      <w:bookmarkEnd w:id="15"/>
      <w:r>
        <w:t xml:space="preserve">Costing and </w:t>
      </w:r>
      <w:r w:rsidR="00775367" w:rsidRPr="00F07605">
        <w:t>Pricing principles</w:t>
      </w:r>
      <w:bookmarkEnd w:id="16"/>
    </w:p>
    <w:bookmarkEnd w:id="17"/>
    <w:p w14:paraId="7BFDE5EC" w14:textId="38C774B2" w:rsidR="00824ECB" w:rsidRPr="00F07605" w:rsidRDefault="5EB35518">
      <w:pPr>
        <w:rPr>
          <w:rFonts w:ascii="Arial" w:hAnsi="Arial"/>
          <w:szCs w:val="22"/>
        </w:rPr>
      </w:pPr>
      <w:r w:rsidRPr="00F07605">
        <w:rPr>
          <w:rFonts w:ascii="Arial" w:hAnsi="Arial"/>
          <w:szCs w:val="22"/>
        </w:rPr>
        <w:t xml:space="preserve">The pricing objective </w:t>
      </w:r>
      <w:r w:rsidR="00EA76AA" w:rsidRPr="00F07605">
        <w:rPr>
          <w:rFonts w:ascii="Arial" w:hAnsi="Arial"/>
          <w:szCs w:val="22"/>
        </w:rPr>
        <w:t>describes</w:t>
      </w:r>
      <w:r w:rsidRPr="00F07605">
        <w:rPr>
          <w:rFonts w:ascii="Arial" w:hAnsi="Arial"/>
          <w:szCs w:val="22"/>
        </w:rPr>
        <w:t xml:space="preserve"> the outcomes that higher education pricing advice should seek to achieve. The principles below </w:t>
      </w:r>
      <w:r w:rsidR="007C125E">
        <w:rPr>
          <w:rFonts w:ascii="Arial" w:hAnsi="Arial"/>
          <w:szCs w:val="22"/>
        </w:rPr>
        <w:t xml:space="preserve">guide the </w:t>
      </w:r>
      <w:r w:rsidRPr="00F07605">
        <w:rPr>
          <w:rFonts w:ascii="Arial" w:hAnsi="Arial"/>
          <w:szCs w:val="22"/>
        </w:rPr>
        <w:t>develop</w:t>
      </w:r>
      <w:r w:rsidR="007C125E">
        <w:rPr>
          <w:rFonts w:ascii="Arial" w:hAnsi="Arial"/>
          <w:szCs w:val="22"/>
        </w:rPr>
        <w:t xml:space="preserve">ment of </w:t>
      </w:r>
      <w:r w:rsidRPr="00F07605">
        <w:rPr>
          <w:rFonts w:ascii="Arial" w:hAnsi="Arial"/>
          <w:szCs w:val="22"/>
        </w:rPr>
        <w:t xml:space="preserve">that advice and </w:t>
      </w:r>
      <w:r w:rsidR="007C125E">
        <w:rPr>
          <w:rFonts w:ascii="Arial" w:hAnsi="Arial"/>
          <w:szCs w:val="22"/>
        </w:rPr>
        <w:t>provide a basis for cons</w:t>
      </w:r>
      <w:r w:rsidR="00277904">
        <w:rPr>
          <w:rFonts w:ascii="Arial" w:hAnsi="Arial"/>
          <w:szCs w:val="22"/>
        </w:rPr>
        <w:t xml:space="preserve">idering </w:t>
      </w:r>
      <w:r w:rsidRPr="00F07605">
        <w:rPr>
          <w:rFonts w:ascii="Arial" w:hAnsi="Arial"/>
          <w:szCs w:val="22"/>
        </w:rPr>
        <w:t xml:space="preserve">trade-offs </w:t>
      </w:r>
      <w:r w:rsidR="00DB52F6">
        <w:rPr>
          <w:rFonts w:ascii="Arial" w:hAnsi="Arial"/>
          <w:szCs w:val="22"/>
        </w:rPr>
        <w:t>for the ATEC</w:t>
      </w:r>
      <w:r w:rsidR="00FB3219">
        <w:rPr>
          <w:rFonts w:ascii="Arial" w:hAnsi="Arial"/>
          <w:szCs w:val="22"/>
        </w:rPr>
        <w:t xml:space="preserve"> in </w:t>
      </w:r>
      <w:r w:rsidR="00C93B76">
        <w:rPr>
          <w:rFonts w:ascii="Arial" w:hAnsi="Arial"/>
          <w:szCs w:val="22"/>
        </w:rPr>
        <w:t>developing</w:t>
      </w:r>
      <w:r w:rsidR="00FB3219">
        <w:rPr>
          <w:rFonts w:ascii="Arial" w:hAnsi="Arial"/>
          <w:szCs w:val="22"/>
        </w:rPr>
        <w:t xml:space="preserve"> its advice</w:t>
      </w:r>
      <w:r w:rsidRPr="00F07605">
        <w:rPr>
          <w:rFonts w:ascii="Arial" w:hAnsi="Arial"/>
          <w:szCs w:val="22"/>
        </w:rPr>
        <w:t>.</w:t>
      </w:r>
      <w:r w:rsidR="008D17A7" w:rsidRPr="008D17A7">
        <w:rPr>
          <w:rFonts w:ascii="Arial" w:hAnsi="Arial"/>
        </w:rPr>
        <w:t xml:space="preserve"> </w:t>
      </w:r>
      <w:r w:rsidR="008D17A7">
        <w:rPr>
          <w:rFonts w:ascii="Arial" w:hAnsi="Arial"/>
        </w:rPr>
        <w:t>These principles have been endorsed by the Working Group on Higher Education Costing and Pricing.</w:t>
      </w:r>
    </w:p>
    <w:p w14:paraId="18BA4E87" w14:textId="5DA9DE3C" w:rsidR="00824ECB" w:rsidRPr="00F07605" w:rsidRDefault="00824ECB" w:rsidP="00824ECB">
      <w:r w:rsidRPr="00F07605">
        <w:t xml:space="preserve">The ATEC’s pricing approach is guided by six principles: </w:t>
      </w:r>
    </w:p>
    <w:p w14:paraId="1648E888" w14:textId="3830DF82" w:rsidR="00347D85" w:rsidRPr="00F07605" w:rsidRDefault="00824ECB" w:rsidP="008D17A7">
      <w:pPr>
        <w:pStyle w:val="ListNumber"/>
        <w:numPr>
          <w:ilvl w:val="0"/>
          <w:numId w:val="72"/>
        </w:numPr>
      </w:pPr>
      <w:r w:rsidRPr="00F07605">
        <w:rPr>
          <w:b/>
          <w:bCs/>
        </w:rPr>
        <w:t>Outcome</w:t>
      </w:r>
      <w:r w:rsidR="7A2C067E" w:rsidRPr="6F633830">
        <w:rPr>
          <w:b/>
          <w:bCs/>
        </w:rPr>
        <w:t>-</w:t>
      </w:r>
      <w:r w:rsidRPr="00F07605">
        <w:rPr>
          <w:b/>
          <w:bCs/>
        </w:rPr>
        <w:t>focused:</w:t>
      </w:r>
      <w:r w:rsidRPr="00F07605">
        <w:t xml:space="preserve"> Any </w:t>
      </w:r>
      <w:r w:rsidR="003C5DDF">
        <w:t xml:space="preserve">costing and </w:t>
      </w:r>
      <w:r w:rsidRPr="00F07605">
        <w:t xml:space="preserve">pricing advice should be in the context of clear </w:t>
      </w:r>
      <w:r w:rsidR="00A368BB" w:rsidRPr="00F07605">
        <w:t>Government</w:t>
      </w:r>
      <w:r w:rsidRPr="00F07605">
        <w:t xml:space="preserve"> objectives for higher education – recognising the unique role of universities and the funding mechanisms in supporting these aims. Achievement of a world-class higher education system </w:t>
      </w:r>
      <w:r w:rsidR="00D16F82">
        <w:t>requires</w:t>
      </w:r>
      <w:r w:rsidRPr="00F07605">
        <w:t xml:space="preserve"> a diverse range of institutions, with their own unique missions, specialisations and offerings.</w:t>
      </w:r>
    </w:p>
    <w:p w14:paraId="7F585F91" w14:textId="37D107B8" w:rsidR="00347D85" w:rsidRPr="00F07605" w:rsidRDefault="00824ECB" w:rsidP="008D17A7">
      <w:pPr>
        <w:pStyle w:val="ListNumber"/>
        <w:numPr>
          <w:ilvl w:val="0"/>
          <w:numId w:val="72"/>
        </w:numPr>
        <w:rPr>
          <w:szCs w:val="22"/>
        </w:rPr>
      </w:pPr>
      <w:r w:rsidRPr="00F07605">
        <w:rPr>
          <w:b/>
          <w:bCs/>
          <w:szCs w:val="22"/>
        </w:rPr>
        <w:t>Transparent:</w:t>
      </w:r>
      <w:r w:rsidRPr="00F07605">
        <w:rPr>
          <w:szCs w:val="22"/>
        </w:rPr>
        <w:t xml:space="preserve"> The new approach should be clear in intent and transparent in method.</w:t>
      </w:r>
      <w:r w:rsidR="00347D85" w:rsidRPr="00F07605">
        <w:rPr>
          <w:szCs w:val="22"/>
        </w:rPr>
        <w:t xml:space="preserve"> </w:t>
      </w:r>
    </w:p>
    <w:p w14:paraId="5A6B04A0" w14:textId="45E2CAE5" w:rsidR="00347D85" w:rsidRPr="00F07605" w:rsidRDefault="155DCEDD">
      <w:pPr>
        <w:pStyle w:val="ListNumber"/>
        <w:numPr>
          <w:ilvl w:val="0"/>
          <w:numId w:val="72"/>
        </w:numPr>
        <w:rPr>
          <w:szCs w:val="22"/>
        </w:rPr>
      </w:pPr>
      <w:r w:rsidRPr="1FA4C35C">
        <w:rPr>
          <w:b/>
          <w:bCs/>
        </w:rPr>
        <w:t>Comprehensive:</w:t>
      </w:r>
      <w:r>
        <w:t xml:space="preserve"> The new approach should aim to estimate the total costs of university functions</w:t>
      </w:r>
      <w:r w:rsidR="68D79811" w:rsidRPr="006E7BB5">
        <w:t>.</w:t>
      </w:r>
      <w:r>
        <w:t xml:space="preserve"> </w:t>
      </w:r>
      <w:r w:rsidR="12E102FD" w:rsidRPr="006E7BB5">
        <w:t>The</w:t>
      </w:r>
      <w:r w:rsidR="12E102FD">
        <w:t xml:space="preserve"> </w:t>
      </w:r>
      <w:r w:rsidR="0027331F">
        <w:t>dataset (</w:t>
      </w:r>
      <w:r w:rsidR="12E102FD">
        <w:t>AUCD</w:t>
      </w:r>
      <w:r w:rsidR="0027331F">
        <w:t>)</w:t>
      </w:r>
      <w:r>
        <w:t xml:space="preserve"> should include costs such as teaching and </w:t>
      </w:r>
      <w:r w:rsidR="006D0EA6">
        <w:t>learning, intermediate</w:t>
      </w:r>
      <w:r>
        <w:t xml:space="preserve"> services</w:t>
      </w:r>
      <w:r w:rsidR="1F5F8068">
        <w:t xml:space="preserve"> that support teaching and scholarship including general operating costs, support services,</w:t>
      </w:r>
      <w:r w:rsidR="502EF01A">
        <w:t xml:space="preserve"> buildings</w:t>
      </w:r>
      <w:r w:rsidR="00B42BD2">
        <w:t>,</w:t>
      </w:r>
      <w:r w:rsidR="502EF01A">
        <w:t xml:space="preserve"> facilities</w:t>
      </w:r>
      <w:r w:rsidR="1F5F8068">
        <w:t xml:space="preserve"> and engagement with community</w:t>
      </w:r>
      <w:r w:rsidR="006E6D64">
        <w:t xml:space="preserve"> </w:t>
      </w:r>
      <w:r w:rsidR="4027EC5F">
        <w:t xml:space="preserve">or </w:t>
      </w:r>
      <w:r w:rsidR="1F5F8068">
        <w:t>industry</w:t>
      </w:r>
      <w:r w:rsidR="00D41AF1">
        <w:t xml:space="preserve"> </w:t>
      </w:r>
      <w:r w:rsidR="00D41AF1" w:rsidRPr="00E472E9">
        <w:t xml:space="preserve">and meeting </w:t>
      </w:r>
      <w:r w:rsidR="00D41AF1">
        <w:t xml:space="preserve">quality </w:t>
      </w:r>
      <w:r w:rsidR="00D41AF1" w:rsidRPr="00E472E9">
        <w:t>standards and compliance costs</w:t>
      </w:r>
      <w:r>
        <w:t xml:space="preserve">. </w:t>
      </w:r>
      <w:r w:rsidR="35C4FA3D">
        <w:t>Understanding university c</w:t>
      </w:r>
      <w:r>
        <w:t>ost</w:t>
      </w:r>
      <w:r w:rsidR="35C4FA3D">
        <w:t>s</w:t>
      </w:r>
      <w:r>
        <w:t xml:space="preserve"> needs to explicitly consider all elements required to achieve the intended outcomes of a world-class higher education system.</w:t>
      </w:r>
      <w:r w:rsidR="493F2697">
        <w:t xml:space="preserve"> </w:t>
      </w:r>
    </w:p>
    <w:p w14:paraId="68764394" w14:textId="4B1219D1" w:rsidR="00347D85" w:rsidRPr="00F07605" w:rsidRDefault="00824ECB" w:rsidP="008D17A7">
      <w:pPr>
        <w:pStyle w:val="ListNumber"/>
        <w:numPr>
          <w:ilvl w:val="0"/>
          <w:numId w:val="72"/>
        </w:numPr>
        <w:rPr>
          <w:szCs w:val="22"/>
        </w:rPr>
      </w:pPr>
      <w:r w:rsidRPr="00F07605">
        <w:rPr>
          <w:b/>
          <w:bCs/>
          <w:szCs w:val="22"/>
        </w:rPr>
        <w:t>Evidence-based:</w:t>
      </w:r>
      <w:r w:rsidRPr="00F07605">
        <w:rPr>
          <w:szCs w:val="22"/>
        </w:rPr>
        <w:t xml:space="preserve"> Recognising the heterogeneity of the higher education sector, the new approach should reflect (</w:t>
      </w:r>
      <w:r w:rsidR="000A6895" w:rsidRPr="00F07605">
        <w:rPr>
          <w:szCs w:val="22"/>
        </w:rPr>
        <w:t>reasonable</w:t>
      </w:r>
      <w:r w:rsidRPr="00F07605">
        <w:rPr>
          <w:szCs w:val="22"/>
        </w:rPr>
        <w:t xml:space="preserve">) existing internal resource allocation relativities as applied by universities including costs of space and equipment. The </w:t>
      </w:r>
      <w:r w:rsidR="00FD012A">
        <w:rPr>
          <w:szCs w:val="22"/>
        </w:rPr>
        <w:t xml:space="preserve">total </w:t>
      </w:r>
      <w:r w:rsidR="00761FF8">
        <w:rPr>
          <w:szCs w:val="22"/>
        </w:rPr>
        <w:t>price</w:t>
      </w:r>
      <w:r w:rsidRPr="00F07605">
        <w:rPr>
          <w:szCs w:val="22"/>
        </w:rPr>
        <w:t xml:space="preserve"> (i.e. excluding one-off grants for a particular purpose/project) should be based on empirical evidence.</w:t>
      </w:r>
    </w:p>
    <w:p w14:paraId="2F98AA60" w14:textId="05583162" w:rsidR="00347D85" w:rsidRPr="00F07605" w:rsidRDefault="00824ECB" w:rsidP="008D17A7">
      <w:pPr>
        <w:pStyle w:val="ListNumber"/>
        <w:numPr>
          <w:ilvl w:val="0"/>
          <w:numId w:val="72"/>
        </w:numPr>
        <w:rPr>
          <w:szCs w:val="22"/>
        </w:rPr>
      </w:pPr>
      <w:r w:rsidRPr="00F07605">
        <w:rPr>
          <w:b/>
          <w:bCs/>
          <w:szCs w:val="22"/>
        </w:rPr>
        <w:t>Stable:</w:t>
      </w:r>
      <w:r w:rsidRPr="00F07605">
        <w:rPr>
          <w:szCs w:val="22"/>
        </w:rPr>
        <w:t xml:space="preserve"> The price relativities should aim to be consistent and predictable over time. Prices may be updated at agreed intervals to take account of new information or approaches to teaching, including new technologies.</w:t>
      </w:r>
    </w:p>
    <w:p w14:paraId="69FF1131" w14:textId="10753F58" w:rsidR="00BB7B21" w:rsidRPr="00F07605" w:rsidRDefault="00824ECB" w:rsidP="008D17A7">
      <w:pPr>
        <w:pStyle w:val="ListNumber"/>
        <w:numPr>
          <w:ilvl w:val="0"/>
          <w:numId w:val="72"/>
        </w:numPr>
        <w:rPr>
          <w:szCs w:val="22"/>
        </w:rPr>
      </w:pPr>
      <w:r w:rsidRPr="00F07605">
        <w:rPr>
          <w:b/>
          <w:bCs/>
          <w:szCs w:val="22"/>
        </w:rPr>
        <w:lastRenderedPageBreak/>
        <w:t>Administrative ease:</w:t>
      </w:r>
      <w:r w:rsidRPr="00F07605">
        <w:rPr>
          <w:szCs w:val="22"/>
        </w:rPr>
        <w:t xml:space="preserve"> Funding arrangements</w:t>
      </w:r>
      <w:r w:rsidR="001004CA">
        <w:rPr>
          <w:szCs w:val="22"/>
        </w:rPr>
        <w:t xml:space="preserve"> and </w:t>
      </w:r>
      <w:r w:rsidR="00380227">
        <w:rPr>
          <w:szCs w:val="22"/>
        </w:rPr>
        <w:t>required</w:t>
      </w:r>
      <w:r w:rsidR="001004CA">
        <w:rPr>
          <w:szCs w:val="22"/>
        </w:rPr>
        <w:t xml:space="preserve"> data collection</w:t>
      </w:r>
      <w:r w:rsidRPr="00F07605">
        <w:rPr>
          <w:szCs w:val="22"/>
        </w:rPr>
        <w:t xml:space="preserve"> should not unduly increase the administrative burden on universities. Some complexity and administrative burden are unavoidable, but this should be minimised.</w:t>
      </w:r>
    </w:p>
    <w:p w14:paraId="7148A2EE" w14:textId="255A2EED" w:rsidR="00461D0D" w:rsidRDefault="00EB3E63" w:rsidP="00774153">
      <w:pPr>
        <w:pStyle w:val="ListNumber"/>
        <w:tabs>
          <w:tab w:val="clear" w:pos="360"/>
        </w:tabs>
        <w:ind w:left="0" w:firstLine="0"/>
      </w:pPr>
      <w:r>
        <w:t xml:space="preserve">Application of these principles </w:t>
      </w:r>
      <w:r w:rsidR="00047798">
        <w:t xml:space="preserve">may </w:t>
      </w:r>
      <w:r w:rsidR="00774153" w:rsidRPr="00F07605">
        <w:t xml:space="preserve">require trade-offs. </w:t>
      </w:r>
      <w:r w:rsidR="00601491">
        <w:t>The Framework seeks to achieve an appropriate balance between these competing considerations.</w:t>
      </w:r>
    </w:p>
    <w:tbl>
      <w:tblPr>
        <w:tblStyle w:val="GridTable4-Accent1"/>
        <w:tblW w:w="9634" w:type="dxa"/>
        <w:shd w:val="clear" w:color="auto" w:fill="278F85" w:themeFill="accent1" w:themeFillTint="BF"/>
        <w:tblLook w:val="04A0" w:firstRow="1" w:lastRow="0" w:firstColumn="1" w:lastColumn="0" w:noHBand="0" w:noVBand="1"/>
      </w:tblPr>
      <w:tblGrid>
        <w:gridCol w:w="9634"/>
      </w:tblGrid>
      <w:tr w:rsidR="000D2626" w:rsidRPr="00F07605" w14:paraId="459FFE4C" w14:textId="77777777" w:rsidTr="006A19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195B54" w:themeFill="accent1" w:themeFillTint="E6"/>
            <w:tcMar>
              <w:top w:w="120" w:type="dxa"/>
              <w:left w:w="120" w:type="dxa"/>
              <w:bottom w:w="120" w:type="dxa"/>
              <w:right w:w="120" w:type="dxa"/>
            </w:tcMar>
            <w:hideMark/>
          </w:tcPr>
          <w:p w14:paraId="0F211C00" w14:textId="77777777" w:rsidR="000D2626" w:rsidRPr="000D2626" w:rsidRDefault="000D2626">
            <w:pPr>
              <w:pStyle w:val="ListBullet"/>
              <w:rPr>
                <w:rFonts w:eastAsiaTheme="minorEastAsia"/>
                <w:i/>
                <w:iCs/>
              </w:rPr>
            </w:pPr>
            <w:r>
              <w:rPr>
                <w:rFonts w:eastAsiaTheme="minorEastAsia"/>
                <w:i/>
                <w:iCs/>
              </w:rPr>
              <w:t>Consultation Question</w:t>
            </w:r>
          </w:p>
          <w:p w14:paraId="4FC14C7C" w14:textId="5D1A045F" w:rsidR="000D2626" w:rsidRPr="00D753EE" w:rsidRDefault="00D753EE" w:rsidP="00D753EE">
            <w:pPr>
              <w:pStyle w:val="ListBullet"/>
              <w:numPr>
                <w:ilvl w:val="0"/>
                <w:numId w:val="74"/>
              </w:numPr>
              <w:rPr>
                <w:rFonts w:eastAsiaTheme="minorEastAsia"/>
                <w:i/>
                <w:iCs/>
              </w:rPr>
            </w:pPr>
            <w:r w:rsidRPr="00D753EE">
              <w:rPr>
                <w:rFonts w:eastAsiaTheme="minorEastAsia"/>
                <w:i/>
                <w:iCs/>
              </w:rPr>
              <w:t>Are the proposed Costing and Pricing Principles appropriate for the ATEC to base its pricing advice on?</w:t>
            </w:r>
          </w:p>
        </w:tc>
      </w:tr>
    </w:tbl>
    <w:p w14:paraId="5DB7E77F" w14:textId="37FE8A6D" w:rsidR="00775367" w:rsidRPr="00F07605" w:rsidRDefault="00775367" w:rsidP="00531F39">
      <w:pPr>
        <w:pStyle w:val="Heading1"/>
        <w:rPr>
          <w:kern w:val="36"/>
          <w:szCs w:val="48"/>
          <w14:ligatures w14:val="standardContextual"/>
        </w:rPr>
      </w:pPr>
      <w:bookmarkStart w:id="18" w:name="_Toc241671202"/>
      <w:bookmarkStart w:id="19" w:name="_Toc244072880"/>
      <w:bookmarkStart w:id="20" w:name="_Toc239680549"/>
      <w:bookmarkEnd w:id="18"/>
      <w:r w:rsidRPr="00F07605">
        <w:t xml:space="preserve">Costing and </w:t>
      </w:r>
      <w:r w:rsidR="000A709E">
        <w:t>P</w:t>
      </w:r>
      <w:r w:rsidRPr="00F07605">
        <w:t>ricing interaction</w:t>
      </w:r>
      <w:bookmarkEnd w:id="19"/>
    </w:p>
    <w:p w14:paraId="63E7980C" w14:textId="14B3B85B" w:rsidR="00B451DF" w:rsidRPr="00E47498" w:rsidRDefault="00B451DF">
      <w:pPr>
        <w:pStyle w:val="Heading2"/>
      </w:pPr>
      <w:bookmarkStart w:id="21" w:name="_Toc239680550"/>
      <w:bookmarkEnd w:id="20"/>
      <w:r>
        <w:t>Definitions</w:t>
      </w:r>
      <w:r w:rsidR="00830125">
        <w:br/>
      </w:r>
      <w:r w:rsidR="00E47498" w:rsidRPr="006A19E3">
        <w:rPr>
          <w:rFonts w:asciiTheme="minorHAnsi" w:eastAsia="Times New Roman" w:hAnsiTheme="minorHAnsi" w:cs="Times New Roman"/>
          <w:b w:val="0"/>
          <w:color w:val="000000" w:themeColor="text1"/>
          <w:sz w:val="22"/>
          <w:szCs w:val="20"/>
        </w:rPr>
        <w:t>The following terms are defined for the purposes of the ATEC's Costing and Pricing Framework and its development of costing and pricing advice to Government.</w:t>
      </w:r>
    </w:p>
    <w:p w14:paraId="642CA06B" w14:textId="41D12298" w:rsidR="00C62076" w:rsidRPr="00F07605" w:rsidRDefault="00F70ECB" w:rsidP="008473F1">
      <w:pPr>
        <w:pStyle w:val="Heading3"/>
      </w:pPr>
      <w:r>
        <w:t xml:space="preserve">Total </w:t>
      </w:r>
      <w:r w:rsidR="00B451DF">
        <w:t>P</w:t>
      </w:r>
      <w:r w:rsidR="000D5FAE" w:rsidRPr="00F07605">
        <w:t>rice</w:t>
      </w:r>
      <w:bookmarkEnd w:id="21"/>
    </w:p>
    <w:p w14:paraId="7F876B10" w14:textId="683C8A99" w:rsidR="007644AC" w:rsidRDefault="00C87727" w:rsidP="00592E3C">
      <w:r>
        <w:t>T</w:t>
      </w:r>
      <w:r w:rsidR="00B451DF">
        <w:t xml:space="preserve">he </w:t>
      </w:r>
      <w:r w:rsidR="00F70ECB">
        <w:t xml:space="preserve">total </w:t>
      </w:r>
      <w:r w:rsidR="00B451DF">
        <w:t>price</w:t>
      </w:r>
      <w:r w:rsidR="000D5FAE" w:rsidRPr="00F07605">
        <w:t xml:space="preserve"> is </w:t>
      </w:r>
      <w:r w:rsidR="00B451DF">
        <w:t xml:space="preserve">the total </w:t>
      </w:r>
      <w:r w:rsidR="004D304D">
        <w:t xml:space="preserve">funding associated with a </w:t>
      </w:r>
      <w:r w:rsidR="00B5117C">
        <w:t>CSP</w:t>
      </w:r>
      <w:r w:rsidR="004D304D">
        <w:t xml:space="preserve">, </w:t>
      </w:r>
      <w:r w:rsidR="000D5FAE" w:rsidRPr="00F07605">
        <w:t xml:space="preserve">comprising the </w:t>
      </w:r>
      <w:r w:rsidR="0046795C">
        <w:t xml:space="preserve">Commonwealth contribution and the </w:t>
      </w:r>
      <w:r w:rsidR="000D5FAE" w:rsidRPr="00F07605">
        <w:t>student contribution</w:t>
      </w:r>
      <w:r w:rsidR="0046795C">
        <w:t xml:space="preserve">, expressed on an </w:t>
      </w:r>
      <w:r w:rsidR="0046795C" w:rsidRPr="00F07605">
        <w:t>EFTSL</w:t>
      </w:r>
      <w:r w:rsidR="0046795C">
        <w:t xml:space="preserve"> basis.</w:t>
      </w:r>
      <w:r w:rsidR="000D5FAE" w:rsidRPr="00F07605">
        <w:t xml:space="preserve"> </w:t>
      </w:r>
      <w:r w:rsidR="00BB5935">
        <w:t xml:space="preserve">This is </w:t>
      </w:r>
      <w:r w:rsidR="00266261">
        <w:t>commonly</w:t>
      </w:r>
      <w:r w:rsidR="00BB5935">
        <w:t xml:space="preserve"> referred to as base funding amount</w:t>
      </w:r>
      <w:r w:rsidR="003972BC">
        <w:t>.</w:t>
      </w:r>
      <w:r w:rsidR="007644AC">
        <w:t xml:space="preserve"> </w:t>
      </w:r>
    </w:p>
    <w:p w14:paraId="6D7F6586" w14:textId="453AAEF8" w:rsidR="000D5FAE" w:rsidRPr="00F07605" w:rsidRDefault="007644AC" w:rsidP="00592E3C">
      <w:r>
        <w:t xml:space="preserve">Note, the </w:t>
      </w:r>
      <w:r w:rsidR="00A2400D">
        <w:t xml:space="preserve">current </w:t>
      </w:r>
      <w:r>
        <w:t xml:space="preserve">Commonwealth contribution and student contribution amounts are set under the HESA </w:t>
      </w:r>
      <w:r w:rsidR="0002053F">
        <w:t>2003</w:t>
      </w:r>
      <w:r w:rsidR="00027E83">
        <w:t xml:space="preserve"> (Part 2-2 and Part 3-2)</w:t>
      </w:r>
      <w:r>
        <w:t>.</w:t>
      </w:r>
    </w:p>
    <w:p w14:paraId="33FE5B2C" w14:textId="6A928020" w:rsidR="00F868BB" w:rsidRPr="00F07605" w:rsidRDefault="00B451DF" w:rsidP="008473F1">
      <w:pPr>
        <w:pStyle w:val="Heading3"/>
      </w:pPr>
      <w:bookmarkStart w:id="22" w:name="_Toc239680551"/>
      <w:r>
        <w:t>C</w:t>
      </w:r>
      <w:r w:rsidR="00F868BB" w:rsidRPr="00F07605">
        <w:t>ost</w:t>
      </w:r>
      <w:bookmarkEnd w:id="22"/>
      <w:r w:rsidR="00F868BB" w:rsidRPr="00F07605">
        <w:t xml:space="preserve"> </w:t>
      </w:r>
    </w:p>
    <w:p w14:paraId="540E220F" w14:textId="28C0217A" w:rsidR="000D5FAE" w:rsidRPr="00F07605" w:rsidRDefault="6EB6EBE9" w:rsidP="00592E3C">
      <w:r w:rsidRPr="00F07605">
        <w:t xml:space="preserve">The cost refers to </w:t>
      </w:r>
      <w:r w:rsidR="10AC0030" w:rsidRPr="00F07605">
        <w:t xml:space="preserve">the observed </w:t>
      </w:r>
      <w:r w:rsidR="5D2FF323" w:rsidRPr="00F07605">
        <w:t xml:space="preserve">or estimated </w:t>
      </w:r>
      <w:r w:rsidR="00C87727">
        <w:t xml:space="preserve">expenditure </w:t>
      </w:r>
      <w:r w:rsidR="00973F5E" w:rsidRPr="00F07605">
        <w:t>incur</w:t>
      </w:r>
      <w:r w:rsidR="00C87727">
        <w:t>red</w:t>
      </w:r>
      <w:r w:rsidR="00B24E07" w:rsidRPr="00F07605">
        <w:t xml:space="preserve"> </w:t>
      </w:r>
      <w:r w:rsidR="00523DBE">
        <w:t xml:space="preserve">in </w:t>
      </w:r>
      <w:r w:rsidR="00130BF7">
        <w:t>delivering teaching and supporting scholarship</w:t>
      </w:r>
      <w:r w:rsidR="00E0126A">
        <w:t xml:space="preserve"> </w:t>
      </w:r>
      <w:r w:rsidR="00523DBE">
        <w:t xml:space="preserve">for one </w:t>
      </w:r>
      <w:r w:rsidRPr="00F07605">
        <w:t xml:space="preserve">EFTSL. </w:t>
      </w:r>
      <w:r w:rsidR="00E328FB">
        <w:t>Costs will differ among universities. Pricing will be based on the efficient cost, as defined below</w:t>
      </w:r>
      <w:r w:rsidR="00E328FB" w:rsidRPr="00F07605">
        <w:t>.</w:t>
      </w:r>
    </w:p>
    <w:p w14:paraId="51DBC37A" w14:textId="02AE4757" w:rsidR="00204B40" w:rsidRPr="00F07605" w:rsidRDefault="00B451DF" w:rsidP="008473F1">
      <w:pPr>
        <w:pStyle w:val="Heading3"/>
        <w:rPr>
          <w:kern w:val="2"/>
          <w14:ligatures w14:val="standardContextual"/>
        </w:rPr>
      </w:pPr>
      <w:bookmarkStart w:id="23" w:name="_Toc239680552"/>
      <w:r>
        <w:t>E</w:t>
      </w:r>
      <w:r w:rsidR="00204B40">
        <w:t>fficient cost</w:t>
      </w:r>
    </w:p>
    <w:bookmarkEnd w:id="23"/>
    <w:p w14:paraId="24E73AB8" w14:textId="14BFC978" w:rsidR="00E31176" w:rsidRDefault="00C079F0" w:rsidP="00C079F0">
      <w:r w:rsidRPr="00F07605">
        <w:t xml:space="preserve">The ATEC will </w:t>
      </w:r>
      <w:r w:rsidR="00DE276A">
        <w:t xml:space="preserve">develop pricing advice that reflects differences in </w:t>
      </w:r>
      <w:r w:rsidR="00D44726">
        <w:t xml:space="preserve">the cost of </w:t>
      </w:r>
      <w:r w:rsidR="00130BF7">
        <w:t>delivering teaching and supporting scholarship</w:t>
      </w:r>
      <w:r w:rsidR="00D44726">
        <w:t xml:space="preserve"> across </w:t>
      </w:r>
      <w:proofErr w:type="spellStart"/>
      <w:r w:rsidR="00207DFD">
        <w:t>FoEs</w:t>
      </w:r>
      <w:proofErr w:type="spellEnd"/>
      <w:r w:rsidR="006E0A3A">
        <w:t>,</w:t>
      </w:r>
      <w:r w:rsidRPr="00F07605">
        <w:t xml:space="preserve"> other </w:t>
      </w:r>
      <w:r w:rsidR="00D44726">
        <w:t>relevant cost drivers</w:t>
      </w:r>
      <w:r w:rsidR="00E073C2">
        <w:t xml:space="preserve"> and </w:t>
      </w:r>
      <w:r w:rsidR="006E0A3A">
        <w:t>other factors including supporting scholarship</w:t>
      </w:r>
      <w:r w:rsidRPr="00F07605">
        <w:t xml:space="preserve">. </w:t>
      </w:r>
    </w:p>
    <w:p w14:paraId="29BC8198" w14:textId="0C81FFCE" w:rsidR="007B6DAC" w:rsidRDefault="0096258E" w:rsidP="007B6DAC">
      <w:r w:rsidRPr="0096258E">
        <w:t xml:space="preserve">The term </w:t>
      </w:r>
      <w:r>
        <w:t>‘</w:t>
      </w:r>
      <w:r w:rsidRPr="0096258E">
        <w:t>efficient cost</w:t>
      </w:r>
      <w:r>
        <w:t>’</w:t>
      </w:r>
      <w:r w:rsidRPr="0096258E">
        <w:t xml:space="preserve"> is not defined in the A</w:t>
      </w:r>
      <w:r w:rsidR="002046EC">
        <w:t>ct</w:t>
      </w:r>
      <w:r w:rsidRPr="0096258E">
        <w:t>. The approach to</w:t>
      </w:r>
      <w:r>
        <w:t xml:space="preserve"> e</w:t>
      </w:r>
      <w:r w:rsidR="00C079F0" w:rsidRPr="00F07605">
        <w:t xml:space="preserve">fficient cost </w:t>
      </w:r>
      <w:r w:rsidR="007D5D3C">
        <w:t xml:space="preserve">analysis </w:t>
      </w:r>
      <w:r w:rsidR="000E5F51">
        <w:t xml:space="preserve">will consider </w:t>
      </w:r>
      <w:r w:rsidR="003513EB">
        <w:t xml:space="preserve">the </w:t>
      </w:r>
      <w:r w:rsidR="00C079F0" w:rsidRPr="00F07605">
        <w:t>observed costs across providers</w:t>
      </w:r>
      <w:r w:rsidR="000E5F51">
        <w:t xml:space="preserve">, while recognising </w:t>
      </w:r>
      <w:r w:rsidR="002C5224">
        <w:t xml:space="preserve">that not all </w:t>
      </w:r>
      <w:r w:rsidR="000064C9" w:rsidRPr="00F07605">
        <w:t xml:space="preserve">observed practices, expenditure patterns or delivery models represent efficient provision. </w:t>
      </w:r>
    </w:p>
    <w:p w14:paraId="6825F927" w14:textId="524E67EF" w:rsidR="00432C1E" w:rsidRPr="009B5C92" w:rsidRDefault="00E0126A" w:rsidP="008473F1">
      <w:pPr>
        <w:keepNext/>
      </w:pPr>
      <w:r>
        <w:t xml:space="preserve">The </w:t>
      </w:r>
      <w:r w:rsidRPr="009B5C92">
        <w:t xml:space="preserve">Framework adopts the </w:t>
      </w:r>
      <w:r w:rsidR="00432C1E" w:rsidRPr="009B5C92">
        <w:t>following definition:</w:t>
      </w:r>
    </w:p>
    <w:p w14:paraId="578302EA" w14:textId="5DD0055E" w:rsidR="001C6748" w:rsidRPr="009B5C92" w:rsidRDefault="00432C1E" w:rsidP="009B7A9B">
      <w:pPr>
        <w:ind w:left="720"/>
        <w:rPr>
          <w:i/>
          <w:iCs/>
        </w:rPr>
      </w:pPr>
      <w:r w:rsidRPr="009B5C92">
        <w:rPr>
          <w:i/>
          <w:iCs/>
        </w:rPr>
        <w:t xml:space="preserve">The ‘efficient cost’ is </w:t>
      </w:r>
      <w:r w:rsidR="009B5C92" w:rsidRPr="009B5C92">
        <w:rPr>
          <w:i/>
          <w:iCs/>
        </w:rPr>
        <w:t>the cost that reflects contemporary teaching and scholarship practices for a typical student cohort based on achieving a sector-wide standard of quality</w:t>
      </w:r>
      <w:r w:rsidR="009B7A9B">
        <w:rPr>
          <w:i/>
          <w:iCs/>
        </w:rPr>
        <w:t xml:space="preserve"> </w:t>
      </w:r>
      <w:r w:rsidR="009B7A9B" w:rsidRPr="009B7A9B">
        <w:rPr>
          <w:i/>
          <w:iCs/>
        </w:rPr>
        <w:t>without avoidable inefficiency</w:t>
      </w:r>
      <w:r w:rsidR="009B7A9B">
        <w:rPr>
          <w:i/>
          <w:iCs/>
        </w:rPr>
        <w:t>.</w:t>
      </w:r>
    </w:p>
    <w:p w14:paraId="494A617E" w14:textId="4D8DB7E2" w:rsidR="002E2CAE" w:rsidRDefault="004F5CA6" w:rsidP="00B0189F">
      <w:r w:rsidRPr="009B5C92">
        <w:lastRenderedPageBreak/>
        <w:t>The e</w:t>
      </w:r>
      <w:r w:rsidR="000359EB" w:rsidRPr="009B5C92">
        <w:t>fficient cost</w:t>
      </w:r>
      <w:r w:rsidR="00EE246C" w:rsidRPr="009B5C92">
        <w:t xml:space="preserve"> </w:t>
      </w:r>
      <w:r w:rsidR="00FF7E35" w:rsidRPr="009B5C92">
        <w:t xml:space="preserve">will </w:t>
      </w:r>
      <w:r w:rsidR="000359EB" w:rsidRPr="009B5C92">
        <w:t>reflect evidence across providers and material cost drivers</w:t>
      </w:r>
      <w:r w:rsidR="00FF7E35" w:rsidRPr="009B5C92">
        <w:t xml:space="preserve"> (not necessarily the lowest observed cost</w:t>
      </w:r>
      <w:r w:rsidR="00293D77" w:rsidRPr="009B5C92">
        <w:t>).</w:t>
      </w:r>
      <w:r w:rsidR="00A17541" w:rsidRPr="009B5C92">
        <w:t xml:space="preserve"> </w:t>
      </w:r>
      <w:r w:rsidR="002551B1" w:rsidRPr="009B5C92">
        <w:t>In developing</w:t>
      </w:r>
      <w:r w:rsidR="002551B1">
        <w:t xml:space="preserve"> pricing advice, </w:t>
      </w:r>
      <w:r w:rsidR="00370B73" w:rsidRPr="00F07605">
        <w:t>the ATEC will examine whether fac</w:t>
      </w:r>
      <w:r w:rsidR="00673E40" w:rsidRPr="00F07605">
        <w:t>t</w:t>
      </w:r>
      <w:r w:rsidR="00370B73" w:rsidRPr="00F07605">
        <w:t xml:space="preserve">ors </w:t>
      </w:r>
      <w:r w:rsidR="00AA4CD2">
        <w:t>such as</w:t>
      </w:r>
      <w:r w:rsidR="00677460">
        <w:t>, but not limited to,</w:t>
      </w:r>
      <w:r w:rsidR="00AA4CD2">
        <w:t xml:space="preserve"> </w:t>
      </w:r>
      <w:proofErr w:type="spellStart"/>
      <w:r w:rsidR="00396CE1">
        <w:t>FoE</w:t>
      </w:r>
      <w:proofErr w:type="spellEnd"/>
      <w:r w:rsidR="00AA4CD2">
        <w:t xml:space="preserve">, </w:t>
      </w:r>
      <w:r w:rsidR="00692A71">
        <w:t>location</w:t>
      </w:r>
      <w:r w:rsidR="00370B73" w:rsidRPr="00F07605">
        <w:t xml:space="preserve">, </w:t>
      </w:r>
      <w:r w:rsidR="00DE57DD">
        <w:t>level of study,</w:t>
      </w:r>
      <w:r w:rsidR="00DE57DD" w:rsidRPr="00F07605">
        <w:t xml:space="preserve"> </w:t>
      </w:r>
      <w:r w:rsidR="00370B73" w:rsidRPr="00F07605">
        <w:t>economies (and diseconomies) of scale and scope and mode of delivery</w:t>
      </w:r>
      <w:r w:rsidR="00692A71">
        <w:t xml:space="preserve"> have a material and measurable effect on efficient cost</w:t>
      </w:r>
      <w:r w:rsidR="00EA63FF" w:rsidRPr="00F07605">
        <w:t>.</w:t>
      </w:r>
    </w:p>
    <w:p w14:paraId="76A930EF" w14:textId="3A85AE26" w:rsidR="009B7A9B" w:rsidRPr="00F07605" w:rsidRDefault="009B7A9B" w:rsidP="00B0189F">
      <w:r>
        <w:t>‘Avoidable inefficiency’ in the definition recognises that some variation in costs i</w:t>
      </w:r>
      <w:r w:rsidR="00347903">
        <w:t>s</w:t>
      </w:r>
      <w:r>
        <w:t xml:space="preserve"> inherent, driven by exogenous factors, but some variation is potentially avoidable, driven by university choices.</w:t>
      </w:r>
    </w:p>
    <w:p w14:paraId="7867D830" w14:textId="4D9423B4" w:rsidR="00C076FA" w:rsidRPr="000D6825" w:rsidRDefault="711AE74F" w:rsidP="00C076FA">
      <w:pPr>
        <w:pStyle w:val="ListNumber"/>
        <w:tabs>
          <w:tab w:val="clear" w:pos="360"/>
        </w:tabs>
        <w:ind w:left="0" w:firstLine="0"/>
      </w:pPr>
      <w:r>
        <w:t>The efficient-cost approach provides a structured basis for assessing whether higher education funding remains aligned with the contemporary costs of delivery</w:t>
      </w:r>
      <w:r w:rsidR="4A2FE9D7">
        <w:t xml:space="preserve"> for </w:t>
      </w:r>
      <w:proofErr w:type="gramStart"/>
      <w:r w:rsidR="4A2FE9D7">
        <w:t>the majority of</w:t>
      </w:r>
      <w:proofErr w:type="gramEnd"/>
      <w:r w:rsidR="4A2FE9D7">
        <w:t xml:space="preserve"> students</w:t>
      </w:r>
      <w:r w:rsidR="29D2679C">
        <w:t xml:space="preserve"> without avoidable inefficiency</w:t>
      </w:r>
      <w:r>
        <w:t>. By improving the alignment between prices and efficient costs</w:t>
      </w:r>
      <w:r w:rsidR="0ADC93AB">
        <w:t>,</w:t>
      </w:r>
      <w:r>
        <w:t xml:space="preserve"> the Framework will support high-quality teaching and scholarship, provider sustainability and broader tertiary education objectives. The Framework also provides a transparent and reviewable basis for advising Government on pricing arrangements as costs, delivery models and system priorities evolve over time.</w:t>
      </w:r>
    </w:p>
    <w:p w14:paraId="3952C2E1" w14:textId="77777777" w:rsidR="00204B40" w:rsidRPr="00F07605" w:rsidRDefault="00204B40" w:rsidP="00204B40">
      <w:pPr>
        <w:pStyle w:val="Heading2"/>
        <w:rPr>
          <w:kern w:val="2"/>
          <w:szCs w:val="32"/>
          <w14:ligatures w14:val="standardContextual"/>
        </w:rPr>
      </w:pPr>
      <w:bookmarkStart w:id="24" w:name="_Toc239680553"/>
      <w:r w:rsidRPr="00F07605">
        <w:t>What does the price cover?</w:t>
      </w:r>
    </w:p>
    <w:bookmarkEnd w:id="24"/>
    <w:p w14:paraId="2138EAED" w14:textId="30B5E477" w:rsidR="00CB2C71" w:rsidRPr="00F07605" w:rsidRDefault="00370B73" w:rsidP="002935D3">
      <w:pPr>
        <w:rPr>
          <w:rFonts w:ascii="Arial" w:hAnsi="Arial"/>
          <w:szCs w:val="22"/>
        </w:rPr>
      </w:pPr>
      <w:r w:rsidRPr="00F07605">
        <w:rPr>
          <w:rFonts w:ascii="Arial" w:hAnsi="Arial"/>
          <w:szCs w:val="22"/>
        </w:rPr>
        <w:t>T</w:t>
      </w:r>
      <w:r w:rsidR="4C3F65D0" w:rsidRPr="00F07605">
        <w:rPr>
          <w:rFonts w:ascii="Arial" w:hAnsi="Arial"/>
          <w:szCs w:val="22"/>
        </w:rPr>
        <w:t xml:space="preserve">he </w:t>
      </w:r>
      <w:r w:rsidR="00DA07DD">
        <w:rPr>
          <w:rFonts w:ascii="Arial" w:hAnsi="Arial"/>
          <w:szCs w:val="22"/>
        </w:rPr>
        <w:t>total</w:t>
      </w:r>
      <w:r w:rsidR="4C3F65D0" w:rsidRPr="00F07605">
        <w:rPr>
          <w:rFonts w:ascii="Arial" w:hAnsi="Arial"/>
          <w:szCs w:val="22"/>
        </w:rPr>
        <w:t xml:space="preserve"> price </w:t>
      </w:r>
      <w:r w:rsidR="00A9427E">
        <w:rPr>
          <w:rFonts w:ascii="Arial" w:hAnsi="Arial"/>
          <w:szCs w:val="22"/>
        </w:rPr>
        <w:t xml:space="preserve">will </w:t>
      </w:r>
      <w:proofErr w:type="gramStart"/>
      <w:r w:rsidR="00A9427E">
        <w:rPr>
          <w:rFonts w:ascii="Arial" w:hAnsi="Arial"/>
          <w:szCs w:val="22"/>
        </w:rPr>
        <w:t>take into account</w:t>
      </w:r>
      <w:proofErr w:type="gramEnd"/>
      <w:r w:rsidR="00A9427E">
        <w:rPr>
          <w:rFonts w:ascii="Arial" w:hAnsi="Arial"/>
          <w:szCs w:val="22"/>
        </w:rPr>
        <w:t xml:space="preserve"> </w:t>
      </w:r>
      <w:r w:rsidR="4C3F65D0" w:rsidRPr="00F07605">
        <w:rPr>
          <w:rFonts w:ascii="Arial" w:hAnsi="Arial"/>
          <w:szCs w:val="22"/>
        </w:rPr>
        <w:t xml:space="preserve">the efficient cost of </w:t>
      </w:r>
      <w:r w:rsidR="00130BF7">
        <w:rPr>
          <w:rFonts w:ascii="Arial" w:hAnsi="Arial"/>
          <w:szCs w:val="22"/>
        </w:rPr>
        <w:t>delivering teaching and supporting scholarship</w:t>
      </w:r>
      <w:r w:rsidR="4C3F65D0" w:rsidRPr="00F07605">
        <w:rPr>
          <w:rFonts w:ascii="Arial" w:hAnsi="Arial"/>
          <w:szCs w:val="22"/>
        </w:rPr>
        <w:t xml:space="preserve"> for a</w:t>
      </w:r>
      <w:r w:rsidR="00B5117C">
        <w:rPr>
          <w:rFonts w:ascii="Arial" w:hAnsi="Arial"/>
          <w:szCs w:val="22"/>
        </w:rPr>
        <w:t xml:space="preserve"> CSP</w:t>
      </w:r>
      <w:r w:rsidR="4C3F65D0" w:rsidRPr="00F07605">
        <w:rPr>
          <w:rFonts w:ascii="Arial" w:hAnsi="Arial"/>
          <w:szCs w:val="22"/>
        </w:rPr>
        <w:t xml:space="preserve">. </w:t>
      </w:r>
      <w:r w:rsidR="00257FB1">
        <w:rPr>
          <w:rFonts w:ascii="Arial" w:hAnsi="Arial"/>
          <w:szCs w:val="22"/>
        </w:rPr>
        <w:t>C</w:t>
      </w:r>
      <w:r w:rsidR="4C3F65D0" w:rsidRPr="00F07605">
        <w:rPr>
          <w:rFonts w:ascii="Arial" w:hAnsi="Arial"/>
          <w:szCs w:val="22"/>
        </w:rPr>
        <w:t xml:space="preserve">osts </w:t>
      </w:r>
      <w:r w:rsidR="00257FB1">
        <w:rPr>
          <w:rFonts w:ascii="Arial" w:hAnsi="Arial"/>
          <w:szCs w:val="22"/>
        </w:rPr>
        <w:t xml:space="preserve">included in pricing should be </w:t>
      </w:r>
      <w:r w:rsidR="4C3F65D0" w:rsidRPr="00F07605">
        <w:rPr>
          <w:rFonts w:ascii="Arial" w:hAnsi="Arial"/>
          <w:szCs w:val="22"/>
        </w:rPr>
        <w:t>necessary for delivery, attributable to teaching and scholarship, efficiently incurred and supported by sufficiently reliable evidence</w:t>
      </w:r>
      <w:r w:rsidR="00646B92">
        <w:rPr>
          <w:rFonts w:ascii="Arial" w:hAnsi="Arial"/>
          <w:szCs w:val="22"/>
        </w:rPr>
        <w:t xml:space="preserve"> at the unit-level of study</w:t>
      </w:r>
      <w:r w:rsidR="00912B8C">
        <w:rPr>
          <w:rFonts w:ascii="Arial" w:hAnsi="Arial"/>
          <w:szCs w:val="22"/>
        </w:rPr>
        <w:t xml:space="preserve"> where possible</w:t>
      </w:r>
      <w:r w:rsidR="4C3F65D0" w:rsidRPr="00F07605">
        <w:rPr>
          <w:rFonts w:ascii="Arial" w:hAnsi="Arial"/>
          <w:szCs w:val="22"/>
        </w:rPr>
        <w:t>.</w:t>
      </w:r>
    </w:p>
    <w:p w14:paraId="3870E906" w14:textId="05FF8947" w:rsidR="00CB2C71" w:rsidRPr="00F07605" w:rsidRDefault="4C3F65D0" w:rsidP="5B1C5E46">
      <w:pPr>
        <w:rPr>
          <w:rFonts w:ascii="Arial" w:hAnsi="Arial"/>
          <w:szCs w:val="22"/>
        </w:rPr>
      </w:pPr>
      <w:r w:rsidRPr="00F07605">
        <w:rPr>
          <w:rFonts w:ascii="Arial" w:hAnsi="Arial"/>
          <w:szCs w:val="22"/>
        </w:rPr>
        <w:t xml:space="preserve">Costs considered for inclusion </w:t>
      </w:r>
      <w:r w:rsidR="00281EDA">
        <w:rPr>
          <w:rFonts w:ascii="Arial" w:hAnsi="Arial"/>
          <w:szCs w:val="22"/>
        </w:rPr>
        <w:t xml:space="preserve">will </w:t>
      </w:r>
      <w:r w:rsidRPr="00F07605">
        <w:rPr>
          <w:rFonts w:ascii="Arial" w:hAnsi="Arial"/>
          <w:szCs w:val="22"/>
        </w:rPr>
        <w:t>comprise:</w:t>
      </w:r>
    </w:p>
    <w:p w14:paraId="4B3E98B0" w14:textId="37420C4F" w:rsidR="00CB2C71" w:rsidRPr="00F07605" w:rsidRDefault="4C3F65D0" w:rsidP="00B52B2C">
      <w:pPr>
        <w:pStyle w:val="ListBullet"/>
        <w:numPr>
          <w:ilvl w:val="0"/>
          <w:numId w:val="61"/>
        </w:numPr>
      </w:pPr>
      <w:r w:rsidRPr="00F07605">
        <w:t>academic and non-academic staff costs attributable to teaching and scholarship</w:t>
      </w:r>
    </w:p>
    <w:p w14:paraId="26C13C00" w14:textId="3C767F8E" w:rsidR="00CB2C71" w:rsidRPr="00F07605" w:rsidRDefault="4C3F65D0" w:rsidP="00B52B2C">
      <w:pPr>
        <w:pStyle w:val="ListBullet"/>
        <w:numPr>
          <w:ilvl w:val="0"/>
          <w:numId w:val="61"/>
        </w:numPr>
      </w:pPr>
      <w:r w:rsidRPr="00F07605">
        <w:t>teaching-related materials, utilities and equipment</w:t>
      </w:r>
    </w:p>
    <w:p w14:paraId="33A94936" w14:textId="71FE3E2E" w:rsidR="00CB2C71" w:rsidRPr="00F07605" w:rsidRDefault="4C3F65D0" w:rsidP="00B52B2C">
      <w:pPr>
        <w:pStyle w:val="ListBullet"/>
        <w:numPr>
          <w:ilvl w:val="0"/>
          <w:numId w:val="61"/>
        </w:numPr>
      </w:pPr>
      <w:r w:rsidRPr="00F07605">
        <w:t>costs associated with laboratories, practical activities, fieldwork, placements and other required forms of teaching delivery</w:t>
      </w:r>
    </w:p>
    <w:p w14:paraId="4534C119" w14:textId="499F3ACC" w:rsidR="00CB2C71" w:rsidRPr="00F07605" w:rsidRDefault="4C3F65D0" w:rsidP="00B52B2C">
      <w:pPr>
        <w:pStyle w:val="ListBullet"/>
        <w:numPr>
          <w:ilvl w:val="0"/>
          <w:numId w:val="61"/>
        </w:numPr>
      </w:pPr>
      <w:r w:rsidRPr="00F07605">
        <w:t>an appropriate share of facilities and capital-related costs, including depreciation, repairs and maintenance, where these costs are attributable to teaching and scholarship</w:t>
      </w:r>
    </w:p>
    <w:p w14:paraId="472242A5" w14:textId="04BB43CD" w:rsidR="00CB2C71" w:rsidRPr="00F07605" w:rsidRDefault="4C3F65D0" w:rsidP="00B52B2C">
      <w:pPr>
        <w:pStyle w:val="ListBullet"/>
        <w:numPr>
          <w:ilvl w:val="0"/>
          <w:numId w:val="61"/>
        </w:numPr>
      </w:pPr>
      <w:r w:rsidRPr="00F07605">
        <w:t>student administration, learning support and other services required to deliver Commonwealth supported teaching</w:t>
      </w:r>
    </w:p>
    <w:p w14:paraId="27324DBE" w14:textId="7BDF1048" w:rsidR="00CB2C71" w:rsidRPr="00F07605" w:rsidRDefault="4C3F65D0" w:rsidP="00B52B2C">
      <w:pPr>
        <w:pStyle w:val="ListBullet"/>
        <w:numPr>
          <w:ilvl w:val="0"/>
          <w:numId w:val="61"/>
        </w:numPr>
      </w:pPr>
      <w:r w:rsidRPr="00F07605">
        <w:t xml:space="preserve">an appropriate share of administration, </w:t>
      </w:r>
      <w:r w:rsidR="00FC519E">
        <w:t xml:space="preserve">professional services, </w:t>
      </w:r>
      <w:r w:rsidRPr="00F07605">
        <w:t>information technology and other indirect or shared costs attributable to teaching and scholarship</w:t>
      </w:r>
    </w:p>
    <w:p w14:paraId="40530EBE" w14:textId="64EF17C9" w:rsidR="00CB2C71" w:rsidRPr="00F07605" w:rsidRDefault="4C3F65D0" w:rsidP="00B52B2C">
      <w:pPr>
        <w:pStyle w:val="ListBullet"/>
        <w:numPr>
          <w:ilvl w:val="0"/>
          <w:numId w:val="61"/>
        </w:numPr>
      </w:pPr>
      <w:r w:rsidRPr="00F07605">
        <w:t>scholarship activities necessary to maintain the disciplinary knowledge and capability required for high-quality teaching.</w:t>
      </w:r>
    </w:p>
    <w:p w14:paraId="3CF8CA17" w14:textId="0D7C19CF" w:rsidR="00CB2C71" w:rsidRPr="00F07605" w:rsidRDefault="003D0860" w:rsidP="5B1C5E46">
      <w:pPr>
        <w:rPr>
          <w:rFonts w:ascii="Arial" w:hAnsi="Arial"/>
          <w:szCs w:val="22"/>
        </w:rPr>
      </w:pPr>
      <w:r>
        <w:rPr>
          <w:rFonts w:ascii="Arial" w:hAnsi="Arial"/>
          <w:szCs w:val="22"/>
        </w:rPr>
        <w:t xml:space="preserve">Observed expenditure </w:t>
      </w:r>
      <w:r w:rsidR="4C3F65D0" w:rsidRPr="00F07605">
        <w:rPr>
          <w:rFonts w:ascii="Arial" w:hAnsi="Arial"/>
          <w:szCs w:val="22"/>
        </w:rPr>
        <w:t xml:space="preserve">will not </w:t>
      </w:r>
      <w:r w:rsidR="75650C46" w:rsidRPr="00F07605">
        <w:rPr>
          <w:rFonts w:ascii="Arial" w:hAnsi="Arial"/>
          <w:szCs w:val="22"/>
        </w:rPr>
        <w:t xml:space="preserve">automatically </w:t>
      </w:r>
      <w:r>
        <w:rPr>
          <w:rFonts w:ascii="Arial" w:hAnsi="Arial"/>
          <w:szCs w:val="22"/>
        </w:rPr>
        <w:t xml:space="preserve">be reflected </w:t>
      </w:r>
      <w:r w:rsidR="00230BB1">
        <w:rPr>
          <w:rFonts w:ascii="Arial" w:hAnsi="Arial"/>
          <w:szCs w:val="22"/>
        </w:rPr>
        <w:t xml:space="preserve">in price. </w:t>
      </w:r>
      <w:r w:rsidR="4C3F65D0" w:rsidRPr="00F07605">
        <w:rPr>
          <w:rFonts w:ascii="Arial" w:hAnsi="Arial"/>
          <w:szCs w:val="22"/>
        </w:rPr>
        <w:t xml:space="preserve">Shared costs </w:t>
      </w:r>
      <w:r w:rsidR="00230BB1">
        <w:rPr>
          <w:rFonts w:ascii="Arial" w:hAnsi="Arial"/>
          <w:szCs w:val="22"/>
        </w:rPr>
        <w:t xml:space="preserve">may </w:t>
      </w:r>
      <w:r w:rsidR="00470AB1" w:rsidRPr="00F07605">
        <w:rPr>
          <w:rFonts w:ascii="Arial" w:hAnsi="Arial"/>
          <w:szCs w:val="22"/>
        </w:rPr>
        <w:t>be considered</w:t>
      </w:r>
      <w:r w:rsidR="00230BB1">
        <w:rPr>
          <w:rFonts w:ascii="Arial" w:hAnsi="Arial"/>
          <w:szCs w:val="22"/>
        </w:rPr>
        <w:t xml:space="preserve"> </w:t>
      </w:r>
      <w:proofErr w:type="gramStart"/>
      <w:r w:rsidR="00230BB1">
        <w:rPr>
          <w:rFonts w:ascii="Arial" w:hAnsi="Arial"/>
          <w:szCs w:val="22"/>
        </w:rPr>
        <w:t>where</w:t>
      </w:r>
      <w:proofErr w:type="gramEnd"/>
      <w:r w:rsidR="00230BB1">
        <w:rPr>
          <w:rFonts w:ascii="Arial" w:hAnsi="Arial"/>
          <w:szCs w:val="22"/>
        </w:rPr>
        <w:t xml:space="preserve"> attributed through reasonable and consistent allocation methods</w:t>
      </w:r>
      <w:r w:rsidR="4C3F65D0" w:rsidRPr="00F07605">
        <w:rPr>
          <w:rFonts w:ascii="Arial" w:hAnsi="Arial"/>
          <w:szCs w:val="22"/>
        </w:rPr>
        <w:t>.</w:t>
      </w:r>
    </w:p>
    <w:p w14:paraId="678E6638" w14:textId="72FFD730" w:rsidR="00CB2C71" w:rsidRPr="00F07605" w:rsidRDefault="4C3F65D0" w:rsidP="5B1C5E46">
      <w:pPr>
        <w:rPr>
          <w:rFonts w:ascii="Arial" w:hAnsi="Arial"/>
          <w:szCs w:val="22"/>
        </w:rPr>
      </w:pPr>
      <w:r w:rsidRPr="00F07605">
        <w:rPr>
          <w:rFonts w:ascii="Arial" w:hAnsi="Arial"/>
        </w:rPr>
        <w:t xml:space="preserve">The </w:t>
      </w:r>
      <w:r w:rsidR="00606BC9">
        <w:rPr>
          <w:rFonts w:ascii="Arial" w:hAnsi="Arial"/>
        </w:rPr>
        <w:t xml:space="preserve">base </w:t>
      </w:r>
      <w:r w:rsidRPr="00F07605">
        <w:rPr>
          <w:rFonts w:ascii="Arial" w:hAnsi="Arial"/>
        </w:rPr>
        <w:t xml:space="preserve">price </w:t>
      </w:r>
      <w:r w:rsidR="00B616CC">
        <w:rPr>
          <w:rFonts w:ascii="Arial" w:hAnsi="Arial"/>
        </w:rPr>
        <w:t xml:space="preserve">should </w:t>
      </w:r>
      <w:r w:rsidRPr="00F07605">
        <w:rPr>
          <w:rFonts w:ascii="Arial" w:hAnsi="Arial"/>
        </w:rPr>
        <w:t>not include costs that:</w:t>
      </w:r>
    </w:p>
    <w:p w14:paraId="290D7D54" w14:textId="66632F83" w:rsidR="00CB2C71" w:rsidRPr="00F07605" w:rsidRDefault="4C3F65D0" w:rsidP="00B52B2C">
      <w:pPr>
        <w:pStyle w:val="ListBullet"/>
        <w:numPr>
          <w:ilvl w:val="0"/>
          <w:numId w:val="62"/>
        </w:numPr>
      </w:pPr>
      <w:r w:rsidRPr="00F07605">
        <w:t>are unrelated to the delivery of teaching and scholarship for Commonwealth supported provision</w:t>
      </w:r>
    </w:p>
    <w:p w14:paraId="1DD87F46" w14:textId="5AEFF692" w:rsidR="00CB2C71" w:rsidRPr="00F07605" w:rsidRDefault="5196E28E" w:rsidP="00B52B2C">
      <w:pPr>
        <w:pStyle w:val="ListBullet"/>
        <w:numPr>
          <w:ilvl w:val="0"/>
          <w:numId w:val="62"/>
        </w:numPr>
      </w:pPr>
      <w:r>
        <w:t>relate solely to research</w:t>
      </w:r>
      <w:r w:rsidR="7D49EF87">
        <w:t xml:space="preserve"> or </w:t>
      </w:r>
      <w:r>
        <w:t>research training</w:t>
      </w:r>
      <w:r w:rsidR="6C61A534">
        <w:t>, whilst recognising that most academic staff in universities are appointed to ‘teaching and research’ roles</w:t>
      </w:r>
    </w:p>
    <w:p w14:paraId="579EA6F4" w14:textId="689A5C90" w:rsidR="00CB2C71" w:rsidRPr="00F07605" w:rsidRDefault="4C3F65D0" w:rsidP="00B52B2C">
      <w:pPr>
        <w:pStyle w:val="ListBullet"/>
        <w:numPr>
          <w:ilvl w:val="0"/>
          <w:numId w:val="62"/>
        </w:numPr>
      </w:pPr>
      <w:r w:rsidRPr="00F07605">
        <w:lastRenderedPageBreak/>
        <w:t xml:space="preserve">relate to international students, domestic full-fee-paying provision, vocational education and training, commercial activities or </w:t>
      </w:r>
      <w:r w:rsidR="00A30664">
        <w:t xml:space="preserve">other </w:t>
      </w:r>
      <w:r w:rsidRPr="00F07605">
        <w:t>activities that are not attributable to Commonwealth supported teaching and scholarship</w:t>
      </w:r>
    </w:p>
    <w:p w14:paraId="1B7E3B77" w14:textId="41F91E65" w:rsidR="00CB2C71" w:rsidRPr="00F07605" w:rsidRDefault="4C3F65D0" w:rsidP="00B52B2C">
      <w:pPr>
        <w:pStyle w:val="ListBullet"/>
        <w:numPr>
          <w:ilvl w:val="0"/>
          <w:numId w:val="62"/>
        </w:numPr>
      </w:pPr>
      <w:r w:rsidRPr="00F07605">
        <w:t xml:space="preserve">arise </w:t>
      </w:r>
      <w:r w:rsidR="006108FF">
        <w:t xml:space="preserve">due to </w:t>
      </w:r>
      <w:r w:rsidRPr="00F07605">
        <w:t xml:space="preserve">inefficient delivery, </w:t>
      </w:r>
      <w:r w:rsidR="00D54FA0">
        <w:t xml:space="preserve">discretionary provider choices </w:t>
      </w:r>
      <w:r w:rsidR="001004CA">
        <w:t xml:space="preserve">(i.e. are not common across universities) </w:t>
      </w:r>
      <w:r w:rsidRPr="00F07605">
        <w:t>or activities beyond the agreed scope of provision</w:t>
      </w:r>
      <w:r w:rsidR="002458FF" w:rsidRPr="00F07605">
        <w:t>.</w:t>
      </w:r>
    </w:p>
    <w:p w14:paraId="7EE1FB84" w14:textId="54B547C2" w:rsidR="000F5600" w:rsidRPr="00BC4F2E" w:rsidRDefault="009E300D" w:rsidP="5B1C5E46">
      <w:pPr>
        <w:rPr>
          <w:rFonts w:ascii="Arial" w:hAnsi="Arial"/>
          <w:szCs w:val="22"/>
        </w:rPr>
      </w:pPr>
      <w:r>
        <w:rPr>
          <w:rFonts w:ascii="Arial" w:hAnsi="Arial"/>
          <w:szCs w:val="22"/>
        </w:rPr>
        <w:t>Advice on the</w:t>
      </w:r>
      <w:r w:rsidRPr="00F07605">
        <w:rPr>
          <w:rFonts w:ascii="Arial" w:hAnsi="Arial"/>
          <w:szCs w:val="22"/>
        </w:rPr>
        <w:t xml:space="preserve"> </w:t>
      </w:r>
      <w:r w:rsidR="00370B73" w:rsidRPr="00F07605">
        <w:rPr>
          <w:rFonts w:ascii="Arial" w:hAnsi="Arial"/>
          <w:szCs w:val="22"/>
        </w:rPr>
        <w:t xml:space="preserve">interaction </w:t>
      </w:r>
      <w:r w:rsidR="00086B3E">
        <w:rPr>
          <w:rFonts w:ascii="Arial" w:hAnsi="Arial"/>
          <w:szCs w:val="22"/>
        </w:rPr>
        <w:t xml:space="preserve">between </w:t>
      </w:r>
      <w:r w:rsidR="003232AE" w:rsidRPr="00F07605">
        <w:rPr>
          <w:rFonts w:ascii="Arial" w:hAnsi="Arial"/>
          <w:szCs w:val="22"/>
        </w:rPr>
        <w:t>pric</w:t>
      </w:r>
      <w:r w:rsidR="00086B3E">
        <w:rPr>
          <w:rFonts w:ascii="Arial" w:hAnsi="Arial"/>
          <w:szCs w:val="22"/>
        </w:rPr>
        <w:t>ing</w:t>
      </w:r>
      <w:r w:rsidR="003232AE" w:rsidRPr="00F07605">
        <w:rPr>
          <w:rFonts w:ascii="Arial" w:hAnsi="Arial"/>
          <w:szCs w:val="22"/>
        </w:rPr>
        <w:t xml:space="preserve"> and other funding</w:t>
      </w:r>
      <w:r w:rsidR="00086B3E">
        <w:rPr>
          <w:rFonts w:ascii="Arial" w:hAnsi="Arial"/>
          <w:szCs w:val="22"/>
        </w:rPr>
        <w:t xml:space="preserve"> mechanisms</w:t>
      </w:r>
      <w:r w:rsidR="003232AE" w:rsidRPr="00F07605">
        <w:rPr>
          <w:rFonts w:ascii="Arial" w:hAnsi="Arial"/>
          <w:szCs w:val="22"/>
        </w:rPr>
        <w:t xml:space="preserve">, </w:t>
      </w:r>
      <w:r w:rsidR="00086B3E">
        <w:rPr>
          <w:rFonts w:ascii="Arial" w:hAnsi="Arial"/>
          <w:szCs w:val="22"/>
        </w:rPr>
        <w:t xml:space="preserve">including </w:t>
      </w:r>
      <w:r w:rsidR="003232AE" w:rsidRPr="00F07605">
        <w:rPr>
          <w:rFonts w:ascii="Arial" w:hAnsi="Arial"/>
          <w:szCs w:val="22"/>
        </w:rPr>
        <w:t>needs</w:t>
      </w:r>
      <w:r w:rsidR="00662691" w:rsidRPr="00F07605">
        <w:rPr>
          <w:rFonts w:ascii="Arial" w:hAnsi="Arial"/>
          <w:szCs w:val="22"/>
        </w:rPr>
        <w:t>-</w:t>
      </w:r>
      <w:r w:rsidR="003232AE" w:rsidRPr="00F07605">
        <w:rPr>
          <w:rFonts w:ascii="Arial" w:hAnsi="Arial"/>
          <w:szCs w:val="22"/>
        </w:rPr>
        <w:t xml:space="preserve">based funding, </w:t>
      </w:r>
      <w:r w:rsidR="00DB7087">
        <w:rPr>
          <w:rFonts w:ascii="Arial" w:hAnsi="Arial"/>
          <w:szCs w:val="22"/>
        </w:rPr>
        <w:t xml:space="preserve">will be designed to avoid </w:t>
      </w:r>
      <w:r w:rsidR="003232AE" w:rsidRPr="00F07605">
        <w:rPr>
          <w:rFonts w:ascii="Arial" w:hAnsi="Arial"/>
          <w:szCs w:val="22"/>
        </w:rPr>
        <w:t xml:space="preserve">double payment. </w:t>
      </w:r>
      <w:r w:rsidR="0039324F">
        <w:rPr>
          <w:rFonts w:ascii="Arial" w:hAnsi="Arial"/>
          <w:szCs w:val="22"/>
        </w:rPr>
        <w:t xml:space="preserve">While </w:t>
      </w:r>
      <w:r w:rsidR="4C3F65D0" w:rsidRPr="00F07605">
        <w:rPr>
          <w:rFonts w:ascii="Arial" w:hAnsi="Arial"/>
          <w:szCs w:val="22"/>
        </w:rPr>
        <w:t xml:space="preserve">broader research costs </w:t>
      </w:r>
      <w:r w:rsidR="008F3799">
        <w:rPr>
          <w:rFonts w:ascii="Arial" w:hAnsi="Arial"/>
          <w:szCs w:val="22"/>
        </w:rPr>
        <w:t>are not included in pricing, r</w:t>
      </w:r>
      <w:r w:rsidR="4C3F65D0" w:rsidRPr="00F07605">
        <w:rPr>
          <w:rFonts w:ascii="Arial" w:hAnsi="Arial"/>
          <w:szCs w:val="22"/>
        </w:rPr>
        <w:t xml:space="preserve">esearch expenditure may be examined to understand </w:t>
      </w:r>
      <w:r w:rsidR="00B050A2">
        <w:rPr>
          <w:rFonts w:ascii="Arial" w:hAnsi="Arial"/>
          <w:szCs w:val="22"/>
        </w:rPr>
        <w:t xml:space="preserve">teaching costs, cost allocation practices and the relationship </w:t>
      </w:r>
      <w:r w:rsidR="00BA3D7D">
        <w:rPr>
          <w:rFonts w:ascii="Arial" w:hAnsi="Arial"/>
          <w:szCs w:val="22"/>
        </w:rPr>
        <w:t>between teaching, scholarship and research.</w:t>
      </w:r>
      <w:r w:rsidR="4C3F65D0" w:rsidRPr="00F07605">
        <w:rPr>
          <w:rFonts w:ascii="Arial" w:hAnsi="Arial"/>
          <w:szCs w:val="22"/>
        </w:rPr>
        <w:t xml:space="preserve"> </w:t>
      </w:r>
    </w:p>
    <w:p w14:paraId="5BE2156C" w14:textId="7E059932" w:rsidR="0096258E" w:rsidRPr="00BC4F2E" w:rsidRDefault="0096258E" w:rsidP="00464803">
      <w:pPr>
        <w:rPr>
          <w:rFonts w:ascii="Arial" w:hAnsi="Arial"/>
          <w:szCs w:val="22"/>
        </w:rPr>
      </w:pPr>
      <w:r w:rsidRPr="00BC4F2E">
        <w:rPr>
          <w:rFonts w:ascii="Arial" w:hAnsi="Arial"/>
          <w:szCs w:val="22"/>
        </w:rPr>
        <w:t>The costing process is empirical</w:t>
      </w:r>
      <w:r w:rsidR="00323AE8" w:rsidRPr="00BC4F2E">
        <w:rPr>
          <w:rFonts w:ascii="Arial" w:hAnsi="Arial"/>
          <w:szCs w:val="22"/>
        </w:rPr>
        <w:t xml:space="preserve"> and looks at</w:t>
      </w:r>
      <w:r w:rsidRPr="00BC4F2E">
        <w:rPr>
          <w:rFonts w:ascii="Arial" w:hAnsi="Arial"/>
          <w:szCs w:val="22"/>
        </w:rPr>
        <w:t xml:space="preserve"> the contemporary costs of the teaching and supporting scholarship</w:t>
      </w:r>
      <w:r w:rsidR="000E02B7" w:rsidRPr="00BC4F2E">
        <w:rPr>
          <w:rFonts w:ascii="Arial" w:hAnsi="Arial"/>
          <w:szCs w:val="22"/>
        </w:rPr>
        <w:t>.</w:t>
      </w:r>
      <w:r w:rsidRPr="00BC4F2E">
        <w:rPr>
          <w:rFonts w:ascii="Arial" w:hAnsi="Arial"/>
          <w:szCs w:val="22"/>
        </w:rPr>
        <w:t xml:space="preserve"> Pricing advice </w:t>
      </w:r>
      <w:r w:rsidR="0043076C" w:rsidRPr="00BC4F2E">
        <w:rPr>
          <w:rFonts w:ascii="Arial" w:hAnsi="Arial"/>
          <w:szCs w:val="22"/>
        </w:rPr>
        <w:t xml:space="preserve">uses </w:t>
      </w:r>
      <w:r w:rsidRPr="00BC4F2E">
        <w:rPr>
          <w:rFonts w:ascii="Arial" w:hAnsi="Arial"/>
          <w:szCs w:val="22"/>
        </w:rPr>
        <w:t xml:space="preserve">the efficient cost of provision </w:t>
      </w:r>
      <w:r w:rsidR="0043076C" w:rsidRPr="00BC4F2E">
        <w:rPr>
          <w:rFonts w:ascii="Arial" w:hAnsi="Arial"/>
          <w:szCs w:val="22"/>
        </w:rPr>
        <w:t xml:space="preserve">as a starting point and </w:t>
      </w:r>
      <w:proofErr w:type="gramStart"/>
      <w:r w:rsidRPr="00BC4F2E">
        <w:rPr>
          <w:rFonts w:ascii="Arial" w:hAnsi="Arial"/>
          <w:szCs w:val="22"/>
        </w:rPr>
        <w:t>take</w:t>
      </w:r>
      <w:r w:rsidR="0043076C" w:rsidRPr="00BC4F2E">
        <w:rPr>
          <w:rFonts w:ascii="Arial" w:hAnsi="Arial"/>
          <w:szCs w:val="22"/>
        </w:rPr>
        <w:t>s</w:t>
      </w:r>
      <w:r w:rsidRPr="00BC4F2E">
        <w:rPr>
          <w:rFonts w:ascii="Arial" w:hAnsi="Arial"/>
          <w:szCs w:val="22"/>
        </w:rPr>
        <w:t xml:space="preserve"> into account</w:t>
      </w:r>
      <w:proofErr w:type="gramEnd"/>
      <w:r w:rsidRPr="00BC4F2E">
        <w:rPr>
          <w:rFonts w:ascii="Arial" w:hAnsi="Arial"/>
          <w:szCs w:val="22"/>
        </w:rPr>
        <w:t xml:space="preserve"> a broader range of factors </w:t>
      </w:r>
      <w:r w:rsidR="00412C21" w:rsidRPr="00BC4F2E">
        <w:rPr>
          <w:rFonts w:ascii="Arial" w:hAnsi="Arial"/>
          <w:szCs w:val="22"/>
        </w:rPr>
        <w:t>(</w:t>
      </w:r>
      <w:r w:rsidRPr="00BC4F2E">
        <w:rPr>
          <w:rFonts w:ascii="Arial" w:hAnsi="Arial"/>
          <w:szCs w:val="22"/>
        </w:rPr>
        <w:t xml:space="preserve">not least in the context of </w:t>
      </w:r>
      <w:r w:rsidR="002350DE" w:rsidRPr="00BC4F2E">
        <w:rPr>
          <w:rFonts w:ascii="Arial" w:hAnsi="Arial"/>
          <w:szCs w:val="22"/>
        </w:rPr>
        <w:t xml:space="preserve">the </w:t>
      </w:r>
      <w:r w:rsidRPr="00BC4F2E">
        <w:rPr>
          <w:rFonts w:ascii="Arial" w:hAnsi="Arial"/>
          <w:szCs w:val="22"/>
        </w:rPr>
        <w:t>ATEC’s stewarding function</w:t>
      </w:r>
      <w:r w:rsidR="00412C21" w:rsidRPr="00BC4F2E">
        <w:rPr>
          <w:rFonts w:ascii="Arial" w:hAnsi="Arial"/>
          <w:szCs w:val="22"/>
        </w:rPr>
        <w:t xml:space="preserve">), including ensuring </w:t>
      </w:r>
      <w:r w:rsidRPr="00BC4F2E">
        <w:rPr>
          <w:rFonts w:ascii="Arial" w:hAnsi="Arial"/>
          <w:szCs w:val="22"/>
        </w:rPr>
        <w:t>a sustainable network of universities and disciplines.</w:t>
      </w:r>
    </w:p>
    <w:p w14:paraId="2CF90D7A" w14:textId="3F0B5B8B" w:rsidR="0096258E" w:rsidRPr="00BC4F2E" w:rsidRDefault="0096258E" w:rsidP="00464803">
      <w:r w:rsidRPr="00BC4F2E">
        <w:t>M</w:t>
      </w:r>
      <w:r w:rsidR="004805F9" w:rsidRPr="00BC4F2E">
        <w:t>oving from costing to pricing</w:t>
      </w:r>
      <w:r w:rsidR="00B66ABA" w:rsidRPr="00BC4F2E">
        <w:t xml:space="preserve"> requires consideration of the efficient cost levels within the </w:t>
      </w:r>
      <w:r w:rsidR="003068C6" w:rsidRPr="00BC4F2E">
        <w:t xml:space="preserve">proposed </w:t>
      </w:r>
      <w:r w:rsidR="00F4029C" w:rsidRPr="00BC4F2E">
        <w:t xml:space="preserve">pricing </w:t>
      </w:r>
      <w:r w:rsidR="00B66ABA" w:rsidRPr="00BC4F2E">
        <w:t>model to account for avoidable or unusually high expenditure</w:t>
      </w:r>
      <w:r w:rsidR="00B00C20" w:rsidRPr="00BC4F2E">
        <w:t xml:space="preserve"> </w:t>
      </w:r>
      <w:r w:rsidRPr="00BC4F2E">
        <w:t>and system sustainability</w:t>
      </w:r>
      <w:r w:rsidR="00B66ABA" w:rsidRPr="00BC4F2E">
        <w:rPr>
          <w:rFonts w:ascii="Arial" w:hAnsi="Arial"/>
          <w:szCs w:val="22"/>
        </w:rPr>
        <w:t>.</w:t>
      </w:r>
      <w:r w:rsidR="004805F9" w:rsidRPr="00BC4F2E">
        <w:t xml:space="preserve"> </w:t>
      </w:r>
    </w:p>
    <w:p w14:paraId="40C58265" w14:textId="736EF52A" w:rsidR="00464803" w:rsidRPr="00C529A2" w:rsidRDefault="0096258E" w:rsidP="00464803">
      <w:r w:rsidRPr="00BC4F2E">
        <w:t>As part of its pricing advice, t</w:t>
      </w:r>
      <w:r w:rsidR="00D35EA2" w:rsidRPr="00BC4F2E">
        <w:t>he ATEC may</w:t>
      </w:r>
      <w:r w:rsidR="00464803" w:rsidRPr="00BC4F2E">
        <w:rPr>
          <w:rFonts w:ascii="Arial" w:hAnsi="Arial"/>
          <w:szCs w:val="22"/>
        </w:rPr>
        <w:t xml:space="preserve"> also </w:t>
      </w:r>
      <w:proofErr w:type="gramStart"/>
      <w:r w:rsidR="00464803" w:rsidRPr="00BC4F2E">
        <w:rPr>
          <w:rFonts w:ascii="Arial" w:hAnsi="Arial"/>
          <w:szCs w:val="22"/>
        </w:rPr>
        <w:t>give consideration to</w:t>
      </w:r>
      <w:proofErr w:type="gramEnd"/>
      <w:r w:rsidR="00464803" w:rsidRPr="00BC4F2E">
        <w:rPr>
          <w:rFonts w:ascii="Arial" w:hAnsi="Arial"/>
          <w:szCs w:val="22"/>
        </w:rPr>
        <w:t xml:space="preserve"> recognising excellence in educational outcomes.</w:t>
      </w:r>
    </w:p>
    <w:p w14:paraId="7011F1ED" w14:textId="09974AB2" w:rsidR="00464803" w:rsidRDefault="00464803" w:rsidP="00464803">
      <w:pPr>
        <w:pStyle w:val="Heading2"/>
      </w:pPr>
      <w:r w:rsidRPr="00B76129">
        <w:t>Student contribution amounts</w:t>
      </w:r>
    </w:p>
    <w:p w14:paraId="7B7AFF3D" w14:textId="0C19491D" w:rsidR="00464803" w:rsidRDefault="00464803" w:rsidP="00464803">
      <w:r>
        <w:t>This Framework assumes the existing regulated student contribution amounts</w:t>
      </w:r>
      <w:r w:rsidR="00D95CDD">
        <w:t xml:space="preserve"> are given</w:t>
      </w:r>
      <w:r>
        <w:t>. That is,</w:t>
      </w:r>
      <w:r w:rsidR="0096258E">
        <w:t xml:space="preserve"> in line with the ATEC’s remit under the Act,</w:t>
      </w:r>
      <w:r>
        <w:t xml:space="preserve"> the Commonwealth contribution amount will be the focus of the ATEC’s advice.</w:t>
      </w:r>
    </w:p>
    <w:p w14:paraId="23B42286" w14:textId="411684B9" w:rsidR="00464803" w:rsidRPr="00C529A2" w:rsidRDefault="00464803" w:rsidP="5B1C5E46">
      <w:r>
        <w:t xml:space="preserve">Currently, student contribution amounts vary as a proportion of total payments. Determining the efficient cost of a unit of study must be undertaken before consideration of student contributions so that the student contributions </w:t>
      </w:r>
      <w:r w:rsidR="00F371A2">
        <w:t>relative to</w:t>
      </w:r>
      <w:r w:rsidR="0024378F">
        <w:t xml:space="preserve"> the</w:t>
      </w:r>
      <w:r w:rsidR="00F371A2">
        <w:t xml:space="preserve"> </w:t>
      </w:r>
      <w:r w:rsidR="00675ACD">
        <w:t>funding</w:t>
      </w:r>
      <w:r w:rsidR="00F371A2">
        <w:t xml:space="preserve"> </w:t>
      </w:r>
      <w:r w:rsidR="009F2650">
        <w:t xml:space="preserve">rate </w:t>
      </w:r>
      <w:r>
        <w:t xml:space="preserve">in a </w:t>
      </w:r>
      <w:proofErr w:type="spellStart"/>
      <w:r>
        <w:t>FoE</w:t>
      </w:r>
      <w:proofErr w:type="spellEnd"/>
      <w:r>
        <w:t xml:space="preserve"> is understood</w:t>
      </w:r>
      <w:r w:rsidR="002417CE">
        <w:t xml:space="preserve">. This is </w:t>
      </w:r>
      <w:r>
        <w:t xml:space="preserve">to ensure, </w:t>
      </w:r>
      <w:r w:rsidRPr="0080434D">
        <w:t>at the extreme, that students are not required to pay more than the efficient cost of provision.</w:t>
      </w:r>
      <w:r>
        <w:t xml:space="preserve"> </w:t>
      </w:r>
    </w:p>
    <w:tbl>
      <w:tblPr>
        <w:tblStyle w:val="GridTable4-Accent1"/>
        <w:tblW w:w="9634" w:type="dxa"/>
        <w:shd w:val="clear" w:color="auto" w:fill="278F85" w:themeFill="accent1" w:themeFillTint="BF"/>
        <w:tblLook w:val="04A0" w:firstRow="1" w:lastRow="0" w:firstColumn="1" w:lastColumn="0" w:noHBand="0" w:noVBand="1"/>
      </w:tblPr>
      <w:tblGrid>
        <w:gridCol w:w="9634"/>
      </w:tblGrid>
      <w:tr w:rsidR="000D2626" w:rsidRPr="00F07605" w14:paraId="1B8E085E" w14:textId="77777777" w:rsidTr="006A19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195B54" w:themeFill="accent1" w:themeFillTint="E6"/>
            <w:tcMar>
              <w:top w:w="120" w:type="dxa"/>
              <w:left w:w="120" w:type="dxa"/>
              <w:bottom w:w="120" w:type="dxa"/>
              <w:right w:w="120" w:type="dxa"/>
            </w:tcMar>
            <w:hideMark/>
          </w:tcPr>
          <w:p w14:paraId="43E08F5B" w14:textId="4F016F3E" w:rsidR="000D2626" w:rsidRPr="000D2626" w:rsidRDefault="000D2626">
            <w:pPr>
              <w:pStyle w:val="ListBullet"/>
              <w:rPr>
                <w:rFonts w:eastAsiaTheme="minorEastAsia"/>
                <w:i/>
                <w:iCs/>
              </w:rPr>
            </w:pPr>
            <w:r>
              <w:rPr>
                <w:rFonts w:eastAsiaTheme="minorEastAsia"/>
                <w:i/>
                <w:iCs/>
              </w:rPr>
              <w:t>Consultation Question</w:t>
            </w:r>
            <w:r w:rsidR="003D3DE3">
              <w:rPr>
                <w:rFonts w:eastAsiaTheme="minorEastAsia"/>
                <w:i/>
                <w:iCs/>
              </w:rPr>
              <w:t>s</w:t>
            </w:r>
          </w:p>
          <w:p w14:paraId="4F0D2F36" w14:textId="1C2C257C" w:rsidR="00367CC9" w:rsidRPr="002C192A" w:rsidRDefault="00367CC9" w:rsidP="00367CC9">
            <w:pPr>
              <w:pStyle w:val="ListBullet"/>
              <w:numPr>
                <w:ilvl w:val="0"/>
                <w:numId w:val="74"/>
              </w:numPr>
              <w:rPr>
                <w:rFonts w:eastAsiaTheme="minorEastAsia"/>
                <w:i/>
                <w:iCs/>
              </w:rPr>
            </w:pPr>
            <w:r w:rsidRPr="00BB1555">
              <w:rPr>
                <w:rFonts w:eastAsiaTheme="minorEastAsia"/>
                <w:i/>
                <w:iCs/>
              </w:rPr>
              <w:t xml:space="preserve">How should funding through prices (base funding amount) for CSPs </w:t>
            </w:r>
            <w:r w:rsidR="005479F3">
              <w:rPr>
                <w:rFonts w:eastAsiaTheme="minorEastAsia"/>
                <w:i/>
                <w:iCs/>
              </w:rPr>
              <w:t>interact with</w:t>
            </w:r>
            <w:r w:rsidRPr="00BB1555">
              <w:rPr>
                <w:rFonts w:eastAsiaTheme="minorEastAsia"/>
                <w:i/>
                <w:iCs/>
              </w:rPr>
              <w:t xml:space="preserve"> other mechanisms such as targeted programs or </w:t>
            </w:r>
            <w:r>
              <w:rPr>
                <w:rFonts w:eastAsiaTheme="minorEastAsia"/>
                <w:i/>
                <w:iCs/>
              </w:rPr>
              <w:t>loadings</w:t>
            </w:r>
            <w:r w:rsidRPr="00BB1555">
              <w:rPr>
                <w:rFonts w:eastAsiaTheme="minorEastAsia"/>
                <w:i/>
                <w:iCs/>
              </w:rPr>
              <w:t>?</w:t>
            </w:r>
          </w:p>
          <w:p w14:paraId="47D90DD2" w14:textId="64A6BC25" w:rsidR="00367CC9" w:rsidRPr="006755F2" w:rsidRDefault="00367CC9" w:rsidP="00367CC9">
            <w:pPr>
              <w:pStyle w:val="ListBullet"/>
              <w:numPr>
                <w:ilvl w:val="0"/>
                <w:numId w:val="74"/>
              </w:numPr>
              <w:rPr>
                <w:rFonts w:eastAsiaTheme="minorEastAsia"/>
                <w:i/>
                <w:iCs/>
              </w:rPr>
            </w:pPr>
            <w:r w:rsidRPr="002C192A">
              <w:rPr>
                <w:rFonts w:eastAsiaTheme="minorEastAsia"/>
                <w:i/>
                <w:iCs/>
              </w:rPr>
              <w:t xml:space="preserve">What changes </w:t>
            </w:r>
            <w:r w:rsidR="005479F3" w:rsidRPr="006755F2">
              <w:rPr>
                <w:rFonts w:eastAsiaTheme="minorEastAsia"/>
                <w:i/>
                <w:iCs/>
              </w:rPr>
              <w:t>(previous, current or anticipated)</w:t>
            </w:r>
            <w:r w:rsidR="005479F3">
              <w:rPr>
                <w:rFonts w:eastAsiaTheme="minorEastAsia"/>
                <w:i/>
                <w:iCs/>
              </w:rPr>
              <w:t xml:space="preserve"> </w:t>
            </w:r>
            <w:r w:rsidRPr="002C192A">
              <w:rPr>
                <w:rFonts w:eastAsiaTheme="minorEastAsia"/>
                <w:i/>
                <w:iCs/>
              </w:rPr>
              <w:t xml:space="preserve">have had the biggest impact on the cost of delivering teaching and supporting </w:t>
            </w:r>
            <w:r w:rsidRPr="006755F2">
              <w:rPr>
                <w:rFonts w:eastAsiaTheme="minorEastAsia"/>
                <w:i/>
                <w:iCs/>
              </w:rPr>
              <w:t>scholarship in Australia?</w:t>
            </w:r>
            <w:r>
              <w:rPr>
                <w:rFonts w:eastAsiaTheme="minorEastAsia"/>
                <w:i/>
                <w:iCs/>
              </w:rPr>
              <w:t xml:space="preserve"> Please provide supporting evidence.</w:t>
            </w:r>
          </w:p>
          <w:p w14:paraId="61C69D51" w14:textId="5B073C4D" w:rsidR="00464803" w:rsidRPr="00367CC9" w:rsidRDefault="00367CC9" w:rsidP="00367CC9">
            <w:pPr>
              <w:pStyle w:val="ListParagraph"/>
              <w:numPr>
                <w:ilvl w:val="0"/>
                <w:numId w:val="74"/>
              </w:numPr>
              <w:rPr>
                <w:rFonts w:ascii="Arial" w:hAnsi="Arial"/>
                <w:i/>
                <w:iCs/>
                <w:szCs w:val="22"/>
              </w:rPr>
            </w:pPr>
            <w:r w:rsidRPr="00D753EE">
              <w:rPr>
                <w:rFonts w:ascii="Arial" w:hAnsi="Arial"/>
                <w:i/>
                <w:iCs/>
                <w:szCs w:val="22"/>
              </w:rPr>
              <w:t xml:space="preserve">Should the ATEC incorporate an additional mechanism </w:t>
            </w:r>
            <w:r>
              <w:rPr>
                <w:rFonts w:ascii="Arial" w:hAnsi="Arial"/>
                <w:i/>
                <w:iCs/>
                <w:szCs w:val="22"/>
              </w:rPr>
              <w:t xml:space="preserve">that recognises and supports </w:t>
            </w:r>
            <w:r w:rsidRPr="00D753EE">
              <w:rPr>
                <w:rFonts w:ascii="Arial" w:hAnsi="Arial"/>
                <w:i/>
                <w:iCs/>
                <w:szCs w:val="22"/>
              </w:rPr>
              <w:t>universities with better educational outcomes? If so, how might this be determined</w:t>
            </w:r>
            <w:r>
              <w:rPr>
                <w:rFonts w:ascii="Arial" w:hAnsi="Arial"/>
                <w:i/>
                <w:iCs/>
                <w:szCs w:val="22"/>
              </w:rPr>
              <w:t xml:space="preserve"> and what evidence could be used to support such a mechanism</w:t>
            </w:r>
            <w:r w:rsidRPr="00D753EE">
              <w:rPr>
                <w:rFonts w:ascii="Arial" w:hAnsi="Arial"/>
                <w:i/>
                <w:iCs/>
                <w:szCs w:val="22"/>
              </w:rPr>
              <w:t>?</w:t>
            </w:r>
          </w:p>
        </w:tc>
      </w:tr>
    </w:tbl>
    <w:p w14:paraId="012E4882" w14:textId="61023D85" w:rsidR="00775367" w:rsidRPr="00F07605" w:rsidRDefault="00775367" w:rsidP="007E39DA">
      <w:pPr>
        <w:pStyle w:val="Heading1"/>
        <w:rPr>
          <w:kern w:val="36"/>
          <w:szCs w:val="48"/>
          <w14:ligatures w14:val="standardContextual"/>
        </w:rPr>
      </w:pPr>
      <w:bookmarkStart w:id="25" w:name="_Toc244072881"/>
      <w:bookmarkStart w:id="26" w:name="_Toc239680554"/>
      <w:r w:rsidRPr="00F07605">
        <w:lastRenderedPageBreak/>
        <w:t xml:space="preserve">Costing and </w:t>
      </w:r>
      <w:r w:rsidR="00DF069E">
        <w:t>P</w:t>
      </w:r>
      <w:r w:rsidRPr="00F07605">
        <w:t>ricing methodology</w:t>
      </w:r>
      <w:bookmarkEnd w:id="25"/>
    </w:p>
    <w:p w14:paraId="08013A77" w14:textId="77777777" w:rsidR="00204B40" w:rsidRPr="00F07605" w:rsidRDefault="00204B40" w:rsidP="00204B40">
      <w:pPr>
        <w:pStyle w:val="Heading2"/>
        <w:rPr>
          <w:kern w:val="2"/>
          <w:szCs w:val="32"/>
          <w14:ligatures w14:val="standardContextual"/>
        </w:rPr>
      </w:pPr>
      <w:bookmarkStart w:id="27" w:name="_Toc239680555"/>
      <w:bookmarkEnd w:id="26"/>
      <w:r w:rsidRPr="00F07605">
        <w:t>Efficient-cost reflective pricing approach</w:t>
      </w:r>
    </w:p>
    <w:bookmarkEnd w:id="27"/>
    <w:p w14:paraId="56B2ED30" w14:textId="08ED4DC1" w:rsidR="00DD7520" w:rsidRDefault="00D24AB6" w:rsidP="00BB0164">
      <w:r>
        <w:t xml:space="preserve">The Framework aims </w:t>
      </w:r>
      <w:r w:rsidR="00BE6F68">
        <w:t xml:space="preserve">for </w:t>
      </w:r>
      <w:r w:rsidR="00A908AB" w:rsidRPr="004F0B71">
        <w:t xml:space="preserve">the total </w:t>
      </w:r>
      <w:r w:rsidR="00A908AB">
        <w:t>price</w:t>
      </w:r>
      <w:r w:rsidR="008B27CE">
        <w:t xml:space="preserve"> </w:t>
      </w:r>
      <w:r w:rsidR="00CD4878">
        <w:t xml:space="preserve">to use </w:t>
      </w:r>
      <w:r w:rsidR="00A908AB" w:rsidRPr="004F0B71">
        <w:t xml:space="preserve">the efficient cost of delivery </w:t>
      </w:r>
      <w:r w:rsidR="00EF3AE3">
        <w:t xml:space="preserve">as a central starting point </w:t>
      </w:r>
      <w:r w:rsidR="00AC259E">
        <w:t xml:space="preserve">to </w:t>
      </w:r>
      <w:r w:rsidR="00A908AB" w:rsidRPr="004F0B71">
        <w:t xml:space="preserve">ensure that funding reflects the resources reasonably required to provide high-quality education without compensating for avoidable inefficiency. </w:t>
      </w:r>
      <w:r w:rsidR="009C1B68">
        <w:t>The ATEC may consider further adjustments in addition to the base price in situations w</w:t>
      </w:r>
      <w:r w:rsidR="005C17AD" w:rsidRPr="005C17AD">
        <w:t xml:space="preserve">here </w:t>
      </w:r>
      <w:r w:rsidR="009C1B68">
        <w:t xml:space="preserve">a </w:t>
      </w:r>
      <w:r w:rsidR="005C17AD" w:rsidRPr="005C17AD">
        <w:t>material cost driver is not adequately reflected through</w:t>
      </w:r>
      <w:r w:rsidR="00203D72">
        <w:t xml:space="preserve"> the</w:t>
      </w:r>
      <w:r w:rsidR="005C17AD" w:rsidRPr="005C17AD">
        <w:t xml:space="preserve"> base price</w:t>
      </w:r>
      <w:r w:rsidR="009C1B68">
        <w:t xml:space="preserve"> </w:t>
      </w:r>
      <w:r w:rsidR="00203D72">
        <w:t>(</w:t>
      </w:r>
      <w:r w:rsidR="009C1B68">
        <w:t>see ‘adjustment factor determination’ section</w:t>
      </w:r>
      <w:r w:rsidR="00F76BF1">
        <w:t>)</w:t>
      </w:r>
      <w:r w:rsidR="005C17AD" w:rsidRPr="005C17AD">
        <w:t>.</w:t>
      </w:r>
    </w:p>
    <w:p w14:paraId="425E9D6E" w14:textId="2C39269E" w:rsidR="00695F4D" w:rsidRPr="00EE0FF3" w:rsidRDefault="00280F3B" w:rsidP="00695F4D">
      <w:r w:rsidRPr="00EE0FF3">
        <w:t xml:space="preserve">This is being </w:t>
      </w:r>
      <w:r w:rsidR="00EB2835" w:rsidRPr="00EE0FF3">
        <w:t>proposed through a</w:t>
      </w:r>
      <w:r w:rsidR="00011636" w:rsidRPr="00EE0FF3">
        <w:t>n activity-based approach</w:t>
      </w:r>
      <w:r w:rsidR="002417CE" w:rsidRPr="00EE0FF3">
        <w:t xml:space="preserve">. </w:t>
      </w:r>
      <w:r w:rsidR="00FE2F1E" w:rsidRPr="00EE0FF3">
        <w:t>T</w:t>
      </w:r>
      <w:r w:rsidR="00695F4D" w:rsidRPr="00EE0FF3">
        <w:t xml:space="preserve">his approach identifies key activities </w:t>
      </w:r>
      <w:r w:rsidR="002075E7" w:rsidRPr="00EE0FF3">
        <w:t xml:space="preserve">(i.e., teaching, </w:t>
      </w:r>
      <w:r w:rsidR="00166154">
        <w:t xml:space="preserve">scholarship </w:t>
      </w:r>
      <w:r w:rsidR="002075E7" w:rsidRPr="00EE0FF3">
        <w:t xml:space="preserve">and other university activities) </w:t>
      </w:r>
      <w:r w:rsidR="00695F4D" w:rsidRPr="00EE0FF3">
        <w:t xml:space="preserve">and their cost drivers </w:t>
      </w:r>
      <w:r w:rsidR="002075E7" w:rsidRPr="00EE0FF3">
        <w:t>(e.g., teaching hours, laboratory use, specialist staff</w:t>
      </w:r>
      <w:r w:rsidR="00E47C1E" w:rsidRPr="00EE0FF3">
        <w:t>,</w:t>
      </w:r>
      <w:r w:rsidR="002075E7" w:rsidRPr="00EE0FF3">
        <w:t xml:space="preserve"> student support</w:t>
      </w:r>
      <w:r w:rsidR="00E47C1E" w:rsidRPr="00EE0FF3">
        <w:t>, etc.</w:t>
      </w:r>
      <w:r w:rsidR="002075E7" w:rsidRPr="00EE0FF3">
        <w:t xml:space="preserve">) </w:t>
      </w:r>
      <w:r w:rsidR="00695F4D" w:rsidRPr="00EE0FF3">
        <w:t xml:space="preserve">and </w:t>
      </w:r>
      <w:r w:rsidR="000A7C41">
        <w:t xml:space="preserve">draws on the allocations used in internal university approaches to </w:t>
      </w:r>
      <w:r w:rsidR="00695F4D" w:rsidRPr="00EE0FF3">
        <w:t xml:space="preserve">allocate costs according to </w:t>
      </w:r>
      <w:r w:rsidR="000A7C41">
        <w:t>the resources</w:t>
      </w:r>
      <w:r w:rsidR="00695F4D" w:rsidRPr="00EE0FF3">
        <w:t xml:space="preserve"> used for the delivery of each activity.</w:t>
      </w:r>
    </w:p>
    <w:p w14:paraId="6EC13F7E" w14:textId="3751F1BA" w:rsidR="008D2AEA" w:rsidRPr="00EE0FF3" w:rsidRDefault="00844477" w:rsidP="00BB0164">
      <w:r w:rsidRPr="00D9664B">
        <w:t>Activity-based costing</w:t>
      </w:r>
      <w:r w:rsidRPr="00EE0FF3">
        <w:t xml:space="preserve"> calculates the cost of delivering a</w:t>
      </w:r>
      <w:r w:rsidR="002B6CB7" w:rsidRPr="00EE0FF3">
        <w:t>n</w:t>
      </w:r>
      <w:r w:rsidRPr="00EE0FF3">
        <w:t xml:space="preserve"> </w:t>
      </w:r>
      <w:r w:rsidR="005E01E4" w:rsidRPr="00EE0FF3">
        <w:t xml:space="preserve">activity </w:t>
      </w:r>
      <w:r w:rsidRPr="00EE0FF3">
        <w:t xml:space="preserve">by assigning expenses to the specific activities and </w:t>
      </w:r>
      <w:r w:rsidR="00780E6E" w:rsidRPr="00EE0FF3">
        <w:t xml:space="preserve">the </w:t>
      </w:r>
      <w:r w:rsidRPr="00EE0FF3">
        <w:t>resources it consumes</w:t>
      </w:r>
      <w:r w:rsidR="006B1BEB" w:rsidRPr="00EE0FF3">
        <w:t>.</w:t>
      </w:r>
      <w:r w:rsidR="00C26AAE" w:rsidRPr="00EE0FF3">
        <w:t xml:space="preserve"> </w:t>
      </w:r>
      <w:r w:rsidR="003273AB" w:rsidRPr="00EE0FF3">
        <w:t xml:space="preserve">Activity-based pricing sets </w:t>
      </w:r>
      <w:r w:rsidR="002C2AF8" w:rsidRPr="00EE0FF3">
        <w:t xml:space="preserve">base </w:t>
      </w:r>
      <w:r w:rsidR="003273AB" w:rsidRPr="00EE0FF3">
        <w:t>prices according to the activities and resources required for delivery</w:t>
      </w:r>
      <w:r w:rsidR="00C26AAE" w:rsidRPr="00EE0FF3">
        <w:t xml:space="preserve">. </w:t>
      </w:r>
      <w:r w:rsidR="003273AB" w:rsidRPr="00EE0FF3">
        <w:t xml:space="preserve">For example, a higher price </w:t>
      </w:r>
      <w:r w:rsidR="002C2AF8" w:rsidRPr="00EE0FF3">
        <w:t xml:space="preserve">may be assigned </w:t>
      </w:r>
      <w:r w:rsidR="003273AB" w:rsidRPr="00EE0FF3">
        <w:t xml:space="preserve">to </w:t>
      </w:r>
      <w:r w:rsidR="002C2AF8" w:rsidRPr="00EE0FF3">
        <w:t xml:space="preserve">a </w:t>
      </w:r>
      <w:r w:rsidR="003273AB" w:rsidRPr="00EE0FF3">
        <w:t xml:space="preserve">course that has more </w:t>
      </w:r>
      <w:r w:rsidR="00D174EA" w:rsidRPr="00EE0FF3">
        <w:t xml:space="preserve">laboratory usage </w:t>
      </w:r>
      <w:r w:rsidR="003273AB" w:rsidRPr="00EE0FF3">
        <w:t xml:space="preserve">because it consumes </w:t>
      </w:r>
      <w:r w:rsidR="002C2AF8" w:rsidRPr="00EE0FF3">
        <w:t xml:space="preserve">a </w:t>
      </w:r>
      <w:r w:rsidR="003273AB" w:rsidRPr="00EE0FF3">
        <w:t xml:space="preserve">more costly </w:t>
      </w:r>
      <w:r w:rsidR="00653EB8" w:rsidRPr="00EE0FF3">
        <w:t xml:space="preserve">resource </w:t>
      </w:r>
      <w:r w:rsidR="003273AB" w:rsidRPr="00EE0FF3">
        <w:t>than a</w:t>
      </w:r>
      <w:r w:rsidR="00191515" w:rsidRPr="00EE0FF3">
        <w:t xml:space="preserve"> course </w:t>
      </w:r>
      <w:r w:rsidR="006C5C51" w:rsidRPr="00EE0FF3">
        <w:t>tha</w:t>
      </w:r>
      <w:r w:rsidR="006C5C51">
        <w:t>t</w:t>
      </w:r>
      <w:r w:rsidR="006C5C51" w:rsidRPr="00EE0FF3">
        <w:t xml:space="preserve"> </w:t>
      </w:r>
      <w:r w:rsidR="00191515" w:rsidRPr="00EE0FF3">
        <w:t>does not require laboratory usage</w:t>
      </w:r>
      <w:r w:rsidR="008E08A3" w:rsidRPr="00EE0FF3">
        <w:t xml:space="preserve">, </w:t>
      </w:r>
      <w:r w:rsidR="00191515" w:rsidRPr="00EE0FF3">
        <w:t xml:space="preserve">keeping </w:t>
      </w:r>
      <w:r w:rsidR="008D2AEA" w:rsidRPr="00EE0FF3">
        <w:t>everything else the same</w:t>
      </w:r>
      <w:r w:rsidR="003273AB" w:rsidRPr="00EE0FF3">
        <w:t xml:space="preserve">. </w:t>
      </w:r>
    </w:p>
    <w:p w14:paraId="623CB545" w14:textId="36C91C83" w:rsidR="00982DE6" w:rsidRDefault="00D36D07" w:rsidP="00BB0164">
      <w:r w:rsidRPr="00EE0FF3">
        <w:t xml:space="preserve">An advantage of this approach is that it </w:t>
      </w:r>
      <w:r w:rsidR="00982DE6" w:rsidRPr="00EE0FF3">
        <w:t>provides a more accurate and transparent price, particularly where different courses or services require substantially different resources</w:t>
      </w:r>
      <w:r w:rsidR="00D95594" w:rsidRPr="00EE0FF3">
        <w:t xml:space="preserve"> in delivering teaching and </w:t>
      </w:r>
      <w:r w:rsidR="000A7C41">
        <w:t xml:space="preserve">supporting </w:t>
      </w:r>
      <w:r w:rsidR="00D95594" w:rsidRPr="00EE0FF3">
        <w:t>scholarship</w:t>
      </w:r>
      <w:r w:rsidR="00BC4D81" w:rsidRPr="00EE0FF3">
        <w:t xml:space="preserve"> and identifying </w:t>
      </w:r>
      <w:r w:rsidR="00C83757" w:rsidRPr="00D9664B">
        <w:t xml:space="preserve">the main </w:t>
      </w:r>
      <w:r w:rsidR="00BC4D81" w:rsidRPr="00EE0FF3">
        <w:t>cost drivers empirically</w:t>
      </w:r>
      <w:r w:rsidR="00982DE6" w:rsidRPr="00EE0FF3">
        <w:t xml:space="preserve">. </w:t>
      </w:r>
      <w:r w:rsidRPr="00EE0FF3">
        <w:t>However, t</w:t>
      </w:r>
      <w:r w:rsidR="00B448FE" w:rsidRPr="00EE0FF3">
        <w:t xml:space="preserve">his approach is highly </w:t>
      </w:r>
      <w:r w:rsidR="00982DE6" w:rsidRPr="00EE0FF3">
        <w:t>depend</w:t>
      </w:r>
      <w:r w:rsidR="00B448FE" w:rsidRPr="00EE0FF3">
        <w:t xml:space="preserve">ent </w:t>
      </w:r>
      <w:r w:rsidR="00982DE6" w:rsidRPr="00EE0FF3">
        <w:t>on reliable</w:t>
      </w:r>
      <w:r w:rsidRPr="00EE0FF3">
        <w:t xml:space="preserve">, </w:t>
      </w:r>
      <w:r w:rsidR="00091A5A" w:rsidRPr="00EE0FF3">
        <w:t xml:space="preserve">granular </w:t>
      </w:r>
      <w:r w:rsidR="00982DE6" w:rsidRPr="00EE0FF3">
        <w:t>activity and cost data.</w:t>
      </w:r>
    </w:p>
    <w:p w14:paraId="0346C181" w14:textId="11CDE10A" w:rsidR="004F0B71" w:rsidRPr="00F07605" w:rsidRDefault="000E3133" w:rsidP="00A95056">
      <w:r>
        <w:t>T</w:t>
      </w:r>
      <w:r w:rsidR="00D5451D" w:rsidRPr="00F07605">
        <w:t>he ATEC</w:t>
      </w:r>
      <w:r>
        <w:t xml:space="preserve"> will </w:t>
      </w:r>
      <w:r w:rsidR="00FA6410">
        <w:t xml:space="preserve">also aim to </w:t>
      </w:r>
      <w:r w:rsidR="00D5451D" w:rsidRPr="00F07605">
        <w:t>distinguish</w:t>
      </w:r>
      <w:r w:rsidR="00AD484F">
        <w:t xml:space="preserve"> </w:t>
      </w:r>
      <w:r w:rsidR="00D5451D" w:rsidRPr="00F07605">
        <w:t xml:space="preserve">between </w:t>
      </w:r>
      <w:r w:rsidR="00AD484F">
        <w:t xml:space="preserve">structural </w:t>
      </w:r>
      <w:r w:rsidR="00D5451D" w:rsidRPr="00F07605">
        <w:t xml:space="preserve">factors </w:t>
      </w:r>
      <w:r w:rsidR="00AD484F">
        <w:t>that affe</w:t>
      </w:r>
      <w:r w:rsidR="00C008CD">
        <w:t>c</w:t>
      </w:r>
      <w:r w:rsidR="00AD484F">
        <w:t xml:space="preserve">t </w:t>
      </w:r>
      <w:r w:rsidR="00D5451D" w:rsidRPr="00F07605">
        <w:t>cost</w:t>
      </w:r>
      <w:r w:rsidR="00C008CD">
        <w:t xml:space="preserve">s </w:t>
      </w:r>
      <w:r w:rsidR="00D5451D" w:rsidRPr="00F07605">
        <w:t xml:space="preserve">across </w:t>
      </w:r>
      <w:r w:rsidR="000B6A88" w:rsidRPr="00F07605">
        <w:t>providers</w:t>
      </w:r>
      <w:r w:rsidR="00D5451D" w:rsidRPr="00F07605">
        <w:t xml:space="preserve"> (exogenous factors) and </w:t>
      </w:r>
      <w:r w:rsidR="00C008CD">
        <w:t xml:space="preserve">costs arising from </w:t>
      </w:r>
      <w:r w:rsidR="00404188" w:rsidRPr="00F07605">
        <w:t>provider-specific</w:t>
      </w:r>
      <w:r w:rsidR="000B6A88" w:rsidRPr="00F07605">
        <w:t xml:space="preserve"> </w:t>
      </w:r>
      <w:r w:rsidR="00C008CD">
        <w:t xml:space="preserve">choices </w:t>
      </w:r>
      <w:r w:rsidR="00D5451D" w:rsidRPr="00F07605">
        <w:t>(endogenous factors).</w:t>
      </w:r>
      <w:r w:rsidR="00C008CD">
        <w:t xml:space="preserve"> </w:t>
      </w:r>
      <w:r w:rsidR="00076F87" w:rsidRPr="00F07605">
        <w:t xml:space="preserve">Universities differ in </w:t>
      </w:r>
      <w:r w:rsidR="00D41A1F">
        <w:t xml:space="preserve">their </w:t>
      </w:r>
      <w:r w:rsidR="00D04366">
        <w:t xml:space="preserve">course </w:t>
      </w:r>
      <w:r w:rsidR="00076F87" w:rsidRPr="00F07605">
        <w:t>design, student-to-staff ratios, class sizes</w:t>
      </w:r>
      <w:r w:rsidR="00580762">
        <w:t xml:space="preserve"> and delivery </w:t>
      </w:r>
      <w:r w:rsidR="00076F87" w:rsidRPr="00F07605">
        <w:t>approaches</w:t>
      </w:r>
      <w:r w:rsidR="00580762">
        <w:t xml:space="preserve">. </w:t>
      </w:r>
      <w:r w:rsidR="008B4420">
        <w:t xml:space="preserve">While this diversity can </w:t>
      </w:r>
      <w:r w:rsidR="00076F87" w:rsidRPr="00F07605">
        <w:t>support innovation and responsiveness</w:t>
      </w:r>
      <w:r w:rsidR="008B4420">
        <w:t xml:space="preserve">, provider-specific choices will generally not be reflected in the pricing approach, unless they represent a material </w:t>
      </w:r>
      <w:r w:rsidR="00A95056">
        <w:t xml:space="preserve">difference </w:t>
      </w:r>
      <w:r w:rsidR="008B4420">
        <w:t>and efficient cost of provision.</w:t>
      </w:r>
      <w:r w:rsidR="003164DF">
        <w:t xml:space="preserve"> </w:t>
      </w:r>
    </w:p>
    <w:p w14:paraId="28295F86" w14:textId="796BD9CA" w:rsidR="00204B40" w:rsidRPr="00F07605" w:rsidRDefault="003C1B07" w:rsidP="00204B40">
      <w:pPr>
        <w:pStyle w:val="Heading2"/>
        <w:rPr>
          <w:kern w:val="2"/>
          <w:szCs w:val="32"/>
          <w14:ligatures w14:val="standardContextual"/>
        </w:rPr>
      </w:pPr>
      <w:bookmarkStart w:id="28" w:name="_Toc239680556"/>
      <w:r>
        <w:t>M</w:t>
      </w:r>
      <w:r w:rsidR="00204B40" w:rsidRPr="00F07605">
        <w:t>ixed-model approach</w:t>
      </w:r>
      <w:r w:rsidR="002404DE">
        <w:t xml:space="preserve"> for funding</w:t>
      </w:r>
    </w:p>
    <w:bookmarkEnd w:id="28"/>
    <w:p w14:paraId="2091B456" w14:textId="42C89405" w:rsidR="0028615C" w:rsidRPr="00D773B1" w:rsidRDefault="004C708D" w:rsidP="5B1C5E46">
      <w:pPr>
        <w:rPr>
          <w:rFonts w:ascii="Arial" w:hAnsi="Arial"/>
          <w:szCs w:val="22"/>
        </w:rPr>
      </w:pPr>
      <w:r>
        <w:rPr>
          <w:rFonts w:ascii="Arial" w:hAnsi="Arial"/>
          <w:szCs w:val="22"/>
        </w:rPr>
        <w:t>The c</w:t>
      </w:r>
      <w:r w:rsidR="00D665AA" w:rsidRPr="00F07605">
        <w:rPr>
          <w:rFonts w:ascii="Arial" w:hAnsi="Arial"/>
          <w:szCs w:val="22"/>
        </w:rPr>
        <w:t xml:space="preserve">urrent funding </w:t>
      </w:r>
      <w:r>
        <w:rPr>
          <w:rFonts w:ascii="Arial" w:hAnsi="Arial"/>
          <w:szCs w:val="22"/>
        </w:rPr>
        <w:t xml:space="preserve">arrangement for </w:t>
      </w:r>
      <w:r w:rsidR="00B5117C">
        <w:rPr>
          <w:rFonts w:ascii="Arial" w:hAnsi="Arial"/>
          <w:szCs w:val="22"/>
        </w:rPr>
        <w:t xml:space="preserve">CSPs </w:t>
      </w:r>
      <w:r w:rsidR="006439E2">
        <w:rPr>
          <w:rFonts w:ascii="Arial" w:hAnsi="Arial"/>
          <w:szCs w:val="22"/>
        </w:rPr>
        <w:t xml:space="preserve">is </w:t>
      </w:r>
      <w:r w:rsidR="00D665AA" w:rsidRPr="00F07605">
        <w:rPr>
          <w:rFonts w:ascii="Arial" w:hAnsi="Arial"/>
          <w:szCs w:val="22"/>
        </w:rPr>
        <w:t>‘variable’,</w:t>
      </w:r>
      <w:r w:rsidR="006439E2">
        <w:rPr>
          <w:rFonts w:ascii="Arial" w:hAnsi="Arial"/>
          <w:szCs w:val="22"/>
        </w:rPr>
        <w:t xml:space="preserve"> meaning </w:t>
      </w:r>
      <w:r w:rsidR="00D665AA" w:rsidRPr="00F07605">
        <w:rPr>
          <w:rFonts w:ascii="Arial" w:hAnsi="Arial"/>
          <w:szCs w:val="22"/>
        </w:rPr>
        <w:t xml:space="preserve">that </w:t>
      </w:r>
      <w:r w:rsidR="00723D58">
        <w:rPr>
          <w:rFonts w:ascii="Arial" w:hAnsi="Arial"/>
          <w:szCs w:val="22"/>
        </w:rPr>
        <w:t xml:space="preserve">it </w:t>
      </w:r>
      <w:r w:rsidR="00D665AA" w:rsidRPr="00F07605">
        <w:rPr>
          <w:rFonts w:ascii="Arial" w:hAnsi="Arial"/>
          <w:szCs w:val="22"/>
        </w:rPr>
        <w:t>is</w:t>
      </w:r>
      <w:r w:rsidR="006439E2">
        <w:rPr>
          <w:rFonts w:ascii="Arial" w:hAnsi="Arial"/>
          <w:szCs w:val="22"/>
        </w:rPr>
        <w:t xml:space="preserve"> </w:t>
      </w:r>
      <w:r w:rsidR="00D665AA" w:rsidRPr="00F07605">
        <w:rPr>
          <w:rFonts w:ascii="Arial" w:hAnsi="Arial"/>
          <w:szCs w:val="22"/>
        </w:rPr>
        <w:t xml:space="preserve">directly </w:t>
      </w:r>
      <w:r w:rsidR="004E500C">
        <w:rPr>
          <w:rFonts w:ascii="Arial" w:hAnsi="Arial"/>
          <w:szCs w:val="22"/>
        </w:rPr>
        <w:t xml:space="preserve">linked </w:t>
      </w:r>
      <w:r w:rsidR="00D665AA" w:rsidRPr="00F07605">
        <w:rPr>
          <w:rFonts w:ascii="Arial" w:hAnsi="Arial"/>
          <w:szCs w:val="22"/>
        </w:rPr>
        <w:t>t</w:t>
      </w:r>
      <w:r w:rsidR="00D440B1" w:rsidRPr="00F07605">
        <w:rPr>
          <w:rFonts w:ascii="Arial" w:hAnsi="Arial"/>
          <w:szCs w:val="22"/>
        </w:rPr>
        <w:t>o</w:t>
      </w:r>
      <w:r w:rsidR="00D665AA" w:rsidRPr="00F07605">
        <w:rPr>
          <w:rFonts w:ascii="Arial" w:hAnsi="Arial"/>
          <w:szCs w:val="22"/>
        </w:rPr>
        <w:t xml:space="preserve"> eligible student load. </w:t>
      </w:r>
      <w:r w:rsidR="263FEA8B" w:rsidRPr="00F07605">
        <w:rPr>
          <w:rFonts w:ascii="Arial" w:hAnsi="Arial"/>
          <w:szCs w:val="22"/>
        </w:rPr>
        <w:t xml:space="preserve">The ATEC </w:t>
      </w:r>
      <w:r w:rsidR="00D665AA" w:rsidRPr="00F07605">
        <w:rPr>
          <w:rFonts w:ascii="Arial" w:hAnsi="Arial"/>
          <w:szCs w:val="22"/>
        </w:rPr>
        <w:t xml:space="preserve">will </w:t>
      </w:r>
      <w:r w:rsidR="004E500C">
        <w:rPr>
          <w:rFonts w:ascii="Arial" w:hAnsi="Arial"/>
          <w:szCs w:val="22"/>
        </w:rPr>
        <w:t xml:space="preserve">examine whether </w:t>
      </w:r>
      <w:r w:rsidR="00EB174A">
        <w:rPr>
          <w:rFonts w:ascii="Arial" w:hAnsi="Arial"/>
          <w:szCs w:val="22"/>
        </w:rPr>
        <w:t xml:space="preserve">pricing should continue to be predominantly variable or </w:t>
      </w:r>
      <w:r w:rsidR="00EB174A" w:rsidRPr="00D773B1">
        <w:rPr>
          <w:rFonts w:ascii="Arial" w:hAnsi="Arial"/>
          <w:szCs w:val="22"/>
        </w:rPr>
        <w:t xml:space="preserve">adopt a </w:t>
      </w:r>
      <w:r w:rsidR="006C146A" w:rsidRPr="00D773B1">
        <w:rPr>
          <w:rFonts w:ascii="Arial" w:hAnsi="Arial"/>
          <w:szCs w:val="22"/>
        </w:rPr>
        <w:t>‘mixed model’</w:t>
      </w:r>
      <w:r w:rsidR="002404DE" w:rsidRPr="00D773B1">
        <w:rPr>
          <w:rFonts w:ascii="Arial" w:hAnsi="Arial"/>
          <w:szCs w:val="22"/>
        </w:rPr>
        <w:t>,</w:t>
      </w:r>
      <w:r w:rsidR="00EB174A" w:rsidRPr="00D773B1">
        <w:rPr>
          <w:rFonts w:ascii="Arial" w:hAnsi="Arial"/>
          <w:szCs w:val="22"/>
        </w:rPr>
        <w:t xml:space="preserve"> </w:t>
      </w:r>
      <w:r w:rsidR="002404DE" w:rsidRPr="00D773B1">
        <w:rPr>
          <w:rFonts w:ascii="Arial" w:hAnsi="Arial"/>
          <w:szCs w:val="22"/>
        </w:rPr>
        <w:t>in which</w:t>
      </w:r>
      <w:r w:rsidR="00C301C2" w:rsidRPr="00D773B1">
        <w:rPr>
          <w:rFonts w:ascii="Arial" w:hAnsi="Arial"/>
          <w:szCs w:val="22"/>
        </w:rPr>
        <w:t xml:space="preserve"> the suggested per EFTSL </w:t>
      </w:r>
      <w:r w:rsidR="00E55C4A" w:rsidRPr="00D773B1">
        <w:rPr>
          <w:rFonts w:ascii="Arial" w:hAnsi="Arial"/>
          <w:szCs w:val="22"/>
        </w:rPr>
        <w:t xml:space="preserve">pricing </w:t>
      </w:r>
      <w:r w:rsidR="00EF305C" w:rsidRPr="00D773B1">
        <w:rPr>
          <w:rFonts w:ascii="Arial" w:hAnsi="Arial"/>
          <w:szCs w:val="22"/>
        </w:rPr>
        <w:t>(i.e. funding) comprises</w:t>
      </w:r>
      <w:r w:rsidR="00D6132A" w:rsidRPr="00D773B1">
        <w:rPr>
          <w:rFonts w:ascii="Arial" w:hAnsi="Arial"/>
          <w:szCs w:val="22"/>
        </w:rPr>
        <w:t xml:space="preserve"> </w:t>
      </w:r>
      <w:r w:rsidR="00EB174A" w:rsidRPr="00D773B1">
        <w:rPr>
          <w:rFonts w:ascii="Arial" w:hAnsi="Arial"/>
          <w:szCs w:val="22"/>
        </w:rPr>
        <w:t>both fixed and variable components</w:t>
      </w:r>
      <w:r w:rsidR="006C146A" w:rsidRPr="00D773B1">
        <w:rPr>
          <w:rFonts w:ascii="Arial" w:hAnsi="Arial"/>
          <w:szCs w:val="22"/>
        </w:rPr>
        <w:t>.</w:t>
      </w:r>
      <w:r w:rsidR="00C80B80" w:rsidRPr="00D773B1">
        <w:rPr>
          <w:rFonts w:ascii="Arial" w:hAnsi="Arial"/>
          <w:szCs w:val="22"/>
        </w:rPr>
        <w:t xml:space="preserve"> </w:t>
      </w:r>
    </w:p>
    <w:p w14:paraId="62675A78" w14:textId="2C51DAAC" w:rsidR="000A7C41" w:rsidRPr="00D773B1" w:rsidRDefault="000A7C41" w:rsidP="35A423CE">
      <w:pPr>
        <w:rPr>
          <w:rFonts w:ascii="Arial" w:hAnsi="Arial"/>
        </w:rPr>
      </w:pPr>
      <w:r w:rsidRPr="35A423CE">
        <w:rPr>
          <w:rFonts w:ascii="Arial" w:hAnsi="Arial"/>
        </w:rPr>
        <w:t>A</w:t>
      </w:r>
      <w:r w:rsidR="00230392" w:rsidRPr="35A423CE">
        <w:rPr>
          <w:rFonts w:ascii="Arial" w:hAnsi="Arial"/>
        </w:rPr>
        <w:t xml:space="preserve"> model </w:t>
      </w:r>
      <w:r w:rsidRPr="35A423CE">
        <w:rPr>
          <w:rFonts w:ascii="Arial" w:hAnsi="Arial"/>
        </w:rPr>
        <w:t>which</w:t>
      </w:r>
      <w:r w:rsidR="00230392" w:rsidRPr="35A423CE">
        <w:rPr>
          <w:rFonts w:ascii="Arial" w:hAnsi="Arial"/>
        </w:rPr>
        <w:t xml:space="preserve"> </w:t>
      </w:r>
      <w:r w:rsidR="00154446" w:rsidRPr="35A423CE">
        <w:rPr>
          <w:rFonts w:ascii="Arial" w:hAnsi="Arial"/>
        </w:rPr>
        <w:t xml:space="preserve">includes a fixed component </w:t>
      </w:r>
      <w:r w:rsidR="263FEA8B" w:rsidRPr="35A423CE">
        <w:rPr>
          <w:rFonts w:ascii="Arial" w:hAnsi="Arial"/>
        </w:rPr>
        <w:t xml:space="preserve">may </w:t>
      </w:r>
      <w:r w:rsidR="7BDC56AC" w:rsidRPr="35A423CE">
        <w:rPr>
          <w:rFonts w:ascii="Arial" w:hAnsi="Arial"/>
        </w:rPr>
        <w:t xml:space="preserve">be </w:t>
      </w:r>
      <w:r w:rsidR="263FEA8B" w:rsidRPr="35A423CE">
        <w:rPr>
          <w:rFonts w:ascii="Arial" w:hAnsi="Arial"/>
        </w:rPr>
        <w:t>appropriate</w:t>
      </w:r>
      <w:r w:rsidR="00380315" w:rsidRPr="35A423CE">
        <w:rPr>
          <w:rFonts w:ascii="Arial" w:hAnsi="Arial"/>
        </w:rPr>
        <w:t xml:space="preserve"> </w:t>
      </w:r>
      <w:r w:rsidR="263FEA8B" w:rsidRPr="35A423CE">
        <w:rPr>
          <w:rFonts w:ascii="Arial" w:hAnsi="Arial"/>
        </w:rPr>
        <w:t xml:space="preserve">where efficient provision </w:t>
      </w:r>
      <w:r w:rsidR="009D0145" w:rsidRPr="35A423CE">
        <w:rPr>
          <w:rFonts w:ascii="Arial" w:hAnsi="Arial"/>
        </w:rPr>
        <w:t xml:space="preserve">involves </w:t>
      </w:r>
      <w:r w:rsidR="263FEA8B" w:rsidRPr="35A423CE">
        <w:rPr>
          <w:rFonts w:ascii="Arial" w:hAnsi="Arial"/>
        </w:rPr>
        <w:t xml:space="preserve">common or unavoidable costs that </w:t>
      </w:r>
      <w:r w:rsidR="00A313BD" w:rsidRPr="35A423CE">
        <w:rPr>
          <w:rFonts w:ascii="Arial" w:hAnsi="Arial"/>
        </w:rPr>
        <w:t xml:space="preserve">do not vary proportionately </w:t>
      </w:r>
      <w:r w:rsidR="263FEA8B" w:rsidRPr="35A423CE">
        <w:rPr>
          <w:rFonts w:ascii="Arial" w:hAnsi="Arial"/>
        </w:rPr>
        <w:t xml:space="preserve">with student </w:t>
      </w:r>
      <w:r w:rsidR="00A313BD" w:rsidRPr="35A423CE">
        <w:rPr>
          <w:rFonts w:ascii="Arial" w:hAnsi="Arial"/>
        </w:rPr>
        <w:t>load</w:t>
      </w:r>
      <w:r w:rsidR="00AB4F10" w:rsidRPr="35A423CE">
        <w:rPr>
          <w:rFonts w:ascii="Arial" w:hAnsi="Arial"/>
        </w:rPr>
        <w:t xml:space="preserve"> such as</w:t>
      </w:r>
      <w:r w:rsidRPr="35A423CE">
        <w:rPr>
          <w:rFonts w:ascii="Arial" w:hAnsi="Arial"/>
        </w:rPr>
        <w:t xml:space="preserve"> costs of regulatory compliance and basic corporate overheads</w:t>
      </w:r>
      <w:r w:rsidR="00A313BD" w:rsidRPr="35A423CE">
        <w:rPr>
          <w:rFonts w:ascii="Arial" w:hAnsi="Arial"/>
        </w:rPr>
        <w:t>.</w:t>
      </w:r>
      <w:r w:rsidR="05C7D7A5" w:rsidRPr="35A423CE">
        <w:rPr>
          <w:rFonts w:ascii="Arial" w:hAnsi="Arial"/>
        </w:rPr>
        <w:t xml:space="preserve"> A </w:t>
      </w:r>
      <w:r w:rsidR="00F009CF" w:rsidRPr="35A423CE">
        <w:rPr>
          <w:rFonts w:ascii="Arial" w:hAnsi="Arial"/>
        </w:rPr>
        <w:t xml:space="preserve">fixed component </w:t>
      </w:r>
      <w:r w:rsidR="05C7D7A5" w:rsidRPr="35A423CE">
        <w:rPr>
          <w:rFonts w:ascii="Arial" w:hAnsi="Arial"/>
        </w:rPr>
        <w:t xml:space="preserve">would </w:t>
      </w:r>
      <w:r w:rsidR="00F009CF" w:rsidRPr="35A423CE">
        <w:rPr>
          <w:rFonts w:ascii="Arial" w:hAnsi="Arial"/>
        </w:rPr>
        <w:t xml:space="preserve">only </w:t>
      </w:r>
      <w:r w:rsidR="05C7D7A5" w:rsidRPr="35A423CE">
        <w:rPr>
          <w:rFonts w:ascii="Arial" w:hAnsi="Arial"/>
        </w:rPr>
        <w:t xml:space="preserve">be included where </w:t>
      </w:r>
      <w:r w:rsidR="00711C5A" w:rsidRPr="35A423CE">
        <w:rPr>
          <w:rFonts w:ascii="Arial" w:hAnsi="Arial"/>
        </w:rPr>
        <w:t xml:space="preserve">these </w:t>
      </w:r>
      <w:r w:rsidR="05C7D7A5" w:rsidRPr="35A423CE">
        <w:rPr>
          <w:rFonts w:ascii="Arial" w:hAnsi="Arial"/>
        </w:rPr>
        <w:t>cost</w:t>
      </w:r>
      <w:r w:rsidR="00711C5A" w:rsidRPr="35A423CE">
        <w:rPr>
          <w:rFonts w:ascii="Arial" w:hAnsi="Arial"/>
        </w:rPr>
        <w:t xml:space="preserve">s are </w:t>
      </w:r>
      <w:r w:rsidR="05C7D7A5" w:rsidRPr="35A423CE">
        <w:rPr>
          <w:rFonts w:ascii="Arial" w:hAnsi="Arial"/>
        </w:rPr>
        <w:t>material, measurable, efficiently incurred and not recognised elsewhere.</w:t>
      </w:r>
      <w:r w:rsidR="00D506B9" w:rsidRPr="35A423CE">
        <w:rPr>
          <w:rFonts w:ascii="Arial" w:hAnsi="Arial"/>
        </w:rPr>
        <w:t xml:space="preserve"> </w:t>
      </w:r>
      <w:r w:rsidRPr="35A423CE">
        <w:rPr>
          <w:rFonts w:ascii="Arial" w:hAnsi="Arial"/>
        </w:rPr>
        <w:t xml:space="preserve">A ‘stepped’ approach might also be considered where the ‘fixed’ component </w:t>
      </w:r>
      <w:r w:rsidR="003D5C26" w:rsidRPr="35A423CE">
        <w:rPr>
          <w:rFonts w:ascii="Arial" w:hAnsi="Arial"/>
        </w:rPr>
        <w:t xml:space="preserve">may </w:t>
      </w:r>
      <w:r w:rsidRPr="35A423CE">
        <w:rPr>
          <w:rFonts w:ascii="Arial" w:hAnsi="Arial"/>
        </w:rPr>
        <w:t>reflect differences across different institutional size ranges.</w:t>
      </w:r>
    </w:p>
    <w:p w14:paraId="2779C77C" w14:textId="410EC73F" w:rsidR="00977707" w:rsidRPr="00D773B1" w:rsidRDefault="00977707" w:rsidP="5B1C5E46">
      <w:pPr>
        <w:rPr>
          <w:rFonts w:ascii="Arial" w:hAnsi="Arial"/>
          <w:szCs w:val="22"/>
        </w:rPr>
      </w:pPr>
      <w:r w:rsidRPr="00D773B1">
        <w:rPr>
          <w:rFonts w:ascii="Arial" w:hAnsi="Arial"/>
          <w:szCs w:val="22"/>
        </w:rPr>
        <w:t>T</w:t>
      </w:r>
      <w:r w:rsidRPr="00D773B1">
        <w:rPr>
          <w:rFonts w:ascii="Arial" w:hAnsi="Arial"/>
        </w:rPr>
        <w:t>he variable componen</w:t>
      </w:r>
      <w:r w:rsidR="00647995" w:rsidRPr="00D773B1">
        <w:rPr>
          <w:rFonts w:ascii="Arial" w:hAnsi="Arial"/>
        </w:rPr>
        <w:t xml:space="preserve">t </w:t>
      </w:r>
      <w:r w:rsidR="00C13162" w:rsidRPr="00D773B1">
        <w:rPr>
          <w:rFonts w:ascii="Arial" w:hAnsi="Arial"/>
        </w:rPr>
        <w:t xml:space="preserve">would </w:t>
      </w:r>
      <w:r w:rsidR="00FB4FFC" w:rsidRPr="00D773B1">
        <w:t xml:space="preserve">vary directly with the number of EFTSL and </w:t>
      </w:r>
      <w:r w:rsidR="00C13162" w:rsidRPr="00D773B1">
        <w:rPr>
          <w:rFonts w:ascii="Arial" w:hAnsi="Arial"/>
        </w:rPr>
        <w:t xml:space="preserve">would </w:t>
      </w:r>
      <w:r w:rsidRPr="00D773B1">
        <w:rPr>
          <w:rFonts w:ascii="Arial" w:hAnsi="Arial"/>
        </w:rPr>
        <w:t xml:space="preserve">change according to measurable </w:t>
      </w:r>
      <w:r w:rsidR="00E12DC8" w:rsidRPr="00D773B1">
        <w:rPr>
          <w:rFonts w:ascii="Arial" w:hAnsi="Arial"/>
        </w:rPr>
        <w:t xml:space="preserve">cost </w:t>
      </w:r>
      <w:r w:rsidRPr="00D773B1">
        <w:rPr>
          <w:rFonts w:ascii="Arial" w:hAnsi="Arial"/>
        </w:rPr>
        <w:t>drivers such as student numbers</w:t>
      </w:r>
      <w:r w:rsidR="00454C4D" w:rsidRPr="00D773B1">
        <w:rPr>
          <w:rFonts w:ascii="Arial" w:hAnsi="Arial"/>
        </w:rPr>
        <w:t xml:space="preserve"> and </w:t>
      </w:r>
      <w:r w:rsidRPr="00D773B1">
        <w:rPr>
          <w:rFonts w:ascii="Arial" w:hAnsi="Arial"/>
        </w:rPr>
        <w:t>enrolment load</w:t>
      </w:r>
      <w:r w:rsidR="00107C3F" w:rsidRPr="00D773B1">
        <w:rPr>
          <w:rFonts w:ascii="Arial" w:hAnsi="Arial"/>
        </w:rPr>
        <w:t>, allowing funding to respond to actual volume</w:t>
      </w:r>
      <w:r w:rsidR="007708D0" w:rsidRPr="00D773B1">
        <w:rPr>
          <w:rFonts w:ascii="Arial" w:hAnsi="Arial"/>
        </w:rPr>
        <w:t xml:space="preserve"> and </w:t>
      </w:r>
      <w:r w:rsidR="00447E90" w:rsidRPr="00D773B1">
        <w:rPr>
          <w:rFonts w:ascii="Arial" w:hAnsi="Arial"/>
        </w:rPr>
        <w:t xml:space="preserve">associated </w:t>
      </w:r>
      <w:r w:rsidR="007708D0" w:rsidRPr="00D773B1">
        <w:rPr>
          <w:rFonts w:ascii="Arial" w:hAnsi="Arial"/>
        </w:rPr>
        <w:t>costs</w:t>
      </w:r>
      <w:r w:rsidR="00107C3F" w:rsidRPr="00D773B1">
        <w:rPr>
          <w:rFonts w:ascii="Arial" w:hAnsi="Arial"/>
        </w:rPr>
        <w:t>.</w:t>
      </w:r>
    </w:p>
    <w:p w14:paraId="5F94BA29" w14:textId="1B7BF7D2" w:rsidR="00476935" w:rsidRDefault="00D506B9" w:rsidP="5B1C5E46">
      <w:pPr>
        <w:rPr>
          <w:rFonts w:ascii="Arial" w:hAnsi="Arial"/>
          <w:szCs w:val="22"/>
        </w:rPr>
      </w:pPr>
      <w:r w:rsidRPr="00D773B1">
        <w:rPr>
          <w:rFonts w:ascii="Arial" w:hAnsi="Arial"/>
          <w:szCs w:val="22"/>
        </w:rPr>
        <w:lastRenderedPageBreak/>
        <w:t xml:space="preserve">This </w:t>
      </w:r>
      <w:r w:rsidR="00E72B34" w:rsidRPr="00D773B1">
        <w:rPr>
          <w:rFonts w:ascii="Arial" w:hAnsi="Arial"/>
          <w:szCs w:val="22"/>
        </w:rPr>
        <w:t xml:space="preserve">approach </w:t>
      </w:r>
      <w:r w:rsidRPr="00D773B1">
        <w:rPr>
          <w:rFonts w:ascii="Arial" w:hAnsi="Arial"/>
          <w:szCs w:val="22"/>
        </w:rPr>
        <w:t xml:space="preserve">may advantage smaller universities by recognising that they </w:t>
      </w:r>
      <w:r w:rsidR="00EF1174" w:rsidRPr="00D773B1">
        <w:rPr>
          <w:rFonts w:ascii="Arial" w:hAnsi="Arial"/>
          <w:szCs w:val="22"/>
        </w:rPr>
        <w:t>must</w:t>
      </w:r>
      <w:r w:rsidRPr="00D773B1">
        <w:rPr>
          <w:rFonts w:ascii="Arial" w:hAnsi="Arial"/>
          <w:szCs w:val="22"/>
        </w:rPr>
        <w:t xml:space="preserve"> provide certain activities common across all universities but have fewer students - over which these costs can be shared</w:t>
      </w:r>
      <w:r w:rsidR="00FE37D2" w:rsidRPr="00D773B1">
        <w:rPr>
          <w:rFonts w:ascii="Arial" w:hAnsi="Arial"/>
          <w:szCs w:val="22"/>
        </w:rPr>
        <w:t>.</w:t>
      </w:r>
      <w:r w:rsidR="00FE37D2">
        <w:rPr>
          <w:rFonts w:ascii="Arial" w:hAnsi="Arial"/>
          <w:szCs w:val="22"/>
        </w:rPr>
        <w:t xml:space="preserve"> </w:t>
      </w:r>
    </w:p>
    <w:p w14:paraId="663A5F83" w14:textId="5A307A35" w:rsidR="00CA7FCB" w:rsidRPr="00F07605" w:rsidRDefault="00CA7FCB" w:rsidP="5B1C5E46">
      <w:pPr>
        <w:rPr>
          <w:rFonts w:ascii="Arial" w:hAnsi="Arial"/>
        </w:rPr>
      </w:pPr>
      <w:r w:rsidRPr="00B77029">
        <w:rPr>
          <w:rFonts w:ascii="Arial" w:hAnsi="Arial"/>
          <w:szCs w:val="22"/>
        </w:rPr>
        <w:t>Should the evidence support a mixed model</w:t>
      </w:r>
      <w:r w:rsidR="00FF14B9">
        <w:rPr>
          <w:rFonts w:ascii="Arial" w:hAnsi="Arial"/>
          <w:szCs w:val="22"/>
        </w:rPr>
        <w:t xml:space="preserve"> of funding</w:t>
      </w:r>
      <w:r w:rsidRPr="00B77029">
        <w:rPr>
          <w:rFonts w:ascii="Arial" w:hAnsi="Arial"/>
          <w:szCs w:val="22"/>
        </w:rPr>
        <w:t>, the ATEC would need to consider its scope, including whether it should apply universally or only where there is evidence of material fixed costs that are not adequately recognised</w:t>
      </w:r>
      <w:r>
        <w:rPr>
          <w:rFonts w:ascii="Arial" w:hAnsi="Arial"/>
          <w:szCs w:val="22"/>
        </w:rPr>
        <w:t>.</w:t>
      </w:r>
      <w:r w:rsidR="00CF3202">
        <w:rPr>
          <w:rFonts w:ascii="Arial" w:hAnsi="Arial"/>
          <w:szCs w:val="22"/>
        </w:rPr>
        <w:t xml:space="preserve"> </w:t>
      </w:r>
    </w:p>
    <w:p w14:paraId="38C0DF62" w14:textId="048DC952" w:rsidR="00476935" w:rsidRPr="00F07605" w:rsidRDefault="00FC72F9" w:rsidP="00476935">
      <w:pPr>
        <w:pStyle w:val="Heading2"/>
      </w:pPr>
      <w:bookmarkStart w:id="29" w:name="_Toc239680557"/>
      <w:r>
        <w:t xml:space="preserve">Australian Universities </w:t>
      </w:r>
      <w:r w:rsidR="004D220C">
        <w:t>C</w:t>
      </w:r>
      <w:r>
        <w:t>osts Dataset</w:t>
      </w:r>
      <w:bookmarkEnd w:id="29"/>
    </w:p>
    <w:p w14:paraId="1F9BE251" w14:textId="3DDC0BA8" w:rsidR="004D220C" w:rsidRDefault="004D220C" w:rsidP="18912DBF">
      <w:pPr>
        <w:rPr>
          <w:rFonts w:ascii="Arial" w:hAnsi="Arial"/>
        </w:rPr>
      </w:pPr>
      <w:r w:rsidRPr="004D220C">
        <w:rPr>
          <w:rFonts w:ascii="Arial" w:hAnsi="Arial"/>
        </w:rPr>
        <w:t xml:space="preserve">All universities will be invited to participate in the </w:t>
      </w:r>
      <w:r w:rsidRPr="00F07605">
        <w:rPr>
          <w:rFonts w:ascii="Arial" w:hAnsi="Arial"/>
        </w:rPr>
        <w:t>Australian Universities Costs Dataset (AUCD)</w:t>
      </w:r>
      <w:r w:rsidRPr="004D220C">
        <w:rPr>
          <w:rFonts w:ascii="Arial" w:hAnsi="Arial"/>
        </w:rPr>
        <w:t xml:space="preserve">. In line with the principle of </w:t>
      </w:r>
      <w:r w:rsidRPr="004D220C">
        <w:rPr>
          <w:rFonts w:ascii="Arial" w:hAnsi="Arial"/>
          <w:i/>
          <w:iCs/>
        </w:rPr>
        <w:t>administrative ease</w:t>
      </w:r>
      <w:r w:rsidRPr="004D220C">
        <w:rPr>
          <w:rFonts w:ascii="Arial" w:hAnsi="Arial"/>
        </w:rPr>
        <w:t xml:space="preserve">, </w:t>
      </w:r>
      <w:r>
        <w:rPr>
          <w:rFonts w:ascii="Arial" w:hAnsi="Arial"/>
        </w:rPr>
        <w:t xml:space="preserve">it </w:t>
      </w:r>
      <w:r w:rsidRPr="004D220C">
        <w:rPr>
          <w:rFonts w:ascii="Arial" w:hAnsi="Arial"/>
        </w:rPr>
        <w:t>is expected that only universities with robust internal costing systems will participate. University participation will be voluntary</w:t>
      </w:r>
      <w:r w:rsidR="00A478BC">
        <w:rPr>
          <w:rFonts w:ascii="Arial" w:hAnsi="Arial"/>
        </w:rPr>
        <w:t>,</w:t>
      </w:r>
      <w:r w:rsidRPr="004D220C">
        <w:rPr>
          <w:rFonts w:ascii="Arial" w:hAnsi="Arial"/>
        </w:rPr>
        <w:t xml:space="preserve"> and </w:t>
      </w:r>
      <w:r>
        <w:rPr>
          <w:rFonts w:ascii="Arial" w:hAnsi="Arial"/>
        </w:rPr>
        <w:t xml:space="preserve">a </w:t>
      </w:r>
      <w:r w:rsidRPr="004D220C">
        <w:rPr>
          <w:rFonts w:ascii="Arial" w:hAnsi="Arial"/>
        </w:rPr>
        <w:t>universit</w:t>
      </w:r>
      <w:r>
        <w:rPr>
          <w:rFonts w:ascii="Arial" w:hAnsi="Arial"/>
        </w:rPr>
        <w:t>y’s individual data</w:t>
      </w:r>
      <w:r w:rsidRPr="004D220C">
        <w:rPr>
          <w:rFonts w:ascii="Arial" w:hAnsi="Arial"/>
        </w:rPr>
        <w:t xml:space="preserve"> will not be identified in any public reporting, nor outside the </w:t>
      </w:r>
      <w:r>
        <w:rPr>
          <w:rFonts w:ascii="Arial" w:hAnsi="Arial"/>
        </w:rPr>
        <w:t>ATEC’s</w:t>
      </w:r>
      <w:r w:rsidRPr="004D220C">
        <w:rPr>
          <w:rFonts w:ascii="Arial" w:hAnsi="Arial"/>
        </w:rPr>
        <w:t xml:space="preserve"> costing and pricing team</w:t>
      </w:r>
      <w:r w:rsidR="005A4658">
        <w:rPr>
          <w:rFonts w:ascii="Arial" w:hAnsi="Arial"/>
        </w:rPr>
        <w:t xml:space="preserve"> and the Commissioner overseeing this work</w:t>
      </w:r>
      <w:r>
        <w:rPr>
          <w:rFonts w:ascii="Arial" w:hAnsi="Arial"/>
        </w:rPr>
        <w:t>.</w:t>
      </w:r>
    </w:p>
    <w:p w14:paraId="1784D8A5" w14:textId="581357EE" w:rsidR="00644406" w:rsidRPr="00644406" w:rsidRDefault="00F56135" w:rsidP="00644406">
      <w:pPr>
        <w:rPr>
          <w:rFonts w:ascii="Arial" w:hAnsi="Arial"/>
        </w:rPr>
      </w:pPr>
      <w:r>
        <w:rPr>
          <w:rFonts w:ascii="Arial" w:hAnsi="Arial"/>
        </w:rPr>
        <w:t>The AUCD</w:t>
      </w:r>
      <w:r w:rsidR="00644406" w:rsidRPr="00644406">
        <w:t xml:space="preserve"> </w:t>
      </w:r>
      <w:r w:rsidR="00644406" w:rsidRPr="00644406">
        <w:rPr>
          <w:rFonts w:ascii="Arial" w:hAnsi="Arial"/>
        </w:rPr>
        <w:t xml:space="preserve">has three key features </w:t>
      </w:r>
      <w:r w:rsidR="00644406">
        <w:rPr>
          <w:rFonts w:ascii="Arial" w:hAnsi="Arial"/>
        </w:rPr>
        <w:t xml:space="preserve">that </w:t>
      </w:r>
      <w:r w:rsidR="00644406" w:rsidRPr="00644406">
        <w:rPr>
          <w:rFonts w:ascii="Arial" w:hAnsi="Arial"/>
        </w:rPr>
        <w:t>improve on previous efforts to gather evidence on the cost of higher education deliver</w:t>
      </w:r>
      <w:r w:rsidR="00644406">
        <w:rPr>
          <w:rFonts w:ascii="Arial" w:hAnsi="Arial"/>
        </w:rPr>
        <w:t>y</w:t>
      </w:r>
      <w:r w:rsidR="00644406" w:rsidRPr="00644406">
        <w:rPr>
          <w:rFonts w:ascii="Arial" w:hAnsi="Arial"/>
        </w:rPr>
        <w:t>.</w:t>
      </w:r>
      <w:r w:rsidR="00644406">
        <w:rPr>
          <w:rFonts w:ascii="Arial" w:hAnsi="Arial"/>
        </w:rPr>
        <w:t xml:space="preserve"> These are:</w:t>
      </w:r>
    </w:p>
    <w:p w14:paraId="2E3BF4FD" w14:textId="2DE3D304" w:rsidR="00644406" w:rsidRPr="00B52B2C" w:rsidRDefault="00644406" w:rsidP="00B52B2C">
      <w:pPr>
        <w:pStyle w:val="ListParagraph"/>
        <w:numPr>
          <w:ilvl w:val="0"/>
          <w:numId w:val="70"/>
        </w:numPr>
        <w:rPr>
          <w:rFonts w:ascii="Arial" w:hAnsi="Arial"/>
        </w:rPr>
      </w:pPr>
      <w:r w:rsidRPr="00B52B2C">
        <w:rPr>
          <w:rFonts w:ascii="Arial" w:hAnsi="Arial"/>
        </w:rPr>
        <w:t>Granularity: Teaching activity data will be captured at the unit-of-study level. For each unit-of-study, information will be collected on contextual and activity details, revenue and expenditure.</w:t>
      </w:r>
      <w:r w:rsidR="00100000" w:rsidRPr="00B52B2C">
        <w:rPr>
          <w:rFonts w:ascii="Arial" w:hAnsi="Arial"/>
        </w:rPr>
        <w:t xml:space="preserve"> </w:t>
      </w:r>
      <w:r w:rsidRPr="00B52B2C">
        <w:rPr>
          <w:rFonts w:ascii="Arial" w:hAnsi="Arial"/>
        </w:rPr>
        <w:t xml:space="preserve">This level of detail will allow the ATEC to examine differences in delivery costs that may be obscured in data aggregated across broad </w:t>
      </w:r>
      <w:proofErr w:type="spellStart"/>
      <w:r w:rsidR="00207DFD">
        <w:rPr>
          <w:rFonts w:ascii="Arial" w:hAnsi="Arial"/>
        </w:rPr>
        <w:t>FoEs</w:t>
      </w:r>
      <w:proofErr w:type="spellEnd"/>
      <w:r w:rsidRPr="00B52B2C">
        <w:rPr>
          <w:rFonts w:ascii="Arial" w:hAnsi="Arial"/>
        </w:rPr>
        <w:t xml:space="preserve"> or whole institutions. It will provide a stronger basis for developing pricing advice from observed differences in the costs of higher education delivery.</w:t>
      </w:r>
    </w:p>
    <w:p w14:paraId="04019B92" w14:textId="77777777" w:rsidR="00F47299" w:rsidRDefault="00644406" w:rsidP="00644406">
      <w:pPr>
        <w:pStyle w:val="ListParagraph"/>
        <w:numPr>
          <w:ilvl w:val="0"/>
          <w:numId w:val="70"/>
        </w:numPr>
        <w:rPr>
          <w:rFonts w:ascii="Arial" w:hAnsi="Arial"/>
        </w:rPr>
      </w:pPr>
      <w:r w:rsidRPr="00B52B2C">
        <w:rPr>
          <w:rFonts w:ascii="Arial" w:hAnsi="Arial"/>
        </w:rPr>
        <w:t>Methodological transparency</w:t>
      </w:r>
      <w:r w:rsidR="00100000" w:rsidRPr="00B52B2C">
        <w:rPr>
          <w:rFonts w:ascii="Arial" w:hAnsi="Arial"/>
        </w:rPr>
        <w:t>:</w:t>
      </w:r>
      <w:r w:rsidR="00901EE4" w:rsidRPr="00B52B2C">
        <w:rPr>
          <w:rFonts w:ascii="Arial" w:hAnsi="Arial"/>
        </w:rPr>
        <w:t xml:space="preserve"> </w:t>
      </w:r>
      <w:r w:rsidRPr="00B52B2C">
        <w:rPr>
          <w:rFonts w:ascii="Arial" w:hAnsi="Arial"/>
        </w:rPr>
        <w:t xml:space="preserve">Universities differ in their financial systems, organisational structures, costing models and the information available to support cost allocation. To assist the ATEC distinguish </w:t>
      </w:r>
      <w:r w:rsidR="00090E37" w:rsidRPr="00B52B2C">
        <w:rPr>
          <w:rFonts w:ascii="Arial" w:hAnsi="Arial"/>
        </w:rPr>
        <w:t xml:space="preserve">material </w:t>
      </w:r>
      <w:r w:rsidRPr="00B52B2C">
        <w:rPr>
          <w:rFonts w:ascii="Arial" w:hAnsi="Arial"/>
        </w:rPr>
        <w:t>differences in delivery costs from differences caused by accounting classification and allocation methodologies, universities will be expected to provide a summary of their allocation methodology, and key datasets and cost drivers used.</w:t>
      </w:r>
    </w:p>
    <w:p w14:paraId="581E93D0" w14:textId="574F0513" w:rsidR="008517D3" w:rsidRDefault="00644406" w:rsidP="008517D3">
      <w:pPr>
        <w:pStyle w:val="ListParagraph"/>
        <w:numPr>
          <w:ilvl w:val="0"/>
          <w:numId w:val="70"/>
        </w:numPr>
        <w:rPr>
          <w:rFonts w:ascii="Arial" w:hAnsi="Arial"/>
        </w:rPr>
      </w:pPr>
      <w:r w:rsidRPr="00B52B2C">
        <w:rPr>
          <w:rFonts w:ascii="Arial" w:hAnsi="Arial"/>
        </w:rPr>
        <w:t>Whole-of-institution coverage, reconciliation and cross-subsidisation</w:t>
      </w:r>
      <w:r w:rsidR="007540CF" w:rsidRPr="00B52B2C">
        <w:rPr>
          <w:rFonts w:ascii="Arial" w:hAnsi="Arial"/>
        </w:rPr>
        <w:t xml:space="preserve">: </w:t>
      </w:r>
      <w:r w:rsidRPr="00B52B2C">
        <w:rPr>
          <w:rFonts w:ascii="Arial" w:hAnsi="Arial"/>
        </w:rPr>
        <w:t xml:space="preserve">In addition to detailed information on teaching, universities will </w:t>
      </w:r>
      <w:r w:rsidR="008F5505">
        <w:rPr>
          <w:rFonts w:ascii="Arial" w:hAnsi="Arial"/>
        </w:rPr>
        <w:t xml:space="preserve">be asked to provide information </w:t>
      </w:r>
      <w:r w:rsidRPr="00B52B2C">
        <w:rPr>
          <w:rFonts w:ascii="Arial" w:hAnsi="Arial"/>
        </w:rPr>
        <w:t>on other activities, albeit at a more aggregated level. This whole-of-institution approach provides an internal consistency check, helping to identify omissions and duplication. It also promotes balanced allocation across activities, as expenditure attributed to teaching cannot simultaneously be attributed to another university activity</w:t>
      </w:r>
      <w:r w:rsidR="00F47299">
        <w:rPr>
          <w:rFonts w:ascii="Arial" w:hAnsi="Arial"/>
        </w:rPr>
        <w:t xml:space="preserve">. </w:t>
      </w:r>
    </w:p>
    <w:p w14:paraId="6AE92FC5" w14:textId="6F70DEC1" w:rsidR="0069777F" w:rsidRPr="00F07605" w:rsidRDefault="3B0CE100" w:rsidP="18912DBF">
      <w:pPr>
        <w:rPr>
          <w:rFonts w:ascii="Arial" w:hAnsi="Arial"/>
        </w:rPr>
      </w:pPr>
      <w:r w:rsidRPr="00F07605">
        <w:rPr>
          <w:rFonts w:ascii="Arial" w:hAnsi="Arial"/>
        </w:rPr>
        <w:t>The choice between a predominantly variable model and a mixed model will be informed by</w:t>
      </w:r>
      <w:r w:rsidRPr="00F07605" w:rsidDel="004D220C">
        <w:rPr>
          <w:rFonts w:ascii="Arial" w:hAnsi="Arial"/>
        </w:rPr>
        <w:t xml:space="preserve"> </w:t>
      </w:r>
      <w:r w:rsidR="004D220C">
        <w:rPr>
          <w:rFonts w:ascii="Arial" w:hAnsi="Arial"/>
        </w:rPr>
        <w:t>the AUCD</w:t>
      </w:r>
      <w:r w:rsidRPr="00F07605">
        <w:rPr>
          <w:rFonts w:ascii="Arial" w:hAnsi="Arial"/>
        </w:rPr>
        <w:t xml:space="preserve">. The </w:t>
      </w:r>
      <w:r w:rsidR="6B4E1C7E" w:rsidRPr="00F07605">
        <w:rPr>
          <w:rFonts w:ascii="Arial" w:hAnsi="Arial"/>
        </w:rPr>
        <w:t>AUCD</w:t>
      </w:r>
      <w:r w:rsidRPr="00F07605">
        <w:rPr>
          <w:rFonts w:ascii="Arial" w:hAnsi="Arial"/>
        </w:rPr>
        <w:t xml:space="preserve"> will comprise </w:t>
      </w:r>
      <w:r w:rsidR="0056175B">
        <w:rPr>
          <w:rFonts w:ascii="Arial" w:hAnsi="Arial"/>
        </w:rPr>
        <w:t xml:space="preserve">of </w:t>
      </w:r>
      <w:r w:rsidRPr="00F07605">
        <w:rPr>
          <w:rFonts w:ascii="Arial" w:hAnsi="Arial"/>
        </w:rPr>
        <w:t xml:space="preserve">standardised </w:t>
      </w:r>
      <w:r w:rsidR="00785737">
        <w:rPr>
          <w:rFonts w:ascii="Arial" w:hAnsi="Arial"/>
        </w:rPr>
        <w:t xml:space="preserve">revenue, </w:t>
      </w:r>
      <w:r w:rsidRPr="00F07605">
        <w:rPr>
          <w:rFonts w:ascii="Arial" w:hAnsi="Arial"/>
        </w:rPr>
        <w:t>expenditure and activity</w:t>
      </w:r>
      <w:r w:rsidR="00B57D09">
        <w:rPr>
          <w:rFonts w:ascii="Arial" w:hAnsi="Arial"/>
        </w:rPr>
        <w:t xml:space="preserve"> </w:t>
      </w:r>
      <w:r w:rsidRPr="00F07605">
        <w:rPr>
          <w:rFonts w:ascii="Arial" w:hAnsi="Arial"/>
        </w:rPr>
        <w:t>information</w:t>
      </w:r>
      <w:r w:rsidR="00FC7AD8">
        <w:rPr>
          <w:rFonts w:ascii="Arial" w:hAnsi="Arial"/>
        </w:rPr>
        <w:t xml:space="preserve"> </w:t>
      </w:r>
      <w:r w:rsidRPr="00F07605">
        <w:rPr>
          <w:rFonts w:ascii="Arial" w:hAnsi="Arial"/>
        </w:rPr>
        <w:t xml:space="preserve">from participating universities and </w:t>
      </w:r>
      <w:r w:rsidR="00B57D09">
        <w:rPr>
          <w:rFonts w:ascii="Arial" w:hAnsi="Arial"/>
        </w:rPr>
        <w:t xml:space="preserve">provide </w:t>
      </w:r>
      <w:r w:rsidRPr="00F07605">
        <w:rPr>
          <w:rFonts w:ascii="Arial" w:hAnsi="Arial"/>
        </w:rPr>
        <w:t xml:space="preserve">the primary evidence base for analysing teaching and scholarship costs, assessing cost drivers and developing pricing advice. </w:t>
      </w:r>
    </w:p>
    <w:p w14:paraId="26F0EB46" w14:textId="4160F907" w:rsidR="00D27EBB" w:rsidRDefault="00253574" w:rsidP="00476935">
      <w:r>
        <w:t xml:space="preserve">The data will reflect </w:t>
      </w:r>
      <w:r w:rsidR="00DE7013" w:rsidRPr="00F07605">
        <w:t xml:space="preserve">contemporary </w:t>
      </w:r>
      <w:r>
        <w:t xml:space="preserve">university delivery </w:t>
      </w:r>
      <w:r w:rsidR="00DE7013" w:rsidRPr="00F07605">
        <w:t xml:space="preserve">approaches to </w:t>
      </w:r>
      <w:r w:rsidR="00E332A1">
        <w:t xml:space="preserve">delivering </w:t>
      </w:r>
      <w:r w:rsidR="00DE7013" w:rsidRPr="00F07605">
        <w:t xml:space="preserve">teaching and </w:t>
      </w:r>
      <w:r w:rsidR="00E332A1">
        <w:t>supporting</w:t>
      </w:r>
      <w:r w:rsidR="00DE7013" w:rsidRPr="00F07605">
        <w:t xml:space="preserve"> scholarship</w:t>
      </w:r>
      <w:r w:rsidR="009A3908">
        <w:t xml:space="preserve"> and will incorporate an understanding of university costing </w:t>
      </w:r>
      <w:r w:rsidR="00350439">
        <w:t xml:space="preserve">methodologies </w:t>
      </w:r>
      <w:r w:rsidR="009A3908">
        <w:t xml:space="preserve">to support consistent comparison and interpretation of results </w:t>
      </w:r>
      <w:r w:rsidR="000126B1">
        <w:t>across providers</w:t>
      </w:r>
      <w:r w:rsidR="009A3908">
        <w:t>.</w:t>
      </w:r>
      <w:r w:rsidR="00EA7FA3">
        <w:t xml:space="preserve"> The AUCD methodology will need to be adaptable as delivery practices, technologies and institutional arrangements change.</w:t>
      </w:r>
      <w:r w:rsidR="00B71ACD">
        <w:t xml:space="preserve"> Data requirements will seek to balance analytical detail with reporting burden.</w:t>
      </w:r>
    </w:p>
    <w:p w14:paraId="4CDB04A7" w14:textId="21B2DD6E" w:rsidR="00DC5E99" w:rsidRDefault="001756AC" w:rsidP="00DC5E99">
      <w:r w:rsidRPr="001756AC">
        <w:t xml:space="preserve">The robustness of the AUCD will depend on participation from a sufficiently representative range of universities. If </w:t>
      </w:r>
      <w:r w:rsidR="00F31A87">
        <w:t>overall</w:t>
      </w:r>
      <w:r w:rsidRPr="001756AC">
        <w:t xml:space="preserve"> participation is limited, the ATEC may </w:t>
      </w:r>
      <w:r w:rsidR="00CD0908">
        <w:t>require</w:t>
      </w:r>
      <w:r w:rsidRPr="001756AC">
        <w:t xml:space="preserve"> alternative analytical approaches</w:t>
      </w:r>
      <w:r w:rsidR="00542C02">
        <w:t xml:space="preserve"> or</w:t>
      </w:r>
      <w:r w:rsidRPr="001756AC">
        <w:t xml:space="preserve"> additional data sources </w:t>
      </w:r>
      <w:r w:rsidR="008A33B9">
        <w:t>as</w:t>
      </w:r>
      <w:r w:rsidRPr="001756AC">
        <w:t xml:space="preserve"> </w:t>
      </w:r>
      <w:r w:rsidR="0002189C">
        <w:t xml:space="preserve">participants </w:t>
      </w:r>
      <w:r w:rsidR="004D220C">
        <w:t>will</w:t>
      </w:r>
      <w:r w:rsidR="00021EAF">
        <w:t xml:space="preserve"> initially be limited by </w:t>
      </w:r>
      <w:r w:rsidR="0002189C">
        <w:t xml:space="preserve">current </w:t>
      </w:r>
      <w:r w:rsidR="00021EAF">
        <w:t xml:space="preserve">institutional </w:t>
      </w:r>
      <w:r w:rsidR="00021EAF">
        <w:lastRenderedPageBreak/>
        <w:t>data capabilities</w:t>
      </w:r>
      <w:r w:rsidR="00735DFA">
        <w:t xml:space="preserve">. </w:t>
      </w:r>
      <w:r w:rsidR="00DC5E99" w:rsidRPr="00F07605">
        <w:t xml:space="preserve">The ATEC will work </w:t>
      </w:r>
      <w:r w:rsidR="00735DFA">
        <w:t>to expand the AUCD over time. Detailed collection</w:t>
      </w:r>
      <w:r w:rsidR="00EB6091">
        <w:t>, governance</w:t>
      </w:r>
      <w:r w:rsidR="004664E9">
        <w:t>, privacy, confidentiality and assurance arrangements will be developed separately.</w:t>
      </w:r>
    </w:p>
    <w:p w14:paraId="39A408E8" w14:textId="00900D98" w:rsidR="00237572" w:rsidRPr="00F07605" w:rsidRDefault="004D220C" w:rsidP="00546E6B">
      <w:r>
        <w:t xml:space="preserve">The ATEC </w:t>
      </w:r>
      <w:r w:rsidR="004B01F4">
        <w:t>w</w:t>
      </w:r>
      <w:r w:rsidRPr="004D220C">
        <w:t xml:space="preserve">ill initially aim for about </w:t>
      </w:r>
      <w:r>
        <w:t>15-</w:t>
      </w:r>
      <w:r w:rsidRPr="004D220C">
        <w:t>20 universities to participate, reflecting a representative range of universities, and accounting for a significant proportion of enrolments</w:t>
      </w:r>
      <w:r>
        <w:t>.</w:t>
      </w:r>
      <w:r w:rsidR="00237572">
        <w:t xml:space="preserve"> </w:t>
      </w:r>
      <w:r w:rsidR="005A3EA2">
        <w:t xml:space="preserve">To enable </w:t>
      </w:r>
      <w:r w:rsidR="00E93603">
        <w:t xml:space="preserve">a greater number of universities to participate, the ATEC will ensure there is a reasonable amount of time </w:t>
      </w:r>
      <w:r w:rsidR="00F31004">
        <w:t xml:space="preserve">provided for universities to respond to the </w:t>
      </w:r>
      <w:r w:rsidR="00EF025C">
        <w:t>AUCD</w:t>
      </w:r>
      <w:r w:rsidR="00F31004">
        <w:t xml:space="preserve"> request. </w:t>
      </w:r>
      <w:r w:rsidR="00237572">
        <w:t>It is expected that the number of participating universities and the data specification will evolve over time</w:t>
      </w:r>
      <w:r w:rsidR="003014E0">
        <w:t>.</w:t>
      </w:r>
    </w:p>
    <w:p w14:paraId="06EB60F4" w14:textId="77777777" w:rsidR="004223DD" w:rsidRPr="00F07605" w:rsidRDefault="004223DD" w:rsidP="00022B70">
      <w:pPr>
        <w:pStyle w:val="Heading3"/>
        <w:rPr>
          <w:kern w:val="2"/>
          <w14:ligatures w14:val="standardContextual"/>
        </w:rPr>
      </w:pPr>
      <w:r w:rsidRPr="00F07605">
        <w:t>Sustainable costs</w:t>
      </w:r>
    </w:p>
    <w:p w14:paraId="1081F7ED" w14:textId="02EAC941" w:rsidR="00380315" w:rsidRPr="00F07605" w:rsidRDefault="00790D7C" w:rsidP="00380315">
      <w:r>
        <w:t xml:space="preserve">Observed expenditure </w:t>
      </w:r>
      <w:r w:rsidR="00E979B5" w:rsidRPr="00F07605">
        <w:t xml:space="preserve">may </w:t>
      </w:r>
      <w:r w:rsidR="00380315" w:rsidRPr="00F07605">
        <w:t xml:space="preserve">not </w:t>
      </w:r>
      <w:r>
        <w:t xml:space="preserve">represent </w:t>
      </w:r>
      <w:r w:rsidR="006070D7">
        <w:t xml:space="preserve">a </w:t>
      </w:r>
      <w:r w:rsidR="00380315" w:rsidRPr="00F07605">
        <w:t>sustainable</w:t>
      </w:r>
      <w:r w:rsidR="006070D7">
        <w:t xml:space="preserve"> level of provision, including </w:t>
      </w:r>
      <w:r w:rsidR="00B65924">
        <w:t xml:space="preserve">but not limited to </w:t>
      </w:r>
      <w:r w:rsidR="006070D7">
        <w:t xml:space="preserve">where </w:t>
      </w:r>
      <w:r w:rsidR="00380315" w:rsidRPr="00F07605">
        <w:t xml:space="preserve">universities </w:t>
      </w:r>
      <w:r w:rsidR="006070D7">
        <w:t xml:space="preserve">have deferred necessary </w:t>
      </w:r>
      <w:r w:rsidR="00380315" w:rsidRPr="00F07605">
        <w:t>invest</w:t>
      </w:r>
      <w:r w:rsidR="006070D7">
        <w:t>ment</w:t>
      </w:r>
      <w:r w:rsidR="00380315" w:rsidRPr="00F07605">
        <w:t xml:space="preserve"> in capital development</w:t>
      </w:r>
      <w:r w:rsidR="00E81E5A" w:rsidRPr="00F07605">
        <w:t>.</w:t>
      </w:r>
      <w:r w:rsidR="000500AF">
        <w:t xml:space="preserve"> </w:t>
      </w:r>
      <w:r w:rsidR="006B0535" w:rsidRPr="006B0535">
        <w:t>The ATEC will consider whether and how efficient-cost estimates should account for this, including the extent to which efficient costs should reflect long-term sustainability.</w:t>
      </w:r>
    </w:p>
    <w:p w14:paraId="6AC39343" w14:textId="77777777" w:rsidR="00204B40" w:rsidRPr="00F07605" w:rsidRDefault="00204B40" w:rsidP="00270483">
      <w:pPr>
        <w:pStyle w:val="Heading3"/>
        <w:rPr>
          <w:kern w:val="2"/>
          <w:szCs w:val="28"/>
          <w14:ligatures w14:val="standardContextual"/>
        </w:rPr>
      </w:pPr>
      <w:r w:rsidRPr="00F07605">
        <w:t>Cross-subsidised activity</w:t>
      </w:r>
    </w:p>
    <w:p w14:paraId="0F73F250" w14:textId="4CC9ECA2" w:rsidR="00204B40" w:rsidRPr="00F07605" w:rsidRDefault="00204B40">
      <w:pPr>
        <w:rPr>
          <w:color w:val="000000"/>
          <w:kern w:val="2"/>
          <w14:ligatures w14:val="standardContextual"/>
        </w:rPr>
      </w:pPr>
      <w:r w:rsidRPr="00F07605">
        <w:t xml:space="preserve">The AUCD will </w:t>
      </w:r>
      <w:r w:rsidR="00A44AC3">
        <w:t xml:space="preserve">enable the ATEC to </w:t>
      </w:r>
      <w:r w:rsidR="007D020B">
        <w:t xml:space="preserve">understand </w:t>
      </w:r>
      <w:r w:rsidRPr="00F07605">
        <w:t>cross-subsidis</w:t>
      </w:r>
      <w:r w:rsidR="00A44AC3">
        <w:t xml:space="preserve">ation </w:t>
      </w:r>
      <w:r w:rsidRPr="00F07605">
        <w:t xml:space="preserve">between </w:t>
      </w:r>
      <w:proofErr w:type="spellStart"/>
      <w:r w:rsidR="00207DFD">
        <w:t>FoE</w:t>
      </w:r>
      <w:r w:rsidR="1C974BBC">
        <w:t>s</w:t>
      </w:r>
      <w:proofErr w:type="spellEnd"/>
      <w:r w:rsidRPr="00F07605">
        <w:t xml:space="preserve">, student cohorts </w:t>
      </w:r>
      <w:r w:rsidR="00321173">
        <w:t xml:space="preserve">and </w:t>
      </w:r>
      <w:r w:rsidR="00106325">
        <w:t xml:space="preserve">other </w:t>
      </w:r>
      <w:r w:rsidRPr="00F07605">
        <w:t xml:space="preserve">institutional </w:t>
      </w:r>
      <w:r w:rsidR="00321173">
        <w:t>activities</w:t>
      </w:r>
      <w:r w:rsidRPr="00F07605">
        <w:t xml:space="preserve">. </w:t>
      </w:r>
      <w:r w:rsidR="00321173">
        <w:t>This a</w:t>
      </w:r>
      <w:r w:rsidRPr="00F07605">
        <w:t xml:space="preserve">nalysis will </w:t>
      </w:r>
      <w:r w:rsidR="001E02E3">
        <w:t xml:space="preserve">help distinguish the cost of provision from the way universities </w:t>
      </w:r>
      <w:r w:rsidR="00B01D78">
        <w:t>currently allocate resources across universities</w:t>
      </w:r>
      <w:r w:rsidRPr="00F07605">
        <w:t>.</w:t>
      </w:r>
    </w:p>
    <w:p w14:paraId="1A834A2C" w14:textId="709097B9" w:rsidR="004223DD" w:rsidRPr="00F07605" w:rsidRDefault="00AD3B50" w:rsidP="008473F1">
      <w:pPr>
        <w:pStyle w:val="Heading2"/>
        <w:rPr>
          <w:kern w:val="2"/>
          <w:szCs w:val="28"/>
          <w14:ligatures w14:val="standardContextual"/>
        </w:rPr>
      </w:pPr>
      <w:bookmarkStart w:id="30" w:name="_Toc239680558"/>
      <w:r>
        <w:t>Cost groupings</w:t>
      </w:r>
      <w:r w:rsidR="00B01D78">
        <w:t xml:space="preserve"> and </w:t>
      </w:r>
      <w:r w:rsidR="00207DFD">
        <w:t>F</w:t>
      </w:r>
      <w:r w:rsidR="00B01D78">
        <w:t xml:space="preserve">ield of </w:t>
      </w:r>
      <w:r w:rsidR="00207DFD">
        <w:t>E</w:t>
      </w:r>
      <w:r w:rsidR="00B01D78">
        <w:t>ducation</w:t>
      </w:r>
      <w:r w:rsidR="00207DFD">
        <w:t xml:space="preserve"> (</w:t>
      </w:r>
      <w:proofErr w:type="spellStart"/>
      <w:r w:rsidR="00207DFD">
        <w:t>FoE</w:t>
      </w:r>
      <w:proofErr w:type="spellEnd"/>
      <w:r w:rsidR="00207DFD">
        <w:t>)</w:t>
      </w:r>
    </w:p>
    <w:p w14:paraId="21C21231" w14:textId="5BA1FDC0" w:rsidR="004223DD" w:rsidRPr="00F07605" w:rsidRDefault="00AD3B50" w:rsidP="005D04E0">
      <w:pPr>
        <w:rPr>
          <w:color w:val="000000"/>
          <w:kern w:val="2"/>
          <w:szCs w:val="22"/>
          <w14:ligatures w14:val="standardContextual"/>
        </w:rPr>
      </w:pPr>
      <w:r>
        <w:t>Cost groupings</w:t>
      </w:r>
      <w:r w:rsidR="004223DD" w:rsidRPr="00F07605">
        <w:t xml:space="preserve"> will provide the </w:t>
      </w:r>
      <w:r w:rsidR="001C2CB2">
        <w:t xml:space="preserve">primary </w:t>
      </w:r>
      <w:r w:rsidR="004223DD" w:rsidRPr="00F07605">
        <w:t xml:space="preserve">structure for translating efficient-cost evidence into a manageable set of prices. Each </w:t>
      </w:r>
      <w:r w:rsidR="00887B88">
        <w:t>cost grouping</w:t>
      </w:r>
      <w:r w:rsidR="004223DD" w:rsidRPr="00F07605">
        <w:t xml:space="preserve"> will group </w:t>
      </w:r>
      <w:proofErr w:type="spellStart"/>
      <w:r w:rsidR="00207DFD">
        <w:t>FoEs</w:t>
      </w:r>
      <w:proofErr w:type="spellEnd"/>
      <w:r w:rsidR="004223DD" w:rsidRPr="00F07605">
        <w:t xml:space="preserve"> with sufficiently similar efficient delivery costs </w:t>
      </w:r>
      <w:r w:rsidR="009E7E15">
        <w:t xml:space="preserve">per </w:t>
      </w:r>
      <w:r w:rsidR="000536C3">
        <w:t xml:space="preserve">EFTSL </w:t>
      </w:r>
      <w:r w:rsidR="004223DD" w:rsidRPr="00F07605">
        <w:t xml:space="preserve">to support </w:t>
      </w:r>
      <w:r w:rsidR="000536C3">
        <w:t xml:space="preserve">development of </w:t>
      </w:r>
      <w:r w:rsidR="004223DD" w:rsidRPr="00F07605">
        <w:t>a common price.</w:t>
      </w:r>
    </w:p>
    <w:p w14:paraId="54CFCC9F" w14:textId="5EBFA376" w:rsidR="00DB6130" w:rsidRPr="00F07605" w:rsidRDefault="00207DFD" w:rsidP="00D653C6">
      <w:pPr>
        <w:rPr>
          <w:b/>
          <w:bCs/>
        </w:rPr>
      </w:pPr>
      <w:bookmarkStart w:id="31" w:name="_Toc239680560"/>
      <w:bookmarkStart w:id="32" w:name="_Toc239680771"/>
      <w:bookmarkStart w:id="33" w:name="_Toc239764525"/>
      <w:bookmarkEnd w:id="30"/>
      <w:proofErr w:type="spellStart"/>
      <w:r>
        <w:t>FoE</w:t>
      </w:r>
      <w:proofErr w:type="spellEnd"/>
      <w:r w:rsidR="005D04E0">
        <w:t xml:space="preserve">, classified using the </w:t>
      </w:r>
      <w:r w:rsidR="005D04E0" w:rsidRPr="00F07605">
        <w:t>Australian Standard Classification of Education (ASCED)</w:t>
      </w:r>
      <w:r w:rsidR="005D04E0" w:rsidRPr="00F07605">
        <w:rPr>
          <w:rStyle w:val="FootnoteReference"/>
        </w:rPr>
        <w:footnoteReference w:id="3"/>
      </w:r>
      <w:r w:rsidR="005D04E0">
        <w:t>,</w:t>
      </w:r>
      <w:r w:rsidR="005D04E0" w:rsidRPr="00F07605">
        <w:t xml:space="preserve"> </w:t>
      </w:r>
      <w:r w:rsidR="005D04E0">
        <w:t xml:space="preserve">is expected </w:t>
      </w:r>
      <w:r w:rsidR="005D04E0" w:rsidRPr="00F07605">
        <w:t xml:space="preserve">to </w:t>
      </w:r>
      <w:r w:rsidR="001A5E8D">
        <w:t xml:space="preserve">be </w:t>
      </w:r>
      <w:r w:rsidR="005D04E0" w:rsidRPr="00F07605">
        <w:t xml:space="preserve">the </w:t>
      </w:r>
      <w:r w:rsidR="005D04E0">
        <w:t xml:space="preserve">starting point for </w:t>
      </w:r>
      <w:r w:rsidR="00007A12">
        <w:t xml:space="preserve">the cost grouping </w:t>
      </w:r>
      <w:r w:rsidR="005D04E0">
        <w:t>design</w:t>
      </w:r>
      <w:r w:rsidR="005D04E0" w:rsidRPr="00F07605">
        <w:t xml:space="preserve">. </w:t>
      </w:r>
      <w:r w:rsidR="005D04E0">
        <w:t xml:space="preserve">The ATEC will use </w:t>
      </w:r>
      <w:r w:rsidR="005D04E0" w:rsidRPr="00F07605">
        <w:t xml:space="preserve">the AUCD </w:t>
      </w:r>
      <w:r w:rsidR="005D04E0">
        <w:t xml:space="preserve">to </w:t>
      </w:r>
      <w:r w:rsidR="008B5A00">
        <w:t>collect information at the 6-digit</w:t>
      </w:r>
      <w:r w:rsidR="00A7173B">
        <w:t xml:space="preserve"> level</w:t>
      </w:r>
      <w:r w:rsidR="005D04E0" w:rsidRPr="00F07605">
        <w:t xml:space="preserve"> </w:t>
      </w:r>
      <w:r w:rsidR="005D04E0">
        <w:t xml:space="preserve">to test </w:t>
      </w:r>
      <w:r w:rsidR="005D04E0" w:rsidRPr="00F07605">
        <w:t xml:space="preserve">the </w:t>
      </w:r>
      <w:r w:rsidR="005D04E0">
        <w:t xml:space="preserve">alternative groupings, including </w:t>
      </w:r>
      <w:r w:rsidR="005D04E0" w:rsidRPr="00F07605">
        <w:t xml:space="preserve">whether </w:t>
      </w:r>
      <w:r w:rsidR="005D04E0">
        <w:t>material and persistent cost differences support separate</w:t>
      </w:r>
      <w:r w:rsidR="00E9672A">
        <w:t xml:space="preserve"> groupings</w:t>
      </w:r>
      <w:r w:rsidR="005D04E0">
        <w:t>.</w:t>
      </w:r>
      <w:bookmarkEnd w:id="31"/>
      <w:bookmarkEnd w:id="32"/>
      <w:bookmarkEnd w:id="33"/>
    </w:p>
    <w:p w14:paraId="1D6F3B84" w14:textId="10136395" w:rsidR="00DB6130" w:rsidRPr="00F07605" w:rsidRDefault="003A59B4" w:rsidP="00225747">
      <w:pPr>
        <w:rPr>
          <w:b/>
          <w:bCs/>
        </w:rPr>
      </w:pPr>
      <w:bookmarkStart w:id="34" w:name="_Toc239680561"/>
      <w:bookmarkStart w:id="35" w:name="_Toc239680772"/>
      <w:bookmarkStart w:id="36" w:name="_Toc239764526"/>
      <w:r>
        <w:t>Cost grouping</w:t>
      </w:r>
      <w:r w:rsidR="008116E2">
        <w:t xml:space="preserve"> design</w:t>
      </w:r>
      <w:r w:rsidR="004E44BB" w:rsidRPr="00F07605">
        <w:t xml:space="preserve"> will balance </w:t>
      </w:r>
      <w:r w:rsidR="004D3B2D">
        <w:t>alignment with efficient costs</w:t>
      </w:r>
      <w:r w:rsidR="00C35875">
        <w:t xml:space="preserve"> with stability </w:t>
      </w:r>
      <w:r w:rsidR="004E44BB" w:rsidRPr="00F07605">
        <w:t xml:space="preserve">and administrative </w:t>
      </w:r>
      <w:r w:rsidR="00C35875">
        <w:t>simplicity</w:t>
      </w:r>
      <w:r w:rsidR="004E44BB" w:rsidRPr="00F07605">
        <w:t xml:space="preserve">. </w:t>
      </w:r>
      <w:bookmarkStart w:id="37" w:name="_Toc239680562"/>
      <w:bookmarkStart w:id="38" w:name="_Toc239680773"/>
      <w:bookmarkEnd w:id="34"/>
      <w:bookmarkEnd w:id="35"/>
      <w:r w:rsidR="00AF017E">
        <w:t>P</w:t>
      </w:r>
      <w:r w:rsidR="00DB6130" w:rsidRPr="00F07605">
        <w:t xml:space="preserve">otential </w:t>
      </w:r>
      <w:r w:rsidR="00E9672A">
        <w:t xml:space="preserve">groupings </w:t>
      </w:r>
      <w:r w:rsidR="00AF017E">
        <w:t>will be assessed against:</w:t>
      </w:r>
      <w:bookmarkEnd w:id="36"/>
      <w:bookmarkEnd w:id="37"/>
      <w:bookmarkEnd w:id="38"/>
    </w:p>
    <w:p w14:paraId="4F4AF598" w14:textId="7E14FCCB" w:rsidR="00DB6130" w:rsidRPr="00F07605" w:rsidRDefault="00DB6130" w:rsidP="00B52B2C">
      <w:pPr>
        <w:pStyle w:val="ListBullet"/>
        <w:numPr>
          <w:ilvl w:val="0"/>
          <w:numId w:val="71"/>
        </w:numPr>
        <w:rPr>
          <w:b/>
          <w:bCs/>
        </w:rPr>
      </w:pPr>
      <w:bookmarkStart w:id="39" w:name="_Toc239680563"/>
      <w:bookmarkStart w:id="40" w:name="_Toc239680774"/>
      <w:bookmarkStart w:id="41" w:name="_Toc239764527"/>
      <w:r w:rsidRPr="00F07605">
        <w:t>the materiality and persistence of differences in efficient cost</w:t>
      </w:r>
      <w:bookmarkEnd w:id="39"/>
      <w:bookmarkEnd w:id="40"/>
      <w:bookmarkEnd w:id="41"/>
    </w:p>
    <w:p w14:paraId="23C774F4" w14:textId="77960233" w:rsidR="00DB6130" w:rsidRPr="00F07605" w:rsidRDefault="00DB6130" w:rsidP="00B52B2C">
      <w:pPr>
        <w:pStyle w:val="ListBullet"/>
        <w:numPr>
          <w:ilvl w:val="0"/>
          <w:numId w:val="71"/>
        </w:numPr>
        <w:rPr>
          <w:b/>
          <w:bCs/>
        </w:rPr>
      </w:pPr>
      <w:bookmarkStart w:id="42" w:name="_Toc239680564"/>
      <w:bookmarkStart w:id="43" w:name="_Toc239680775"/>
      <w:bookmarkStart w:id="44" w:name="_Toc239764528"/>
      <w:r w:rsidRPr="00F07605">
        <w:t>the similarity of costs within</w:t>
      </w:r>
      <w:r w:rsidR="00E04F81">
        <w:t xml:space="preserve">, and </w:t>
      </w:r>
      <w:bookmarkStart w:id="45" w:name="_Toc239680565"/>
      <w:bookmarkStart w:id="46" w:name="_Toc239680776"/>
      <w:bookmarkStart w:id="47" w:name="_Toc239764529"/>
      <w:bookmarkEnd w:id="42"/>
      <w:bookmarkEnd w:id="43"/>
      <w:bookmarkEnd w:id="44"/>
      <w:r w:rsidR="00E04F81">
        <w:t xml:space="preserve">differences </w:t>
      </w:r>
      <w:r w:rsidR="004D220C">
        <w:t>among</w:t>
      </w:r>
      <w:r w:rsidR="0045327C">
        <w:t>,</w:t>
      </w:r>
      <w:r w:rsidR="00E04F81">
        <w:t xml:space="preserve"> </w:t>
      </w:r>
      <w:r w:rsidRPr="00F07605">
        <w:t xml:space="preserve">proposed </w:t>
      </w:r>
      <w:r w:rsidR="00516397">
        <w:t>groupings</w:t>
      </w:r>
      <w:bookmarkEnd w:id="45"/>
      <w:bookmarkEnd w:id="46"/>
      <w:bookmarkEnd w:id="47"/>
    </w:p>
    <w:p w14:paraId="35DE6DF6" w14:textId="283D9ACF" w:rsidR="00DB6130" w:rsidRPr="00F07605" w:rsidRDefault="00DB6130" w:rsidP="00B52B2C">
      <w:pPr>
        <w:pStyle w:val="ListBullet"/>
        <w:numPr>
          <w:ilvl w:val="0"/>
          <w:numId w:val="71"/>
        </w:numPr>
        <w:rPr>
          <w:b/>
          <w:bCs/>
        </w:rPr>
      </w:pPr>
      <w:bookmarkStart w:id="48" w:name="_Toc239680566"/>
      <w:bookmarkStart w:id="49" w:name="_Toc239680777"/>
      <w:bookmarkStart w:id="50" w:name="_Toc239764530"/>
      <w:r w:rsidRPr="00F07605">
        <w:t>the coverage and quality of supporting data</w:t>
      </w:r>
      <w:bookmarkEnd w:id="48"/>
      <w:bookmarkEnd w:id="49"/>
      <w:bookmarkEnd w:id="50"/>
    </w:p>
    <w:p w14:paraId="5ED72400" w14:textId="50DF5A3C" w:rsidR="00DB6130" w:rsidRPr="008B2E70" w:rsidRDefault="00DB6130" w:rsidP="00B52B2C">
      <w:pPr>
        <w:pStyle w:val="ListBullet"/>
        <w:numPr>
          <w:ilvl w:val="0"/>
          <w:numId w:val="71"/>
        </w:numPr>
        <w:rPr>
          <w:b/>
          <w:bCs/>
        </w:rPr>
      </w:pPr>
      <w:bookmarkStart w:id="51" w:name="_Toc239680567"/>
      <w:bookmarkStart w:id="52" w:name="_Toc239680778"/>
      <w:bookmarkStart w:id="53" w:name="_Toc239764531"/>
      <w:r w:rsidRPr="00F07605">
        <w:t>stability</w:t>
      </w:r>
      <w:r w:rsidR="008C1B95">
        <w:t xml:space="preserve"> </w:t>
      </w:r>
      <w:r w:rsidR="008B2E70">
        <w:t xml:space="preserve">and </w:t>
      </w:r>
      <w:bookmarkStart w:id="54" w:name="_Toc239680568"/>
      <w:bookmarkStart w:id="55" w:name="_Toc239680779"/>
      <w:bookmarkStart w:id="56" w:name="_Toc239764532"/>
      <w:bookmarkEnd w:id="51"/>
      <w:bookmarkEnd w:id="52"/>
      <w:bookmarkEnd w:id="53"/>
      <w:r w:rsidRPr="00F07605">
        <w:t xml:space="preserve">administrative </w:t>
      </w:r>
      <w:bookmarkEnd w:id="54"/>
      <w:bookmarkEnd w:id="55"/>
      <w:bookmarkEnd w:id="56"/>
      <w:r w:rsidR="008B2E70">
        <w:t>practicality</w:t>
      </w:r>
    </w:p>
    <w:p w14:paraId="7E8CFFF8" w14:textId="702321AC" w:rsidR="00DB6130" w:rsidRPr="00F07605" w:rsidRDefault="00DB6130" w:rsidP="00B52B2C">
      <w:pPr>
        <w:pStyle w:val="ListBullet"/>
        <w:numPr>
          <w:ilvl w:val="0"/>
          <w:numId w:val="71"/>
        </w:numPr>
        <w:rPr>
          <w:b/>
          <w:bCs/>
        </w:rPr>
      </w:pPr>
      <w:bookmarkStart w:id="57" w:name="_Toc239680570"/>
      <w:bookmarkStart w:id="58" w:name="_Toc239680781"/>
      <w:bookmarkStart w:id="59" w:name="_Toc239764534"/>
      <w:r w:rsidRPr="00F07605">
        <w:t>the risk of unintended incentives</w:t>
      </w:r>
      <w:r w:rsidR="008B2E70">
        <w:t xml:space="preserve"> or classif</w:t>
      </w:r>
      <w:r w:rsidR="00BD001B">
        <w:t>ic</w:t>
      </w:r>
      <w:r w:rsidR="008B2E70">
        <w:t>ation changes</w:t>
      </w:r>
      <w:bookmarkEnd w:id="57"/>
      <w:bookmarkEnd w:id="58"/>
      <w:bookmarkEnd w:id="59"/>
    </w:p>
    <w:p w14:paraId="0244C37C" w14:textId="3A2D0B21" w:rsidR="00DB6130" w:rsidRPr="00F07605" w:rsidRDefault="00DB6130" w:rsidP="00225747">
      <w:pPr>
        <w:rPr>
          <w:b/>
          <w:bCs/>
        </w:rPr>
      </w:pPr>
      <w:bookmarkStart w:id="60" w:name="_Toc239680571"/>
      <w:bookmarkStart w:id="61" w:name="_Toc239680782"/>
      <w:bookmarkStart w:id="62" w:name="_Toc239764535"/>
      <w:r w:rsidRPr="00F07605">
        <w:t xml:space="preserve">Where a cost difference is not suitable for inclusion in a </w:t>
      </w:r>
      <w:r w:rsidR="006F1455">
        <w:t xml:space="preserve">total </w:t>
      </w:r>
      <w:r w:rsidRPr="00F07605">
        <w:t>price, the ATEC will consider whether it is better addressed through an adjustment or another policy mechanism. Each cost should have one primary treatment to avoid double counting.</w:t>
      </w:r>
      <w:bookmarkEnd w:id="60"/>
      <w:bookmarkEnd w:id="61"/>
      <w:bookmarkEnd w:id="62"/>
    </w:p>
    <w:p w14:paraId="11C7726C" w14:textId="588164DA" w:rsidR="0060713C" w:rsidRPr="00F07605" w:rsidRDefault="00DB6130" w:rsidP="00422EEB">
      <w:r w:rsidRPr="00F07605">
        <w:lastRenderedPageBreak/>
        <w:t xml:space="preserve">The final number and composition of </w:t>
      </w:r>
      <w:r w:rsidR="007C7E0C">
        <w:t>cost groupings</w:t>
      </w:r>
      <w:r w:rsidRPr="00F07605">
        <w:t xml:space="preserve"> will be informed by analysis, consultation and sensitivity testing</w:t>
      </w:r>
      <w:r w:rsidR="00B1224D">
        <w:t xml:space="preserve">, with the preferred approach identifying the </w:t>
      </w:r>
      <w:r w:rsidR="00B1224D" w:rsidRPr="00F07605">
        <w:t xml:space="preserve">smallest manageable number of </w:t>
      </w:r>
      <w:r w:rsidR="003B048E">
        <w:t>cost groupings</w:t>
      </w:r>
      <w:r w:rsidR="00B1224D" w:rsidRPr="00F07605">
        <w:t xml:space="preserve"> that materially improves the alignment between prices and efficient costs</w:t>
      </w:r>
      <w:r w:rsidRPr="00F07605">
        <w:t xml:space="preserve">. </w:t>
      </w:r>
    </w:p>
    <w:p w14:paraId="01C6FECC" w14:textId="77777777" w:rsidR="00204B40" w:rsidRPr="00F07605" w:rsidRDefault="00204B40" w:rsidP="008473F1">
      <w:pPr>
        <w:pStyle w:val="Heading2"/>
        <w:rPr>
          <w:kern w:val="2"/>
          <w:szCs w:val="28"/>
          <w14:ligatures w14:val="standardContextual"/>
        </w:rPr>
      </w:pPr>
      <w:bookmarkStart w:id="63" w:name="_Toc239680573"/>
      <w:r w:rsidRPr="00F07605">
        <w:t>Recognition of material cost differences</w:t>
      </w:r>
    </w:p>
    <w:bookmarkEnd w:id="63"/>
    <w:p w14:paraId="18564278" w14:textId="327B251C" w:rsidR="004C0B60" w:rsidRPr="00F07605" w:rsidRDefault="2522A351">
      <w:pPr>
        <w:rPr>
          <w:rFonts w:ascii="Arial" w:hAnsi="Arial"/>
        </w:rPr>
      </w:pPr>
      <w:r w:rsidRPr="00F07605">
        <w:rPr>
          <w:rFonts w:ascii="Arial" w:hAnsi="Arial"/>
        </w:rPr>
        <w:t>The ATEC</w:t>
      </w:r>
      <w:r w:rsidR="00DB5676">
        <w:rPr>
          <w:rFonts w:ascii="Arial" w:hAnsi="Arial"/>
        </w:rPr>
        <w:t xml:space="preserve"> </w:t>
      </w:r>
      <w:r w:rsidRPr="00F07605">
        <w:rPr>
          <w:rFonts w:ascii="Arial" w:hAnsi="Arial"/>
        </w:rPr>
        <w:t>will seek to recognise material differences in efficient cost through the standard pricing architecture</w:t>
      </w:r>
      <w:r w:rsidR="00DB5676">
        <w:rPr>
          <w:rFonts w:ascii="Arial" w:hAnsi="Arial"/>
        </w:rPr>
        <w:t xml:space="preserve">, including </w:t>
      </w:r>
      <w:r w:rsidR="00280A36">
        <w:rPr>
          <w:rFonts w:ascii="Arial" w:hAnsi="Arial"/>
        </w:rPr>
        <w:t>cost groupings</w:t>
      </w:r>
      <w:r w:rsidRPr="00F07605">
        <w:rPr>
          <w:rFonts w:ascii="Arial" w:hAnsi="Arial"/>
        </w:rPr>
        <w:t>, base price and any adjustment</w:t>
      </w:r>
      <w:r w:rsidR="00A73B5A">
        <w:rPr>
          <w:rFonts w:ascii="Arial" w:hAnsi="Arial"/>
        </w:rPr>
        <w:t>s</w:t>
      </w:r>
      <w:r w:rsidRPr="00F07605">
        <w:rPr>
          <w:rFonts w:ascii="Arial" w:hAnsi="Arial"/>
        </w:rPr>
        <w:t>. A higher observed cost alone would not justify a different pricing treatment</w:t>
      </w:r>
      <w:r w:rsidR="00C13753">
        <w:rPr>
          <w:rFonts w:ascii="Arial" w:hAnsi="Arial"/>
        </w:rPr>
        <w:t>, as d</w:t>
      </w:r>
      <w:r w:rsidRPr="00F07605">
        <w:rPr>
          <w:rFonts w:ascii="Arial" w:hAnsi="Arial"/>
        </w:rPr>
        <w:t xml:space="preserve">ifferences </w:t>
      </w:r>
      <w:r w:rsidR="00C13753">
        <w:rPr>
          <w:rFonts w:ascii="Arial" w:hAnsi="Arial"/>
        </w:rPr>
        <w:t xml:space="preserve">may reflect </w:t>
      </w:r>
      <w:r w:rsidRPr="00F07605">
        <w:rPr>
          <w:rFonts w:ascii="Arial" w:hAnsi="Arial"/>
        </w:rPr>
        <w:t xml:space="preserve">provider choices, accounting </w:t>
      </w:r>
      <w:r w:rsidR="00F22519">
        <w:rPr>
          <w:rFonts w:ascii="Arial" w:hAnsi="Arial"/>
        </w:rPr>
        <w:t xml:space="preserve">or </w:t>
      </w:r>
      <w:r w:rsidRPr="00F07605">
        <w:rPr>
          <w:rFonts w:ascii="Arial" w:hAnsi="Arial"/>
        </w:rPr>
        <w:t xml:space="preserve">allocation </w:t>
      </w:r>
      <w:r w:rsidR="00F22519">
        <w:rPr>
          <w:rFonts w:ascii="Arial" w:hAnsi="Arial"/>
        </w:rPr>
        <w:t>practices</w:t>
      </w:r>
      <w:r w:rsidRPr="00F07605">
        <w:rPr>
          <w:rFonts w:ascii="Arial" w:hAnsi="Arial"/>
        </w:rPr>
        <w:t>, temporary circumstances or inefficient delivery.</w:t>
      </w:r>
    </w:p>
    <w:p w14:paraId="2AB130D6" w14:textId="336763CB" w:rsidR="004C0B60" w:rsidRPr="00F07605" w:rsidRDefault="2522A351">
      <w:pPr>
        <w:rPr>
          <w:rFonts w:ascii="Arial" w:hAnsi="Arial"/>
        </w:rPr>
      </w:pPr>
      <w:r w:rsidRPr="00F07605">
        <w:rPr>
          <w:rFonts w:ascii="Arial" w:hAnsi="Arial"/>
        </w:rPr>
        <w:t xml:space="preserve">In </w:t>
      </w:r>
      <w:r w:rsidR="00F22519">
        <w:rPr>
          <w:rFonts w:ascii="Arial" w:hAnsi="Arial"/>
        </w:rPr>
        <w:t xml:space="preserve">determining </w:t>
      </w:r>
      <w:r w:rsidRPr="00F07605">
        <w:rPr>
          <w:rFonts w:ascii="Arial" w:hAnsi="Arial"/>
        </w:rPr>
        <w:t>whether a cost difference warrants specific treatment, the ATEC will assess whether it:</w:t>
      </w:r>
    </w:p>
    <w:p w14:paraId="3A95D321" w14:textId="24A11E2D" w:rsidR="004C0B60" w:rsidRPr="00F07605" w:rsidRDefault="2522A351" w:rsidP="00B52B2C">
      <w:pPr>
        <w:pStyle w:val="ListBullet"/>
        <w:numPr>
          <w:ilvl w:val="0"/>
          <w:numId w:val="66"/>
        </w:numPr>
      </w:pPr>
      <w:r w:rsidRPr="00F07605">
        <w:t>reflects a material and persistent difference in efficient cost</w:t>
      </w:r>
    </w:p>
    <w:p w14:paraId="0F4C5E0C" w14:textId="29F7B62F" w:rsidR="004C0B60" w:rsidRPr="00F07605" w:rsidRDefault="2522A351" w:rsidP="00B52B2C">
      <w:pPr>
        <w:pStyle w:val="ListBullet"/>
        <w:numPr>
          <w:ilvl w:val="0"/>
          <w:numId w:val="66"/>
        </w:numPr>
      </w:pPr>
      <w:r w:rsidRPr="00F07605">
        <w:t>is supported by reliable and comparable evidence</w:t>
      </w:r>
    </w:p>
    <w:p w14:paraId="5FFAB1B5" w14:textId="0796724A" w:rsidR="004C0B60" w:rsidRPr="00F07605" w:rsidRDefault="2522A351" w:rsidP="00B52B2C">
      <w:pPr>
        <w:pStyle w:val="ListBullet"/>
        <w:numPr>
          <w:ilvl w:val="0"/>
          <w:numId w:val="66"/>
        </w:numPr>
      </w:pPr>
      <w:r w:rsidRPr="00F07605">
        <w:t>relates primarily to factors outside provider control</w:t>
      </w:r>
    </w:p>
    <w:p w14:paraId="01CBFB9C" w14:textId="4792C3CF" w:rsidR="004C0B60" w:rsidRPr="00F07605" w:rsidRDefault="2522A351" w:rsidP="00B52B2C">
      <w:pPr>
        <w:pStyle w:val="ListBullet"/>
        <w:numPr>
          <w:ilvl w:val="0"/>
          <w:numId w:val="66"/>
        </w:numPr>
      </w:pPr>
      <w:r w:rsidRPr="00F07605">
        <w:t>can be measured and administered consistently</w:t>
      </w:r>
    </w:p>
    <w:p w14:paraId="34932949" w14:textId="1E66E084" w:rsidR="004C0B60" w:rsidRPr="00F07605" w:rsidRDefault="2522A351" w:rsidP="00B52B2C">
      <w:pPr>
        <w:pStyle w:val="ListBullet"/>
        <w:numPr>
          <w:ilvl w:val="0"/>
          <w:numId w:val="66"/>
        </w:numPr>
      </w:pPr>
      <w:r w:rsidRPr="00F07605">
        <w:t xml:space="preserve">is not already recognised through </w:t>
      </w:r>
      <w:r w:rsidR="0087281E">
        <w:t>cost groupings</w:t>
      </w:r>
      <w:r w:rsidRPr="00F07605">
        <w:t xml:space="preserve">, </w:t>
      </w:r>
      <w:r w:rsidR="00FF3ED8">
        <w:t xml:space="preserve">total </w:t>
      </w:r>
      <w:r w:rsidRPr="00F07605">
        <w:t>prices, adjustments or other funding arrangements</w:t>
      </w:r>
    </w:p>
    <w:p w14:paraId="781960FC" w14:textId="094A1B00" w:rsidR="004C0B60" w:rsidRPr="00F07605" w:rsidRDefault="2522A351" w:rsidP="00B52B2C">
      <w:pPr>
        <w:pStyle w:val="ListBullet"/>
        <w:numPr>
          <w:ilvl w:val="0"/>
          <w:numId w:val="66"/>
        </w:numPr>
      </w:pPr>
      <w:r w:rsidRPr="00F07605">
        <w:t>would improve alignment between prices and efficient costs</w:t>
      </w:r>
    </w:p>
    <w:p w14:paraId="179AB5FF" w14:textId="32242864" w:rsidR="004C0B60" w:rsidRPr="00F07605" w:rsidRDefault="2522A351" w:rsidP="00B52B2C">
      <w:pPr>
        <w:pStyle w:val="ListBullet"/>
        <w:numPr>
          <w:ilvl w:val="0"/>
          <w:numId w:val="66"/>
        </w:numPr>
      </w:pPr>
      <w:r w:rsidRPr="00F07605">
        <w:t xml:space="preserve">avoids creating unintended </w:t>
      </w:r>
      <w:r w:rsidR="00AD16DD">
        <w:t>dis</w:t>
      </w:r>
      <w:r w:rsidRPr="00F07605">
        <w:t>incentives or classification distortions</w:t>
      </w:r>
    </w:p>
    <w:p w14:paraId="7DF591AF" w14:textId="05D7633B" w:rsidR="004C0B60" w:rsidRPr="00F07605" w:rsidRDefault="2522A351" w:rsidP="00B52B2C">
      <w:pPr>
        <w:pStyle w:val="ListBullet"/>
        <w:numPr>
          <w:ilvl w:val="0"/>
          <w:numId w:val="66"/>
        </w:numPr>
      </w:pPr>
      <w:r w:rsidRPr="00F07605">
        <w:t>is more appropriately addressed through pricing than through another policy or funding mechanism.</w:t>
      </w:r>
    </w:p>
    <w:p w14:paraId="438B2802" w14:textId="6F0796B7" w:rsidR="004C0B60" w:rsidRPr="00F07605" w:rsidRDefault="2522A351">
      <w:pPr>
        <w:rPr>
          <w:rFonts w:ascii="Arial" w:hAnsi="Arial"/>
        </w:rPr>
      </w:pPr>
      <w:r w:rsidRPr="00F07605">
        <w:rPr>
          <w:rFonts w:ascii="Arial" w:hAnsi="Arial"/>
        </w:rPr>
        <w:t xml:space="preserve">Where these criteria are met, the ATEC may </w:t>
      </w:r>
      <w:r w:rsidR="0019677E">
        <w:rPr>
          <w:rFonts w:ascii="Arial" w:hAnsi="Arial"/>
        </w:rPr>
        <w:t xml:space="preserve">recommend changes to </w:t>
      </w:r>
      <w:r w:rsidR="004014F7">
        <w:rPr>
          <w:rFonts w:ascii="Arial" w:hAnsi="Arial"/>
        </w:rPr>
        <w:t>cost grouping</w:t>
      </w:r>
      <w:r w:rsidRPr="00F07605">
        <w:rPr>
          <w:rFonts w:ascii="Arial" w:hAnsi="Arial"/>
        </w:rPr>
        <w:t xml:space="preserve"> design, an adjustment, </w:t>
      </w:r>
      <w:r w:rsidR="00824D80">
        <w:rPr>
          <w:rFonts w:ascii="Arial" w:hAnsi="Arial"/>
        </w:rPr>
        <w:t xml:space="preserve">or </w:t>
      </w:r>
      <w:r w:rsidRPr="00F07605">
        <w:rPr>
          <w:rFonts w:ascii="Arial" w:hAnsi="Arial"/>
        </w:rPr>
        <w:t>another funding mechanism. The ATEC may also conclude that no specific pricing response is warranted.</w:t>
      </w:r>
      <w:r w:rsidR="00FB2CD3">
        <w:rPr>
          <w:rFonts w:ascii="Arial" w:hAnsi="Arial"/>
        </w:rPr>
        <w:t xml:space="preserve"> </w:t>
      </w:r>
      <w:r w:rsidRPr="00F07605">
        <w:rPr>
          <w:rFonts w:ascii="Arial" w:hAnsi="Arial"/>
        </w:rPr>
        <w:t>The pricing advice</w:t>
      </w:r>
      <w:r w:rsidR="00FB2CD3">
        <w:rPr>
          <w:rFonts w:ascii="Arial" w:hAnsi="Arial"/>
        </w:rPr>
        <w:t xml:space="preserve"> </w:t>
      </w:r>
      <w:r w:rsidRPr="00F07605">
        <w:rPr>
          <w:rFonts w:ascii="Arial" w:hAnsi="Arial"/>
        </w:rPr>
        <w:t xml:space="preserve">will </w:t>
      </w:r>
      <w:r w:rsidR="00035A89">
        <w:rPr>
          <w:rFonts w:ascii="Arial" w:hAnsi="Arial"/>
        </w:rPr>
        <w:t xml:space="preserve">explain </w:t>
      </w:r>
      <w:r w:rsidRPr="00F07605">
        <w:rPr>
          <w:rFonts w:ascii="Arial" w:hAnsi="Arial"/>
        </w:rPr>
        <w:t>the supporting evidence</w:t>
      </w:r>
      <w:r w:rsidR="00673B80">
        <w:rPr>
          <w:rFonts w:ascii="Arial" w:hAnsi="Arial"/>
        </w:rPr>
        <w:t xml:space="preserve"> and</w:t>
      </w:r>
      <w:r w:rsidRPr="00F07605">
        <w:rPr>
          <w:rFonts w:ascii="Arial" w:hAnsi="Arial"/>
        </w:rPr>
        <w:t xml:space="preserve"> </w:t>
      </w:r>
      <w:r w:rsidR="00035A89">
        <w:rPr>
          <w:rFonts w:ascii="Arial" w:hAnsi="Arial"/>
        </w:rPr>
        <w:t xml:space="preserve">rationale, </w:t>
      </w:r>
      <w:r w:rsidRPr="00F07605">
        <w:rPr>
          <w:rFonts w:ascii="Arial" w:hAnsi="Arial"/>
        </w:rPr>
        <w:t>interactions with other funding arrangements and any proposed review arrangements.</w:t>
      </w:r>
    </w:p>
    <w:p w14:paraId="7F47FCBC" w14:textId="6F5EB089" w:rsidR="00204B40" w:rsidRPr="00F07605" w:rsidRDefault="0032688E" w:rsidP="00204B40">
      <w:pPr>
        <w:pStyle w:val="Heading2"/>
        <w:rPr>
          <w:kern w:val="2"/>
          <w:szCs w:val="32"/>
          <w14:ligatures w14:val="standardContextual"/>
        </w:rPr>
      </w:pPr>
      <w:bookmarkStart w:id="64" w:name="_Toc239680574"/>
      <w:r>
        <w:t>Analytical approach</w:t>
      </w:r>
    </w:p>
    <w:bookmarkEnd w:id="64"/>
    <w:p w14:paraId="1300F183" w14:textId="112DDF39" w:rsidR="00B22A8A" w:rsidRDefault="00C404CF" w:rsidP="00591CCF">
      <w:pPr>
        <w:rPr>
          <w:rFonts w:ascii="Arial" w:hAnsi="Arial"/>
          <w:szCs w:val="22"/>
        </w:rPr>
      </w:pPr>
      <w:r w:rsidRPr="00F07605">
        <w:rPr>
          <w:rFonts w:ascii="Arial" w:hAnsi="Arial"/>
        </w:rPr>
        <w:t xml:space="preserve">The </w:t>
      </w:r>
      <w:r w:rsidR="00E547FB" w:rsidRPr="00F07605">
        <w:rPr>
          <w:rFonts w:ascii="Arial" w:hAnsi="Arial"/>
        </w:rPr>
        <w:t>ATEC</w:t>
      </w:r>
      <w:r w:rsidR="009639CE">
        <w:rPr>
          <w:rFonts w:ascii="Arial" w:hAnsi="Arial"/>
        </w:rPr>
        <w:t xml:space="preserve"> </w:t>
      </w:r>
      <w:r w:rsidRPr="00F07605">
        <w:rPr>
          <w:rFonts w:ascii="Arial" w:hAnsi="Arial"/>
        </w:rPr>
        <w:t xml:space="preserve">will examine expenditure and activity information across participating providers to </w:t>
      </w:r>
      <w:r w:rsidR="009639CE">
        <w:rPr>
          <w:rFonts w:ascii="Arial" w:hAnsi="Arial"/>
        </w:rPr>
        <w:t xml:space="preserve">estimate efficient </w:t>
      </w:r>
      <w:r w:rsidRPr="00F07605">
        <w:rPr>
          <w:rFonts w:ascii="Arial" w:hAnsi="Arial"/>
        </w:rPr>
        <w:t>costs</w:t>
      </w:r>
      <w:r w:rsidR="009639CE">
        <w:rPr>
          <w:rFonts w:ascii="Arial" w:hAnsi="Arial"/>
        </w:rPr>
        <w:t xml:space="preserve">, </w:t>
      </w:r>
      <w:r w:rsidR="006D423C" w:rsidRPr="00F07605">
        <w:rPr>
          <w:rFonts w:ascii="Arial" w:hAnsi="Arial"/>
          <w:szCs w:val="22"/>
        </w:rPr>
        <w:t xml:space="preserve">test </w:t>
      </w:r>
      <w:r w:rsidR="00720595">
        <w:rPr>
          <w:rFonts w:ascii="Arial" w:hAnsi="Arial"/>
          <w:szCs w:val="22"/>
        </w:rPr>
        <w:t>cost grouping</w:t>
      </w:r>
      <w:r w:rsidR="006D423C" w:rsidRPr="00F07605">
        <w:rPr>
          <w:rFonts w:ascii="Arial" w:hAnsi="Arial"/>
          <w:szCs w:val="22"/>
        </w:rPr>
        <w:t xml:space="preserve"> structures</w:t>
      </w:r>
      <w:r w:rsidR="00591CCF">
        <w:rPr>
          <w:rFonts w:ascii="Arial" w:hAnsi="Arial"/>
          <w:szCs w:val="22"/>
        </w:rPr>
        <w:t xml:space="preserve"> and</w:t>
      </w:r>
      <w:r w:rsidR="006D423C" w:rsidRPr="00F07605">
        <w:rPr>
          <w:rFonts w:ascii="Arial" w:hAnsi="Arial"/>
          <w:szCs w:val="22"/>
        </w:rPr>
        <w:t xml:space="preserve"> assess potential adjustment</w:t>
      </w:r>
      <w:r w:rsidR="00591CCF">
        <w:rPr>
          <w:rFonts w:ascii="Arial" w:hAnsi="Arial"/>
          <w:szCs w:val="22"/>
        </w:rPr>
        <w:t>s.</w:t>
      </w:r>
      <w:r w:rsidR="000B577E">
        <w:rPr>
          <w:rFonts w:ascii="Arial" w:hAnsi="Arial"/>
          <w:szCs w:val="22"/>
        </w:rPr>
        <w:t xml:space="preserve"> The analysis will distinguish material structural </w:t>
      </w:r>
      <w:r w:rsidR="002B57CB">
        <w:rPr>
          <w:rFonts w:ascii="Arial" w:hAnsi="Arial"/>
          <w:szCs w:val="22"/>
        </w:rPr>
        <w:t>cost drivers from provider-specific choices, accounting practices and allocation methods.</w:t>
      </w:r>
    </w:p>
    <w:p w14:paraId="42C2B006" w14:textId="4E9CF043" w:rsidR="007E1EFF" w:rsidRPr="00F07605" w:rsidRDefault="007E1EFF" w:rsidP="00591CCF">
      <w:pPr>
        <w:rPr>
          <w:rFonts w:ascii="Arial" w:hAnsi="Arial"/>
          <w:szCs w:val="22"/>
        </w:rPr>
      </w:pPr>
      <w:r>
        <w:rPr>
          <w:rFonts w:ascii="Arial" w:hAnsi="Arial"/>
          <w:szCs w:val="22"/>
        </w:rPr>
        <w:t xml:space="preserve">This work will yield a set of cost relativities for different </w:t>
      </w:r>
      <w:proofErr w:type="spellStart"/>
      <w:r>
        <w:rPr>
          <w:rFonts w:ascii="Arial" w:hAnsi="Arial"/>
          <w:szCs w:val="22"/>
        </w:rPr>
        <w:t>FoE</w:t>
      </w:r>
      <w:proofErr w:type="spellEnd"/>
      <w:r>
        <w:rPr>
          <w:rFonts w:ascii="Arial" w:hAnsi="Arial"/>
          <w:szCs w:val="22"/>
        </w:rPr>
        <w:t xml:space="preserve"> cost groupings and adjustments.</w:t>
      </w:r>
    </w:p>
    <w:p w14:paraId="31BC4EC1" w14:textId="4EB8E339" w:rsidR="002C71C2" w:rsidRPr="00F07605" w:rsidRDefault="00F65757" w:rsidP="002C71C2">
      <w:pPr>
        <w:rPr>
          <w:rFonts w:ascii="Arial" w:hAnsi="Arial"/>
          <w:szCs w:val="22"/>
        </w:rPr>
      </w:pPr>
      <w:r>
        <w:rPr>
          <w:rFonts w:ascii="Arial" w:hAnsi="Arial"/>
          <w:szCs w:val="22"/>
        </w:rPr>
        <w:t>Q</w:t>
      </w:r>
      <w:r w:rsidR="002C71C2" w:rsidRPr="00F07605">
        <w:rPr>
          <w:rFonts w:ascii="Arial" w:hAnsi="Arial"/>
          <w:szCs w:val="22"/>
        </w:rPr>
        <w:t xml:space="preserve">uantitative </w:t>
      </w:r>
      <w:r>
        <w:rPr>
          <w:rFonts w:ascii="Arial" w:hAnsi="Arial"/>
          <w:szCs w:val="22"/>
        </w:rPr>
        <w:t xml:space="preserve">results will inform, </w:t>
      </w:r>
      <w:r w:rsidR="002C71C2" w:rsidRPr="00F07605">
        <w:rPr>
          <w:rFonts w:ascii="Arial" w:hAnsi="Arial"/>
          <w:szCs w:val="22"/>
        </w:rPr>
        <w:t xml:space="preserve">but not </w:t>
      </w:r>
      <w:r>
        <w:rPr>
          <w:rFonts w:ascii="Arial" w:hAnsi="Arial"/>
          <w:szCs w:val="22"/>
        </w:rPr>
        <w:t xml:space="preserve">automatically </w:t>
      </w:r>
      <w:r w:rsidR="002C71C2" w:rsidRPr="00F07605">
        <w:rPr>
          <w:rFonts w:ascii="Arial" w:hAnsi="Arial"/>
          <w:szCs w:val="22"/>
        </w:rPr>
        <w:t>determine</w:t>
      </w:r>
      <w:r>
        <w:rPr>
          <w:rFonts w:ascii="Arial" w:hAnsi="Arial"/>
          <w:szCs w:val="22"/>
        </w:rPr>
        <w:t>,</w:t>
      </w:r>
      <w:r w:rsidR="002C71C2" w:rsidRPr="00F07605">
        <w:rPr>
          <w:rFonts w:ascii="Arial" w:hAnsi="Arial"/>
          <w:szCs w:val="22"/>
        </w:rPr>
        <w:t xml:space="preserve"> pricing </w:t>
      </w:r>
      <w:r>
        <w:rPr>
          <w:rFonts w:ascii="Arial" w:hAnsi="Arial"/>
          <w:szCs w:val="22"/>
        </w:rPr>
        <w:t>advice</w:t>
      </w:r>
      <w:r w:rsidR="002C71C2" w:rsidRPr="00F07605">
        <w:rPr>
          <w:rFonts w:ascii="Arial" w:hAnsi="Arial"/>
          <w:szCs w:val="22"/>
        </w:rPr>
        <w:t xml:space="preserve">. The ATEC will </w:t>
      </w:r>
      <w:r w:rsidR="00C664F0">
        <w:rPr>
          <w:rFonts w:ascii="Arial" w:hAnsi="Arial"/>
          <w:szCs w:val="22"/>
        </w:rPr>
        <w:t xml:space="preserve">also </w:t>
      </w:r>
      <w:r w:rsidR="002C71C2" w:rsidRPr="00F07605">
        <w:rPr>
          <w:rFonts w:ascii="Arial" w:hAnsi="Arial"/>
          <w:szCs w:val="22"/>
        </w:rPr>
        <w:t xml:space="preserve">consider data quality, methodological </w:t>
      </w:r>
      <w:r w:rsidR="00C664F0">
        <w:rPr>
          <w:rFonts w:ascii="Arial" w:hAnsi="Arial"/>
          <w:szCs w:val="22"/>
        </w:rPr>
        <w:t>limitations</w:t>
      </w:r>
      <w:r w:rsidR="002C71C2" w:rsidRPr="00F07605">
        <w:rPr>
          <w:rFonts w:ascii="Arial" w:hAnsi="Arial"/>
          <w:szCs w:val="22"/>
        </w:rPr>
        <w:t xml:space="preserve">, consultation feedback, implementation considerations and </w:t>
      </w:r>
      <w:r w:rsidR="00C664F0">
        <w:rPr>
          <w:rFonts w:ascii="Arial" w:hAnsi="Arial"/>
          <w:szCs w:val="22"/>
        </w:rPr>
        <w:t xml:space="preserve">the </w:t>
      </w:r>
      <w:r w:rsidR="002C71C2" w:rsidRPr="00F07605">
        <w:rPr>
          <w:rFonts w:ascii="Arial" w:hAnsi="Arial"/>
          <w:szCs w:val="22"/>
        </w:rPr>
        <w:t>broader pricing</w:t>
      </w:r>
      <w:r w:rsidR="00C664F0">
        <w:rPr>
          <w:rFonts w:ascii="Arial" w:hAnsi="Arial"/>
          <w:szCs w:val="22"/>
        </w:rPr>
        <w:t xml:space="preserve"> objectives</w:t>
      </w:r>
      <w:r w:rsidR="002C71C2" w:rsidRPr="00F07605">
        <w:rPr>
          <w:rFonts w:ascii="Arial" w:hAnsi="Arial"/>
          <w:szCs w:val="22"/>
        </w:rPr>
        <w:t>.</w:t>
      </w:r>
    </w:p>
    <w:p w14:paraId="15D28181" w14:textId="77777777" w:rsidR="00204B40" w:rsidRPr="00F07605" w:rsidRDefault="00204B40" w:rsidP="00270483">
      <w:pPr>
        <w:pStyle w:val="Heading3"/>
        <w:rPr>
          <w:kern w:val="2"/>
          <w:szCs w:val="28"/>
          <w14:ligatures w14:val="standardContextual"/>
        </w:rPr>
      </w:pPr>
      <w:bookmarkStart w:id="65" w:name="_Toc239680575"/>
      <w:r w:rsidRPr="00F07605">
        <w:t>Base price determination</w:t>
      </w:r>
    </w:p>
    <w:bookmarkEnd w:id="65"/>
    <w:p w14:paraId="74722723" w14:textId="69B0A9BA" w:rsidR="0058381B" w:rsidRPr="00F07605" w:rsidRDefault="0058381B" w:rsidP="00BA0A44">
      <w:r w:rsidRPr="00F07605">
        <w:t xml:space="preserve">The </w:t>
      </w:r>
      <w:r w:rsidR="00E25271">
        <w:t xml:space="preserve">ATEC will consider the </w:t>
      </w:r>
      <w:r w:rsidRPr="00F07605">
        <w:t xml:space="preserve">price for </w:t>
      </w:r>
      <w:r w:rsidR="00A655FA">
        <w:t>each</w:t>
      </w:r>
      <w:r w:rsidR="00A655FA" w:rsidRPr="00F07605">
        <w:t xml:space="preserve"> </w:t>
      </w:r>
      <w:r w:rsidR="0087281E">
        <w:t>cost grouping</w:t>
      </w:r>
      <w:r w:rsidR="008E7505">
        <w:t xml:space="preserve"> and the benefits of</w:t>
      </w:r>
      <w:r w:rsidRPr="00F07605">
        <w:t xml:space="preserve"> </w:t>
      </w:r>
      <w:r w:rsidR="00A655FA">
        <w:t xml:space="preserve">applying </w:t>
      </w:r>
      <w:r w:rsidR="008E7505">
        <w:t xml:space="preserve">a </w:t>
      </w:r>
      <w:r w:rsidR="00166CE9">
        <w:t xml:space="preserve">grouping </w:t>
      </w:r>
      <w:r w:rsidR="00D7609B" w:rsidRPr="00F07605">
        <w:t xml:space="preserve">relativity </w:t>
      </w:r>
      <w:r w:rsidR="00A655FA">
        <w:t xml:space="preserve">to </w:t>
      </w:r>
      <w:r w:rsidR="009D2F44" w:rsidRPr="00F07605">
        <w:t xml:space="preserve">an overall base price. The base price </w:t>
      </w:r>
      <w:r w:rsidR="008E7505">
        <w:t xml:space="preserve">could </w:t>
      </w:r>
      <w:r w:rsidR="009D2F44" w:rsidRPr="00F07605">
        <w:t>be indexed annually</w:t>
      </w:r>
      <w:r w:rsidR="00905C0D">
        <w:t xml:space="preserve"> (</w:t>
      </w:r>
      <w:r w:rsidR="008E7505">
        <w:t xml:space="preserve">consistent with </w:t>
      </w:r>
      <w:r w:rsidR="008E7505">
        <w:lastRenderedPageBreak/>
        <w:t xml:space="preserve">current provisions in </w:t>
      </w:r>
      <w:r w:rsidR="00905C0D">
        <w:t>HESA 2003)</w:t>
      </w:r>
      <w:r w:rsidR="008E7505">
        <w:t>.</w:t>
      </w:r>
      <w:r w:rsidR="00526C0A">
        <w:t xml:space="preserve"> </w:t>
      </w:r>
      <w:r w:rsidR="008E7505">
        <w:t>C</w:t>
      </w:r>
      <w:r w:rsidR="003B048E">
        <w:t xml:space="preserve">ost </w:t>
      </w:r>
      <w:r w:rsidR="000A7C41">
        <w:t xml:space="preserve">groups and </w:t>
      </w:r>
      <w:r w:rsidR="002C415F" w:rsidRPr="00F07605">
        <w:t xml:space="preserve">relativities </w:t>
      </w:r>
      <w:r w:rsidR="008E7505">
        <w:t xml:space="preserve">could </w:t>
      </w:r>
      <w:r w:rsidR="002C415F" w:rsidRPr="00F07605">
        <w:t xml:space="preserve">be </w:t>
      </w:r>
      <w:r w:rsidR="00526C0A">
        <w:t xml:space="preserve">reviewed </w:t>
      </w:r>
      <w:r w:rsidR="004D220C">
        <w:t>triennially</w:t>
      </w:r>
      <w:r w:rsidR="00345F0C">
        <w:t xml:space="preserve"> (3-yearly)</w:t>
      </w:r>
      <w:r w:rsidR="009B7A9B">
        <w:t xml:space="preserve"> to </w:t>
      </w:r>
      <w:proofErr w:type="gramStart"/>
      <w:r w:rsidR="009B7A9B">
        <w:t>take into account</w:t>
      </w:r>
      <w:proofErr w:type="gramEnd"/>
      <w:r w:rsidR="009B7A9B">
        <w:t xml:space="preserve"> the changing nature of approaches to teaching.</w:t>
      </w:r>
    </w:p>
    <w:p w14:paraId="6E9101D3" w14:textId="39F3EEC0" w:rsidR="008D75A4" w:rsidRPr="00F07605" w:rsidRDefault="008D75A4" w:rsidP="008D75A4">
      <w:r w:rsidRPr="00F07605">
        <w:t xml:space="preserve">The </w:t>
      </w:r>
      <w:r w:rsidR="009511EB">
        <w:t>resulting</w:t>
      </w:r>
      <w:r w:rsidR="009511EB" w:rsidRPr="00F07605">
        <w:t xml:space="preserve"> </w:t>
      </w:r>
      <w:r w:rsidRPr="00F07605">
        <w:t>price</w:t>
      </w:r>
      <w:r w:rsidR="009511EB">
        <w:t>s</w:t>
      </w:r>
      <w:r w:rsidRPr="00F07605">
        <w:t xml:space="preserve"> and </w:t>
      </w:r>
      <w:r w:rsidR="00905C0D">
        <w:t xml:space="preserve">grouping </w:t>
      </w:r>
      <w:r w:rsidRPr="00F07605">
        <w:t xml:space="preserve">relativities </w:t>
      </w:r>
      <w:r w:rsidR="00A367EA">
        <w:t xml:space="preserve">are </w:t>
      </w:r>
      <w:r w:rsidRPr="00F07605">
        <w:t xml:space="preserve">not </w:t>
      </w:r>
      <w:r w:rsidR="00A367EA">
        <w:t xml:space="preserve">intended to </w:t>
      </w:r>
      <w:r w:rsidRPr="00F07605">
        <w:t>be designed to reimburse each provider's actual expenditure</w:t>
      </w:r>
      <w:r w:rsidR="004D220C">
        <w:t xml:space="preserve"> b</w:t>
      </w:r>
      <w:r w:rsidR="004D220C" w:rsidRPr="004D220C">
        <w:t xml:space="preserve">ut rather </w:t>
      </w:r>
      <w:r w:rsidR="000A7C41">
        <w:t>reflect</w:t>
      </w:r>
      <w:r w:rsidR="004D220C" w:rsidRPr="004D220C">
        <w:t xml:space="preserve"> an overall sector sustainable efficient cost</w:t>
      </w:r>
      <w:r w:rsidRPr="00F07605">
        <w:t>.</w:t>
      </w:r>
    </w:p>
    <w:p w14:paraId="43E8952D" w14:textId="77777777" w:rsidR="00204B40" w:rsidRPr="00F07605" w:rsidRDefault="00204B40" w:rsidP="00270483">
      <w:pPr>
        <w:pStyle w:val="Heading3"/>
        <w:rPr>
          <w:kern w:val="2"/>
          <w:szCs w:val="28"/>
          <w14:ligatures w14:val="standardContextual"/>
        </w:rPr>
      </w:pPr>
      <w:bookmarkStart w:id="66" w:name="_Toc239680576"/>
      <w:r w:rsidRPr="00F07605">
        <w:t>Adjustment factor determination</w:t>
      </w:r>
    </w:p>
    <w:bookmarkEnd w:id="66"/>
    <w:p w14:paraId="2104010D" w14:textId="3148BB95" w:rsidR="007E57F4" w:rsidRDefault="00C02987" w:rsidP="00073C12">
      <w:r>
        <w:t xml:space="preserve">The base price </w:t>
      </w:r>
      <w:r w:rsidR="00AC753B">
        <w:t xml:space="preserve">will use the efficient cost as </w:t>
      </w:r>
      <w:r w:rsidR="00896250">
        <w:t>a central starting point</w:t>
      </w:r>
      <w:r w:rsidR="00DD1FE8">
        <w:t>. Ho</w:t>
      </w:r>
      <w:r w:rsidR="00896250">
        <w:t xml:space="preserve">wever, </w:t>
      </w:r>
      <w:r w:rsidR="00ED081A">
        <w:t xml:space="preserve">this </w:t>
      </w:r>
      <w:r w:rsidR="00896250">
        <w:t xml:space="preserve">may not </w:t>
      </w:r>
      <w:r w:rsidR="00ED081A">
        <w:t xml:space="preserve">consider some </w:t>
      </w:r>
      <w:r w:rsidR="00896250">
        <w:t xml:space="preserve">cost drivers </w:t>
      </w:r>
      <w:r w:rsidR="00ED081A">
        <w:t>to the full extent</w:t>
      </w:r>
      <w:r w:rsidR="00C0717F">
        <w:t xml:space="preserve"> on impact</w:t>
      </w:r>
      <w:r w:rsidR="001E454B">
        <w:t>ing</w:t>
      </w:r>
      <w:r w:rsidR="00C0717F">
        <w:t xml:space="preserve"> </w:t>
      </w:r>
      <w:r w:rsidR="001E454B">
        <w:t xml:space="preserve">an </w:t>
      </w:r>
      <w:r w:rsidR="00C0717F">
        <w:t>institution</w:t>
      </w:r>
      <w:r w:rsidR="001E454B">
        <w:t>’s</w:t>
      </w:r>
      <w:r w:rsidR="00C0717F">
        <w:t xml:space="preserve"> expenditure</w:t>
      </w:r>
      <w:r w:rsidR="00ED081A">
        <w:t xml:space="preserve">. </w:t>
      </w:r>
      <w:r w:rsidR="00DC3DD6">
        <w:t xml:space="preserve">Where a material </w:t>
      </w:r>
      <w:r w:rsidR="00D64DF1" w:rsidRPr="00F07605">
        <w:t xml:space="preserve">cost driver </w:t>
      </w:r>
      <w:r w:rsidR="00A367EA">
        <w:t xml:space="preserve">may </w:t>
      </w:r>
      <w:r w:rsidR="00440DB1">
        <w:t xml:space="preserve">not </w:t>
      </w:r>
      <w:r w:rsidR="00A367EA">
        <w:t xml:space="preserve">be </w:t>
      </w:r>
      <w:r w:rsidR="00440DB1">
        <w:t xml:space="preserve">adequately reflected </w:t>
      </w:r>
      <w:r w:rsidR="00D64DF1" w:rsidRPr="00F07605">
        <w:t xml:space="preserve">through </w:t>
      </w:r>
      <w:r w:rsidR="003B048E">
        <w:t>cost grouping</w:t>
      </w:r>
      <w:r w:rsidR="00D64DF1" w:rsidRPr="00F07605">
        <w:t xml:space="preserve"> design,</w:t>
      </w:r>
      <w:r w:rsidR="00143909">
        <w:t xml:space="preserve"> or base price,</w:t>
      </w:r>
      <w:r w:rsidR="00D64DF1" w:rsidRPr="00F07605">
        <w:t xml:space="preserve"> </w:t>
      </w:r>
      <w:r w:rsidR="008F48A3">
        <w:t>the ATEC</w:t>
      </w:r>
      <w:r w:rsidR="00A367EA">
        <w:t>’s advice</w:t>
      </w:r>
      <w:r w:rsidR="008F48A3">
        <w:t xml:space="preserve"> may </w:t>
      </w:r>
      <w:r w:rsidR="00143909">
        <w:t>consider an adjustment</w:t>
      </w:r>
      <w:r w:rsidR="00DD1FE8">
        <w:t xml:space="preserve"> in addition to the base price</w:t>
      </w:r>
      <w:r w:rsidR="00C77CA8">
        <w:t xml:space="preserve">. </w:t>
      </w:r>
      <w:r w:rsidR="00073C12" w:rsidRPr="00F07605">
        <w:t xml:space="preserve">Potential cost drivers </w:t>
      </w:r>
      <w:r w:rsidR="003C6AFC">
        <w:t xml:space="preserve">for consideration </w:t>
      </w:r>
      <w:r w:rsidR="00073C12" w:rsidRPr="00F07605">
        <w:t>include</w:t>
      </w:r>
      <w:r w:rsidR="003C6AFC">
        <w:t>, but are not limited to,</w:t>
      </w:r>
      <w:r w:rsidR="00073C12" w:rsidRPr="00F07605">
        <w:t xml:space="preserve"> scale, location and mode of delivery. </w:t>
      </w:r>
    </w:p>
    <w:p w14:paraId="03F5893C" w14:textId="728B9759" w:rsidR="000C33E6" w:rsidRPr="00F07605" w:rsidRDefault="004D129F" w:rsidP="000C33E6">
      <w:r>
        <w:t xml:space="preserve">Any adjustment will be assessed using the criteria for recognising material cost differences outlined above, </w:t>
      </w:r>
      <w:r w:rsidR="0063783B">
        <w:t>including</w:t>
      </w:r>
      <w:r w:rsidR="000C33E6" w:rsidRPr="00F07605">
        <w:t xml:space="preserve"> the reliability </w:t>
      </w:r>
      <w:r w:rsidR="00DF5D9B">
        <w:t xml:space="preserve">or </w:t>
      </w:r>
      <w:r w:rsidR="0063783B">
        <w:t xml:space="preserve">persistence </w:t>
      </w:r>
      <w:r w:rsidR="000C33E6" w:rsidRPr="00F07605">
        <w:t>of the supporting evidence</w:t>
      </w:r>
      <w:r w:rsidR="00DF5D9B">
        <w:t xml:space="preserve"> and</w:t>
      </w:r>
      <w:r w:rsidR="00DF5D9B" w:rsidRPr="00F07605">
        <w:t xml:space="preserve"> </w:t>
      </w:r>
      <w:r w:rsidR="0063783B">
        <w:t>whether the factor is largely outside of provider control</w:t>
      </w:r>
      <w:r w:rsidR="00ED73BA" w:rsidRPr="00F07605">
        <w:t>.</w:t>
      </w:r>
    </w:p>
    <w:p w14:paraId="1E9D1ED6" w14:textId="215E4AB1" w:rsidR="0078337C" w:rsidRPr="00F07605" w:rsidRDefault="00EE186A" w:rsidP="0078337C">
      <w:r>
        <w:t xml:space="preserve">The ATEC will specifically examine whether </w:t>
      </w:r>
      <w:r w:rsidR="0078337C" w:rsidRPr="00F07605">
        <w:t>economies of scale</w:t>
      </w:r>
      <w:r w:rsidR="00BB3ECA" w:rsidRPr="00F07605">
        <w:t xml:space="preserve"> </w:t>
      </w:r>
      <w:r>
        <w:t xml:space="preserve">are </w:t>
      </w:r>
      <w:r w:rsidR="00484B00" w:rsidRPr="00F07605">
        <w:t xml:space="preserve">empirically </w:t>
      </w:r>
      <w:r w:rsidR="00BB3ECA" w:rsidRPr="00F07605">
        <w:t>supported</w:t>
      </w:r>
      <w:r>
        <w:t xml:space="preserve"> and, if so, w</w:t>
      </w:r>
      <w:r w:rsidR="00890619" w:rsidRPr="00F07605">
        <w:t xml:space="preserve">hether </w:t>
      </w:r>
      <w:r w:rsidR="00EE4A70">
        <w:t xml:space="preserve">they should be assessed </w:t>
      </w:r>
      <w:r w:rsidR="00890619" w:rsidRPr="00F07605">
        <w:t>at the campus or institution level</w:t>
      </w:r>
      <w:r w:rsidR="00C97F6D">
        <w:t>.</w:t>
      </w:r>
      <w:r w:rsidR="00890619" w:rsidRPr="00F07605">
        <w:t xml:space="preserve"> </w:t>
      </w:r>
    </w:p>
    <w:p w14:paraId="12726D86" w14:textId="77777777" w:rsidR="00204B40" w:rsidRPr="00F07605" w:rsidRDefault="00204B40" w:rsidP="00204B40">
      <w:pPr>
        <w:pStyle w:val="Heading2"/>
        <w:rPr>
          <w:kern w:val="2"/>
          <w:szCs w:val="32"/>
          <w14:ligatures w14:val="standardContextual"/>
        </w:rPr>
      </w:pPr>
      <w:bookmarkStart w:id="67" w:name="_Toc239680577"/>
      <w:r w:rsidRPr="00F07605">
        <w:t>Indexation and recalibration</w:t>
      </w:r>
    </w:p>
    <w:bookmarkEnd w:id="67"/>
    <w:p w14:paraId="2B355402" w14:textId="16F9C430" w:rsidR="00ED7361" w:rsidRDefault="007E485D" w:rsidP="008171F7">
      <w:pPr>
        <w:spacing w:line="260" w:lineRule="atLeast"/>
        <w:rPr>
          <w:rFonts w:ascii="Arial" w:hAnsi="Arial"/>
        </w:rPr>
      </w:pPr>
      <w:r>
        <w:t xml:space="preserve">Cost data will necessarily precede the period for which pricing advice applies. </w:t>
      </w:r>
      <w:r w:rsidR="0191B8D1" w:rsidRPr="00F07605">
        <w:rPr>
          <w:rFonts w:ascii="Arial" w:hAnsi="Arial"/>
        </w:rPr>
        <w:t>Once price</w:t>
      </w:r>
      <w:r w:rsidR="00473C08">
        <w:rPr>
          <w:rFonts w:ascii="Arial" w:hAnsi="Arial"/>
        </w:rPr>
        <w:t>s are</w:t>
      </w:r>
      <w:r w:rsidR="0191B8D1" w:rsidRPr="00F07605">
        <w:rPr>
          <w:rFonts w:ascii="Arial" w:hAnsi="Arial"/>
        </w:rPr>
        <w:t xml:space="preserve"> established, </w:t>
      </w:r>
      <w:r w:rsidR="00473C08">
        <w:rPr>
          <w:rFonts w:ascii="Arial" w:hAnsi="Arial"/>
        </w:rPr>
        <w:t xml:space="preserve">indexation </w:t>
      </w:r>
      <w:r w:rsidR="0191B8D1" w:rsidRPr="00F07605">
        <w:rPr>
          <w:rFonts w:ascii="Arial" w:hAnsi="Arial"/>
        </w:rPr>
        <w:t xml:space="preserve">may be </w:t>
      </w:r>
      <w:r w:rsidR="00473C08">
        <w:rPr>
          <w:rFonts w:ascii="Arial" w:hAnsi="Arial"/>
        </w:rPr>
        <w:t xml:space="preserve">used between </w:t>
      </w:r>
      <w:r w:rsidR="0191B8D1" w:rsidRPr="00F07605">
        <w:rPr>
          <w:rFonts w:ascii="Arial" w:hAnsi="Arial"/>
        </w:rPr>
        <w:t xml:space="preserve">major reviews </w:t>
      </w:r>
      <w:r w:rsidR="00540D96">
        <w:rPr>
          <w:rFonts w:ascii="Arial" w:hAnsi="Arial"/>
        </w:rPr>
        <w:t xml:space="preserve">to account for changes in </w:t>
      </w:r>
      <w:r w:rsidR="0191B8D1" w:rsidRPr="00F07605">
        <w:rPr>
          <w:rFonts w:ascii="Arial" w:hAnsi="Arial"/>
        </w:rPr>
        <w:t>input costs</w:t>
      </w:r>
      <w:r w:rsidR="00540D96">
        <w:rPr>
          <w:rFonts w:ascii="Arial" w:hAnsi="Arial"/>
        </w:rPr>
        <w:t xml:space="preserve"> and maintain their current value.</w:t>
      </w:r>
      <w:r w:rsidR="000B2517">
        <w:rPr>
          <w:rFonts w:ascii="Arial" w:hAnsi="Arial"/>
        </w:rPr>
        <w:t xml:space="preserve"> </w:t>
      </w:r>
      <w:r w:rsidR="00643D4A">
        <w:rPr>
          <w:rFonts w:ascii="Arial" w:hAnsi="Arial"/>
        </w:rPr>
        <w:t>Currently, i</w:t>
      </w:r>
      <w:r w:rsidR="008171F7" w:rsidRPr="008171F7">
        <w:rPr>
          <w:rFonts w:ascii="Arial" w:hAnsi="Arial"/>
        </w:rPr>
        <w:t xml:space="preserve">ndexation is </w:t>
      </w:r>
      <w:r w:rsidR="00ED0072">
        <w:rPr>
          <w:rFonts w:ascii="Arial" w:hAnsi="Arial"/>
        </w:rPr>
        <w:t xml:space="preserve">set through </w:t>
      </w:r>
      <w:r w:rsidR="008171F7" w:rsidRPr="008171F7">
        <w:rPr>
          <w:rFonts w:ascii="Arial" w:hAnsi="Arial"/>
        </w:rPr>
        <w:t xml:space="preserve">HESA </w:t>
      </w:r>
      <w:r w:rsidR="008171F7">
        <w:rPr>
          <w:rFonts w:ascii="Arial" w:hAnsi="Arial"/>
        </w:rPr>
        <w:t>2003 (P</w:t>
      </w:r>
      <w:r w:rsidR="008171F7" w:rsidRPr="008171F7">
        <w:rPr>
          <w:rFonts w:ascii="Arial" w:hAnsi="Arial"/>
        </w:rPr>
        <w:t>art 5-6</w:t>
      </w:r>
      <w:r w:rsidR="008171F7">
        <w:rPr>
          <w:rFonts w:ascii="Arial" w:hAnsi="Arial"/>
        </w:rPr>
        <w:t>)</w:t>
      </w:r>
      <w:r w:rsidR="00A83460">
        <w:rPr>
          <w:rFonts w:ascii="Arial" w:hAnsi="Arial"/>
        </w:rPr>
        <w:t xml:space="preserve">, where the index </w:t>
      </w:r>
      <w:r w:rsidR="00BB3432">
        <w:rPr>
          <w:rFonts w:ascii="Arial" w:hAnsi="Arial"/>
        </w:rPr>
        <w:t xml:space="preserve">is applied </w:t>
      </w:r>
      <w:r w:rsidR="00A83460">
        <w:rPr>
          <w:rFonts w:ascii="Arial" w:hAnsi="Arial"/>
        </w:rPr>
        <w:t xml:space="preserve">for the </w:t>
      </w:r>
      <w:r w:rsidR="00BB3432">
        <w:rPr>
          <w:rFonts w:ascii="Arial" w:hAnsi="Arial"/>
        </w:rPr>
        <w:t>C</w:t>
      </w:r>
      <w:r w:rsidR="00A83460">
        <w:rPr>
          <w:rFonts w:ascii="Arial" w:hAnsi="Arial"/>
        </w:rPr>
        <w:t xml:space="preserve">ommonwealth </w:t>
      </w:r>
      <w:r w:rsidR="009000B3">
        <w:rPr>
          <w:rFonts w:ascii="Arial" w:hAnsi="Arial"/>
        </w:rPr>
        <w:t>contribution and student contribution amounts</w:t>
      </w:r>
      <w:r w:rsidR="00B6395F">
        <w:rPr>
          <w:rFonts w:ascii="Arial" w:hAnsi="Arial"/>
        </w:rPr>
        <w:t xml:space="preserve"> through </w:t>
      </w:r>
      <w:r w:rsidR="00A83460" w:rsidRPr="00A83460">
        <w:rPr>
          <w:rFonts w:ascii="Arial" w:hAnsi="Arial"/>
        </w:rPr>
        <w:t>the Consumer Price Index</w:t>
      </w:r>
      <w:r w:rsidR="00B6395F">
        <w:rPr>
          <w:rFonts w:ascii="Arial" w:hAnsi="Arial"/>
        </w:rPr>
        <w:t xml:space="preserve"> </w:t>
      </w:r>
      <w:r w:rsidR="00A83460" w:rsidRPr="00A83460">
        <w:rPr>
          <w:rFonts w:ascii="Arial" w:hAnsi="Arial"/>
        </w:rPr>
        <w:t xml:space="preserve">published by the Australian </w:t>
      </w:r>
      <w:r w:rsidR="00304755">
        <w:rPr>
          <w:rFonts w:ascii="Arial" w:hAnsi="Arial"/>
        </w:rPr>
        <w:t>Bureau of Statistics (ABS)</w:t>
      </w:r>
      <w:r w:rsidR="00ED7361">
        <w:rPr>
          <w:rFonts w:ascii="Arial" w:hAnsi="Arial"/>
        </w:rPr>
        <w:t xml:space="preserve"> for the relevant quarter</w:t>
      </w:r>
      <w:r w:rsidR="008171F7" w:rsidRPr="008171F7">
        <w:rPr>
          <w:rFonts w:ascii="Arial" w:hAnsi="Arial"/>
        </w:rPr>
        <w:t xml:space="preserve">. </w:t>
      </w:r>
    </w:p>
    <w:p w14:paraId="544D5CF7" w14:textId="77777777" w:rsidR="00451944" w:rsidRDefault="000B2517" w:rsidP="00225747">
      <w:pPr>
        <w:spacing w:line="260" w:lineRule="atLeast"/>
        <w:rPr>
          <w:rFonts w:ascii="Arial" w:hAnsi="Arial"/>
        </w:rPr>
      </w:pPr>
      <w:r>
        <w:rPr>
          <w:rFonts w:ascii="Arial" w:hAnsi="Arial"/>
        </w:rPr>
        <w:t xml:space="preserve">The ATEC may consider alternative indexation approaches in developing its advice, but the </w:t>
      </w:r>
      <w:r w:rsidR="00C226B0">
        <w:rPr>
          <w:rFonts w:ascii="Arial" w:hAnsi="Arial"/>
        </w:rPr>
        <w:t xml:space="preserve">final </w:t>
      </w:r>
      <w:r w:rsidR="1D41CE33" w:rsidRPr="00F07605">
        <w:rPr>
          <w:rFonts w:ascii="Arial" w:hAnsi="Arial"/>
        </w:rPr>
        <w:t>indexation methodology remain</w:t>
      </w:r>
      <w:r w:rsidR="00C226B0">
        <w:rPr>
          <w:rFonts w:ascii="Arial" w:hAnsi="Arial"/>
        </w:rPr>
        <w:t>s</w:t>
      </w:r>
      <w:r w:rsidR="1D41CE33" w:rsidRPr="00F07605">
        <w:rPr>
          <w:rFonts w:ascii="Arial" w:hAnsi="Arial"/>
        </w:rPr>
        <w:t xml:space="preserve"> a matter for Government</w:t>
      </w:r>
      <w:r w:rsidR="00DB3F91">
        <w:rPr>
          <w:rFonts w:ascii="Arial" w:hAnsi="Arial"/>
        </w:rPr>
        <w:t xml:space="preserve"> as </w:t>
      </w:r>
      <w:r w:rsidR="00DB3F91">
        <w:t xml:space="preserve">changing </w:t>
      </w:r>
      <w:r w:rsidR="00ED0072" w:rsidRPr="008171F7">
        <w:rPr>
          <w:rFonts w:ascii="Arial" w:hAnsi="Arial"/>
        </w:rPr>
        <w:t>the method of indexation would require amendments to HESA</w:t>
      </w:r>
      <w:r w:rsidR="00ED0072">
        <w:rPr>
          <w:rFonts w:ascii="Arial" w:hAnsi="Arial"/>
        </w:rPr>
        <w:t xml:space="preserve"> 2003</w:t>
      </w:r>
      <w:r w:rsidR="00ED0072" w:rsidRPr="008171F7">
        <w:rPr>
          <w:rFonts w:ascii="Arial" w:hAnsi="Arial"/>
        </w:rPr>
        <w:t>.</w:t>
      </w:r>
      <w:r w:rsidR="00A343D0">
        <w:rPr>
          <w:rFonts w:ascii="Arial" w:hAnsi="Arial"/>
        </w:rPr>
        <w:t xml:space="preserve"> </w:t>
      </w:r>
    </w:p>
    <w:p w14:paraId="360BAD5A" w14:textId="5C12E3B0" w:rsidR="57894FE3" w:rsidRPr="00F07605" w:rsidRDefault="57894FE3" w:rsidP="00225747">
      <w:pPr>
        <w:spacing w:line="260" w:lineRule="atLeast"/>
        <w:rPr>
          <w:rFonts w:ascii="Arial" w:hAnsi="Arial"/>
          <w:szCs w:val="22"/>
        </w:rPr>
      </w:pPr>
      <w:r w:rsidRPr="00F07605">
        <w:rPr>
          <w:rFonts w:ascii="Arial" w:hAnsi="Arial"/>
          <w:szCs w:val="22"/>
        </w:rPr>
        <w:t>Recalibration</w:t>
      </w:r>
      <w:r w:rsidR="0083482D">
        <w:rPr>
          <w:rFonts w:ascii="Arial" w:hAnsi="Arial"/>
          <w:szCs w:val="22"/>
        </w:rPr>
        <w:t xml:space="preserve"> is distinct from indexation. </w:t>
      </w:r>
      <w:r w:rsidR="00951F56">
        <w:rPr>
          <w:rFonts w:ascii="Arial" w:hAnsi="Arial"/>
          <w:szCs w:val="22"/>
        </w:rPr>
        <w:t>Recalibration</w:t>
      </w:r>
      <w:r w:rsidRPr="00F07605">
        <w:rPr>
          <w:rFonts w:ascii="Arial" w:hAnsi="Arial"/>
          <w:szCs w:val="22"/>
        </w:rPr>
        <w:t xml:space="preserve"> involves reassessing the efficient-cost model</w:t>
      </w:r>
      <w:r w:rsidR="00393FEF">
        <w:rPr>
          <w:rFonts w:ascii="Arial" w:hAnsi="Arial"/>
          <w:szCs w:val="22"/>
        </w:rPr>
        <w:t xml:space="preserve">, </w:t>
      </w:r>
      <w:r w:rsidR="00CD1065">
        <w:rPr>
          <w:rFonts w:ascii="Arial" w:hAnsi="Arial"/>
          <w:szCs w:val="22"/>
        </w:rPr>
        <w:t>cost grouping</w:t>
      </w:r>
      <w:r w:rsidR="00393FEF">
        <w:rPr>
          <w:rFonts w:ascii="Arial" w:hAnsi="Arial"/>
          <w:szCs w:val="22"/>
        </w:rPr>
        <w:t xml:space="preserve"> </w:t>
      </w:r>
      <w:r w:rsidRPr="00F07605">
        <w:rPr>
          <w:rFonts w:ascii="Arial" w:hAnsi="Arial"/>
          <w:szCs w:val="22"/>
        </w:rPr>
        <w:t xml:space="preserve">relativities </w:t>
      </w:r>
      <w:r w:rsidR="00393FEF">
        <w:rPr>
          <w:rFonts w:ascii="Arial" w:hAnsi="Arial"/>
          <w:szCs w:val="22"/>
        </w:rPr>
        <w:t xml:space="preserve">and structural cost drivers </w:t>
      </w:r>
      <w:r w:rsidRPr="00F07605">
        <w:rPr>
          <w:rFonts w:ascii="Arial" w:hAnsi="Arial"/>
          <w:szCs w:val="22"/>
        </w:rPr>
        <w:t>using updated evidence. Recalibration may identify changes in delivery practices</w:t>
      </w:r>
      <w:r w:rsidR="0017104A">
        <w:rPr>
          <w:rFonts w:ascii="Arial" w:hAnsi="Arial"/>
          <w:szCs w:val="22"/>
        </w:rPr>
        <w:t>, technology or cost relationships that are not captured through common indexation</w:t>
      </w:r>
      <w:r w:rsidRPr="00F07605">
        <w:rPr>
          <w:rFonts w:ascii="Arial" w:hAnsi="Arial"/>
          <w:szCs w:val="22"/>
        </w:rPr>
        <w:t>.</w:t>
      </w:r>
    </w:p>
    <w:p w14:paraId="0CE73129" w14:textId="67B33750" w:rsidR="0069314C" w:rsidRPr="00F07605" w:rsidRDefault="00974C29">
      <w:pPr>
        <w:spacing w:line="260" w:lineRule="atLeast"/>
      </w:pPr>
      <w:r>
        <w:t xml:space="preserve">The model is proposed to be </w:t>
      </w:r>
      <w:r w:rsidR="007B25B0" w:rsidRPr="00F07605">
        <w:t>recalibrate</w:t>
      </w:r>
      <w:r>
        <w:t>d</w:t>
      </w:r>
      <w:r w:rsidR="007B25B0" w:rsidRPr="00F07605">
        <w:t xml:space="preserve"> </w:t>
      </w:r>
      <w:r w:rsidR="524F535C" w:rsidRPr="00F07605">
        <w:t>on a tri</w:t>
      </w:r>
      <w:r w:rsidR="72D33678" w:rsidRPr="00F07605">
        <w:t>ennial</w:t>
      </w:r>
      <w:r w:rsidR="524F535C" w:rsidRPr="00F07605">
        <w:t xml:space="preserve"> basis</w:t>
      </w:r>
      <w:r w:rsidR="00EA786E">
        <w:t>, subject to monitoring and implementation experience.</w:t>
      </w:r>
    </w:p>
    <w:tbl>
      <w:tblPr>
        <w:tblStyle w:val="GridTable4-Accent1"/>
        <w:tblW w:w="9634" w:type="dxa"/>
        <w:shd w:val="clear" w:color="auto" w:fill="278F85" w:themeFill="accent1" w:themeFillTint="BF"/>
        <w:tblLook w:val="04A0" w:firstRow="1" w:lastRow="0" w:firstColumn="1" w:lastColumn="0" w:noHBand="0" w:noVBand="1"/>
      </w:tblPr>
      <w:tblGrid>
        <w:gridCol w:w="9634"/>
      </w:tblGrid>
      <w:tr w:rsidR="006A13CC" w:rsidRPr="00F07605" w14:paraId="2A0A2308" w14:textId="77777777" w:rsidTr="006A19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195B54" w:themeFill="accent1" w:themeFillTint="E6"/>
            <w:tcMar>
              <w:top w:w="120" w:type="dxa"/>
              <w:left w:w="120" w:type="dxa"/>
              <w:bottom w:w="120" w:type="dxa"/>
              <w:right w:w="120" w:type="dxa"/>
            </w:tcMar>
            <w:hideMark/>
          </w:tcPr>
          <w:p w14:paraId="7B1D3E7A" w14:textId="7AAB1E0D" w:rsidR="006A13CC" w:rsidRPr="000D2626" w:rsidRDefault="006A13CC">
            <w:pPr>
              <w:pStyle w:val="ListBullet"/>
              <w:rPr>
                <w:rFonts w:eastAsiaTheme="minorEastAsia"/>
                <w:i/>
                <w:iCs/>
              </w:rPr>
            </w:pPr>
            <w:r>
              <w:rPr>
                <w:rFonts w:eastAsiaTheme="minorEastAsia"/>
                <w:i/>
                <w:iCs/>
              </w:rPr>
              <w:t>Consultation Question</w:t>
            </w:r>
            <w:r w:rsidR="009C3ACE">
              <w:rPr>
                <w:rFonts w:eastAsiaTheme="minorEastAsia"/>
                <w:i/>
                <w:iCs/>
              </w:rPr>
              <w:t>s</w:t>
            </w:r>
          </w:p>
          <w:p w14:paraId="65DDC0CD" w14:textId="77777777" w:rsidR="00367CC9" w:rsidRPr="00A343D0" w:rsidRDefault="00367CC9" w:rsidP="00367CC9">
            <w:pPr>
              <w:pStyle w:val="ListBullet"/>
              <w:numPr>
                <w:ilvl w:val="0"/>
                <w:numId w:val="74"/>
              </w:numPr>
              <w:rPr>
                <w:rFonts w:eastAsiaTheme="minorEastAsia"/>
                <w:i/>
                <w:iCs/>
              </w:rPr>
            </w:pPr>
            <w:r w:rsidRPr="006755F2">
              <w:rPr>
                <w:rFonts w:eastAsiaTheme="minorEastAsia"/>
                <w:i/>
                <w:iCs/>
              </w:rPr>
              <w:t>Should the ATEC’s pricing advice, including cost groupings, be predominantly based</w:t>
            </w:r>
            <w:r w:rsidRPr="00A343D0">
              <w:rPr>
                <w:rFonts w:eastAsiaTheme="minorEastAsia"/>
                <w:i/>
                <w:iCs/>
              </w:rPr>
              <w:t xml:space="preserve"> on the efficient cost of delivery of higher education? </w:t>
            </w:r>
            <w:r>
              <w:rPr>
                <w:rFonts w:eastAsiaTheme="minorEastAsia"/>
                <w:i/>
                <w:iCs/>
              </w:rPr>
              <w:t xml:space="preserve">Are there any </w:t>
            </w:r>
            <w:r w:rsidRPr="00A343D0">
              <w:rPr>
                <w:rFonts w:eastAsiaTheme="minorEastAsia"/>
                <w:i/>
                <w:iCs/>
              </w:rPr>
              <w:t xml:space="preserve">concerns </w:t>
            </w:r>
            <w:r>
              <w:rPr>
                <w:rFonts w:eastAsiaTheme="minorEastAsia"/>
                <w:i/>
                <w:iCs/>
              </w:rPr>
              <w:t xml:space="preserve">on </w:t>
            </w:r>
            <w:r w:rsidRPr="00A343D0">
              <w:rPr>
                <w:rFonts w:eastAsiaTheme="minorEastAsia"/>
                <w:i/>
                <w:iCs/>
              </w:rPr>
              <w:t>this proposed approach</w:t>
            </w:r>
            <w:r>
              <w:rPr>
                <w:rFonts w:eastAsiaTheme="minorEastAsia"/>
                <w:i/>
                <w:iCs/>
              </w:rPr>
              <w:t xml:space="preserve"> and if so, please provide supporting evidence to support your stance</w:t>
            </w:r>
            <w:r w:rsidRPr="00A343D0">
              <w:rPr>
                <w:rFonts w:eastAsiaTheme="minorEastAsia"/>
                <w:i/>
                <w:iCs/>
              </w:rPr>
              <w:t>?</w:t>
            </w:r>
          </w:p>
          <w:p w14:paraId="073A6AAB" w14:textId="77777777" w:rsidR="00367CC9" w:rsidRPr="002C192A" w:rsidRDefault="00367CC9" w:rsidP="00367CC9">
            <w:pPr>
              <w:pStyle w:val="ListBullet"/>
              <w:numPr>
                <w:ilvl w:val="0"/>
                <w:numId w:val="74"/>
              </w:numPr>
              <w:rPr>
                <w:rFonts w:eastAsiaTheme="minorEastAsia"/>
                <w:i/>
                <w:iCs/>
              </w:rPr>
            </w:pPr>
            <w:r w:rsidRPr="002C192A">
              <w:rPr>
                <w:rFonts w:eastAsiaTheme="minorEastAsia"/>
                <w:i/>
                <w:iCs/>
              </w:rPr>
              <w:t>Should the ATEC recommend a mixed model</w:t>
            </w:r>
            <w:r>
              <w:rPr>
                <w:rFonts w:eastAsiaTheme="minorEastAsia"/>
                <w:i/>
                <w:iCs/>
              </w:rPr>
              <w:t xml:space="preserve"> of funding?</w:t>
            </w:r>
            <w:r w:rsidRPr="002C192A">
              <w:rPr>
                <w:rFonts w:eastAsiaTheme="minorEastAsia"/>
                <w:i/>
                <w:iCs/>
              </w:rPr>
              <w:t xml:space="preserve"> </w:t>
            </w:r>
            <w:r>
              <w:rPr>
                <w:rFonts w:eastAsiaTheme="minorEastAsia"/>
                <w:i/>
                <w:iCs/>
              </w:rPr>
              <w:t xml:space="preserve">Should this be applicable for </w:t>
            </w:r>
            <w:r w:rsidRPr="002C192A">
              <w:rPr>
                <w:rFonts w:eastAsiaTheme="minorEastAsia"/>
                <w:i/>
                <w:iCs/>
              </w:rPr>
              <w:t>all universities</w:t>
            </w:r>
            <w:r>
              <w:rPr>
                <w:rFonts w:eastAsiaTheme="minorEastAsia"/>
                <w:i/>
                <w:iCs/>
              </w:rPr>
              <w:t xml:space="preserve">, or </w:t>
            </w:r>
            <w:r w:rsidRPr="6F633830">
              <w:rPr>
                <w:rFonts w:eastAsiaTheme="minorEastAsia"/>
                <w:i/>
                <w:iCs/>
              </w:rPr>
              <w:t>only to</w:t>
            </w:r>
            <w:r w:rsidRPr="002C192A">
              <w:rPr>
                <w:rFonts w:eastAsiaTheme="minorEastAsia"/>
                <w:i/>
                <w:iCs/>
              </w:rPr>
              <w:t xml:space="preserve"> 'smaller' universities </w:t>
            </w:r>
            <w:r>
              <w:rPr>
                <w:rFonts w:eastAsiaTheme="minorEastAsia"/>
                <w:i/>
                <w:iCs/>
              </w:rPr>
              <w:t>(to be</w:t>
            </w:r>
            <w:r w:rsidRPr="002C192A">
              <w:rPr>
                <w:rFonts w:eastAsiaTheme="minorEastAsia"/>
                <w:i/>
                <w:iCs/>
              </w:rPr>
              <w:t xml:space="preserve"> defined</w:t>
            </w:r>
            <w:r>
              <w:rPr>
                <w:rFonts w:eastAsiaTheme="minorEastAsia"/>
                <w:i/>
                <w:iCs/>
              </w:rPr>
              <w:t>)</w:t>
            </w:r>
            <w:r w:rsidRPr="002C192A">
              <w:rPr>
                <w:rFonts w:eastAsiaTheme="minorEastAsia"/>
                <w:i/>
                <w:iCs/>
              </w:rPr>
              <w:t xml:space="preserve">? If a mixed model </w:t>
            </w:r>
            <w:r>
              <w:rPr>
                <w:rFonts w:eastAsiaTheme="minorEastAsia"/>
                <w:i/>
                <w:iCs/>
              </w:rPr>
              <w:t xml:space="preserve">of </w:t>
            </w:r>
            <w:r>
              <w:rPr>
                <w:rFonts w:eastAsiaTheme="minorEastAsia"/>
                <w:i/>
                <w:iCs/>
              </w:rPr>
              <w:lastRenderedPageBreak/>
              <w:t xml:space="preserve">funding </w:t>
            </w:r>
            <w:r w:rsidRPr="002C192A">
              <w:rPr>
                <w:rFonts w:eastAsiaTheme="minorEastAsia"/>
                <w:i/>
                <w:iCs/>
              </w:rPr>
              <w:t xml:space="preserve">were pursued, how should the proportion of fixed and variable </w:t>
            </w:r>
            <w:r w:rsidRPr="6F633830">
              <w:rPr>
                <w:rFonts w:eastAsiaTheme="minorEastAsia"/>
                <w:i/>
                <w:iCs/>
              </w:rPr>
              <w:t xml:space="preserve">funding </w:t>
            </w:r>
            <w:r w:rsidRPr="002C192A">
              <w:rPr>
                <w:rFonts w:eastAsiaTheme="minorEastAsia"/>
                <w:i/>
                <w:iCs/>
              </w:rPr>
              <w:t>be determined</w:t>
            </w:r>
            <w:r>
              <w:rPr>
                <w:rFonts w:eastAsiaTheme="minorEastAsia"/>
                <w:i/>
                <w:iCs/>
              </w:rPr>
              <w:t xml:space="preserve"> and what evidence can be used in this consideration</w:t>
            </w:r>
            <w:r w:rsidRPr="002C192A">
              <w:rPr>
                <w:rFonts w:eastAsiaTheme="minorEastAsia"/>
                <w:i/>
                <w:iCs/>
              </w:rPr>
              <w:t>?</w:t>
            </w:r>
          </w:p>
          <w:p w14:paraId="671ACEB4" w14:textId="77777777" w:rsidR="00367CC9" w:rsidRPr="0082430E" w:rsidRDefault="00367CC9" w:rsidP="00367CC9">
            <w:pPr>
              <w:pStyle w:val="ListBullet"/>
              <w:numPr>
                <w:ilvl w:val="0"/>
                <w:numId w:val="74"/>
              </w:numPr>
              <w:rPr>
                <w:rFonts w:eastAsiaTheme="minorEastAsia"/>
                <w:i/>
                <w:iCs/>
              </w:rPr>
            </w:pPr>
            <w:r w:rsidRPr="002C192A">
              <w:rPr>
                <w:rFonts w:eastAsiaTheme="minorEastAsia"/>
                <w:i/>
                <w:iCs/>
              </w:rPr>
              <w:t xml:space="preserve">The Framework currently highlights an imbalance between depreciation and capital reinvestment as a measure of sustainability. Should the ATEC recognise this sustainability issue? What factors </w:t>
            </w:r>
            <w:r>
              <w:rPr>
                <w:rFonts w:eastAsiaTheme="minorEastAsia"/>
                <w:i/>
                <w:iCs/>
              </w:rPr>
              <w:t xml:space="preserve">and evidence </w:t>
            </w:r>
            <w:r w:rsidRPr="002C192A">
              <w:rPr>
                <w:rFonts w:eastAsiaTheme="minorEastAsia"/>
                <w:i/>
                <w:iCs/>
              </w:rPr>
              <w:t xml:space="preserve">should the ATEC </w:t>
            </w:r>
            <w:proofErr w:type="gramStart"/>
            <w:r w:rsidRPr="002C192A">
              <w:rPr>
                <w:rFonts w:eastAsiaTheme="minorEastAsia"/>
                <w:i/>
                <w:iCs/>
              </w:rPr>
              <w:t>take into account</w:t>
            </w:r>
            <w:proofErr w:type="gramEnd"/>
            <w:r w:rsidRPr="002C192A">
              <w:rPr>
                <w:rFonts w:eastAsiaTheme="minorEastAsia"/>
                <w:i/>
                <w:iCs/>
              </w:rPr>
              <w:t xml:space="preserve"> in this assessment</w:t>
            </w:r>
            <w:r>
              <w:rPr>
                <w:rFonts w:eastAsiaTheme="minorEastAsia"/>
                <w:i/>
                <w:iCs/>
              </w:rPr>
              <w:t xml:space="preserve">, </w:t>
            </w:r>
            <w:r w:rsidRPr="007F11E4">
              <w:rPr>
                <w:rFonts w:eastAsiaTheme="minorEastAsia"/>
                <w:i/>
                <w:iCs/>
              </w:rPr>
              <w:t>recognising inherited asset positions</w:t>
            </w:r>
            <w:r w:rsidRPr="002C192A">
              <w:rPr>
                <w:rFonts w:eastAsiaTheme="minorEastAsia"/>
                <w:i/>
                <w:iCs/>
              </w:rPr>
              <w:t>?</w:t>
            </w:r>
          </w:p>
          <w:p w14:paraId="18BD1CE4" w14:textId="0A78AC28" w:rsidR="006A13CC" w:rsidRPr="00D753EE" w:rsidRDefault="00367CC9" w:rsidP="00367CC9">
            <w:pPr>
              <w:pStyle w:val="ListBullet"/>
              <w:numPr>
                <w:ilvl w:val="0"/>
                <w:numId w:val="74"/>
              </w:numPr>
              <w:rPr>
                <w:rFonts w:eastAsiaTheme="minorEastAsia"/>
                <w:i/>
                <w:iCs/>
              </w:rPr>
            </w:pPr>
            <w:r w:rsidRPr="00DA757B">
              <w:rPr>
                <w:rFonts w:eastAsiaTheme="minorEastAsia"/>
                <w:i/>
                <w:iCs/>
              </w:rPr>
              <w:t>The Framework currently proposes a triennial (3-yearly) major update, balancing stability and responding to future changes. Is a triennial update an appropriate period for such an undertaking?</w:t>
            </w:r>
          </w:p>
        </w:tc>
      </w:tr>
    </w:tbl>
    <w:p w14:paraId="6A2C4E29" w14:textId="04F2BC99" w:rsidR="00775367" w:rsidRPr="00F07605" w:rsidRDefault="00775367" w:rsidP="007E39DA">
      <w:pPr>
        <w:pStyle w:val="Heading1"/>
        <w:rPr>
          <w:kern w:val="36"/>
          <w:szCs w:val="48"/>
          <w14:ligatures w14:val="standardContextual"/>
        </w:rPr>
      </w:pPr>
      <w:bookmarkStart w:id="68" w:name="_Toc244072882"/>
      <w:bookmarkStart w:id="69" w:name="_Toc239680580"/>
      <w:r w:rsidRPr="00F07605">
        <w:lastRenderedPageBreak/>
        <w:t>Proposed pathway and timeline</w:t>
      </w:r>
      <w:bookmarkEnd w:id="68"/>
    </w:p>
    <w:bookmarkEnd w:id="69"/>
    <w:p w14:paraId="2D9A6457" w14:textId="77777777" w:rsidR="00204B40" w:rsidRPr="00F07605" w:rsidRDefault="00204B40" w:rsidP="00204B40">
      <w:pPr>
        <w:pStyle w:val="Heading2"/>
        <w:rPr>
          <w:kern w:val="2"/>
          <w:szCs w:val="32"/>
          <w14:ligatures w14:val="standardContextual"/>
        </w:rPr>
      </w:pPr>
      <w:r w:rsidRPr="00F07605">
        <w:t>Pathway to final pricing advice and potential implementation</w:t>
      </w:r>
    </w:p>
    <w:p w14:paraId="46BB1FD7" w14:textId="55D6C57A" w:rsidR="00C91E50" w:rsidRPr="008473F1" w:rsidRDefault="6BCC5FF3" w:rsidP="699D8564">
      <w:r w:rsidRPr="00F07605">
        <w:rPr>
          <w:rFonts w:ascii="Arial" w:hAnsi="Arial"/>
        </w:rPr>
        <w:t xml:space="preserve">The indicative work program </w:t>
      </w:r>
      <w:r w:rsidR="009A7AB8">
        <w:rPr>
          <w:rFonts w:ascii="Arial" w:hAnsi="Arial"/>
        </w:rPr>
        <w:t xml:space="preserve">for developing pricing advice is outlined in </w:t>
      </w:r>
      <w:r w:rsidR="003D3DE3">
        <w:rPr>
          <w:rFonts w:ascii="Arial" w:hAnsi="Arial"/>
        </w:rPr>
        <w:fldChar w:fldCharType="begin"/>
      </w:r>
      <w:r w:rsidR="003D3DE3">
        <w:rPr>
          <w:rFonts w:ascii="Arial" w:hAnsi="Arial"/>
        </w:rPr>
        <w:instrText xml:space="preserve"> REF _Ref241684231 </w:instrText>
      </w:r>
      <w:r w:rsidR="003D3DE3">
        <w:rPr>
          <w:rFonts w:ascii="Arial" w:hAnsi="Arial"/>
        </w:rPr>
        <w:fldChar w:fldCharType="separate"/>
      </w:r>
      <w:r w:rsidR="003D3DE3">
        <w:t xml:space="preserve">Figure </w:t>
      </w:r>
      <w:r w:rsidR="003D3DE3">
        <w:rPr>
          <w:noProof/>
        </w:rPr>
        <w:t>2</w:t>
      </w:r>
      <w:r w:rsidR="003D3DE3">
        <w:rPr>
          <w:rFonts w:ascii="Arial" w:hAnsi="Arial"/>
        </w:rPr>
        <w:fldChar w:fldCharType="end"/>
      </w:r>
      <w:r w:rsidR="009A7AB8">
        <w:rPr>
          <w:rFonts w:ascii="Arial" w:hAnsi="Arial"/>
        </w:rPr>
        <w:t>. It includes</w:t>
      </w:r>
      <w:r w:rsidR="00780BBC">
        <w:rPr>
          <w:rFonts w:ascii="Arial" w:hAnsi="Arial"/>
        </w:rPr>
        <w:t xml:space="preserve"> Framework development, data collection, consultation, methodology testing, finalisation and advice to </w:t>
      </w:r>
      <w:r w:rsidR="6E5C4A57" w:rsidRPr="7B44942E">
        <w:rPr>
          <w:rFonts w:ascii="Arial" w:hAnsi="Arial"/>
        </w:rPr>
        <w:t>Government</w:t>
      </w:r>
      <w:r w:rsidR="00780BBC" w:rsidRPr="7B44942E">
        <w:rPr>
          <w:rFonts w:ascii="Arial" w:hAnsi="Arial"/>
        </w:rPr>
        <w:t>.</w:t>
      </w:r>
      <w:r w:rsidR="00780BBC">
        <w:rPr>
          <w:rFonts w:ascii="Arial" w:hAnsi="Arial"/>
        </w:rPr>
        <w:t xml:space="preserve"> </w:t>
      </w:r>
      <w:r w:rsidR="00437C19" w:rsidRPr="00F07605">
        <w:rPr>
          <w:rFonts w:ascii="Arial" w:hAnsi="Arial"/>
        </w:rPr>
        <w:t xml:space="preserve">The timing and sequencing of </w:t>
      </w:r>
      <w:r w:rsidR="00437C19">
        <w:rPr>
          <w:rFonts w:ascii="Arial" w:hAnsi="Arial"/>
        </w:rPr>
        <w:t xml:space="preserve">activities </w:t>
      </w:r>
      <w:r w:rsidR="00437C19" w:rsidRPr="00F07605">
        <w:rPr>
          <w:rFonts w:ascii="Arial" w:hAnsi="Arial"/>
        </w:rPr>
        <w:t xml:space="preserve">may </w:t>
      </w:r>
      <w:r w:rsidR="00437C19">
        <w:rPr>
          <w:rFonts w:ascii="Arial" w:hAnsi="Arial"/>
        </w:rPr>
        <w:t xml:space="preserve">change in response to </w:t>
      </w:r>
      <w:r w:rsidR="00437C19" w:rsidRPr="00F07605">
        <w:rPr>
          <w:rFonts w:ascii="Arial" w:hAnsi="Arial"/>
        </w:rPr>
        <w:t xml:space="preserve">data quality, provider participation, consultation findings, </w:t>
      </w:r>
      <w:r w:rsidR="008E5014">
        <w:rPr>
          <w:rFonts w:ascii="Arial" w:hAnsi="Arial"/>
        </w:rPr>
        <w:t>or other emerging requirements</w:t>
      </w:r>
      <w:r w:rsidR="00822052">
        <w:rPr>
          <w:rFonts w:ascii="Arial" w:hAnsi="Arial"/>
        </w:rPr>
        <w:t>.</w:t>
      </w:r>
    </w:p>
    <w:p w14:paraId="5F07059A" w14:textId="57700887" w:rsidR="00531F39" w:rsidRDefault="00531F39" w:rsidP="699D8564">
      <w:pPr>
        <w:sectPr w:rsidR="00531F39" w:rsidSect="00531F39">
          <w:pgSz w:w="11907" w:h="16839" w:code="9"/>
          <w:pgMar w:top="1077" w:right="1134" w:bottom="1134" w:left="1134" w:header="567" w:footer="805" w:gutter="0"/>
          <w:cols w:space="708"/>
          <w:docGrid w:linePitch="360"/>
        </w:sectPr>
      </w:pPr>
    </w:p>
    <w:p w14:paraId="5C878678" w14:textId="6AE2858E" w:rsidR="002047B7" w:rsidRDefault="50B776B1" w:rsidP="002047B7">
      <w:pPr>
        <w:pStyle w:val="Caption"/>
        <w:jc w:val="center"/>
      </w:pPr>
      <w:bookmarkStart w:id="70" w:name="_Ref241684231"/>
      <w:r>
        <w:lastRenderedPageBreak/>
        <w:t xml:space="preserve">Figure </w:t>
      </w:r>
      <w:r>
        <w:fldChar w:fldCharType="begin"/>
      </w:r>
      <w:r>
        <w:instrText>SEQ Figure \* ARABIC</w:instrText>
      </w:r>
      <w:r>
        <w:fldChar w:fldCharType="separate"/>
      </w:r>
      <w:r w:rsidRPr="1FA4C35C">
        <w:rPr>
          <w:noProof/>
        </w:rPr>
        <w:t>2</w:t>
      </w:r>
      <w:r>
        <w:fldChar w:fldCharType="end"/>
      </w:r>
      <w:bookmarkEnd w:id="70"/>
      <w:r>
        <w:t xml:space="preserve">: Indicative ATEC timeline for development of </w:t>
      </w:r>
      <w:r w:rsidR="7A687111">
        <w:t xml:space="preserve">costing and </w:t>
      </w:r>
      <w:r>
        <w:t>pricing advice (subject to this consultation)</w:t>
      </w:r>
    </w:p>
    <w:p w14:paraId="141BF7B1" w14:textId="7AEE58D8" w:rsidR="00C83E0F" w:rsidRPr="00C83E0F" w:rsidRDefault="006D2DDC" w:rsidP="008E6780">
      <w:pPr>
        <w:jc w:val="center"/>
      </w:pPr>
      <w:r w:rsidRPr="006D2DDC">
        <w:rPr>
          <w:noProof/>
        </w:rPr>
        <w:drawing>
          <wp:inline distT="0" distB="0" distL="0" distR="0" wp14:anchorId="0B7CB6CE" wp14:editId="7B8267B4">
            <wp:extent cx="7972700" cy="5314950"/>
            <wp:effectExtent l="0" t="0" r="9525" b="0"/>
            <wp:docPr id="438777179" name="Picture 1" descr="Figure 2 shows the current indicative work program for developing costing and pricing advice, with supporting advice expected in late 2027. Six numbered stages run from left to right and are connected by arrows. Dates and key milestones appear below each stage.&#10;&#10;Stage 1: Consultation and framework design&#10;Timing: October to December 2026&#10;Activity: Consult stakeholders on the proposed approach and finalise the Costing and Pricing Framework, including its objective, principles, scope, evidence and methodology.&#10;Key milestone: Consultation paper released in late 2026.&#10;&#10;Stage 2: Data acquisition&#10;Timing: January to March 2027&#10;Activity: Finalise the data-collection design and guidance, and collect data from universities, referred to in the figure as “AUCD”.&#10;Key milestone: Data collection commences in January 2027.&#10;&#10;Stage 3: Clean and verify&#10;Timing: January to March 2027, overlapping with Stage 2&#10;Activity: Standardise and clean the data.&#10;Apply common definitions and undertake quality assurance.&#10;Key milestone: Data collection completed in early 2027.&#10;&#10;Stage 4: Analyse and model&#10;Timing: April to May 2027&#10;Activity: Analyse costs. Test cost drivers and develop the pricing model.&#10;Key milestone: Preliminary analysis completed in the second quarter of 2027.&#10;&#10;Stage 5: Efficient cost and base price&#10;Timing: June to August 2027&#10;Activity: Estimate efficient costs and determine base prices. Consider pricing adjustments.&#10;Key milestone: Draft costing and pricing advice completed in the second quarter of 2027.&#10;&#10;Stage 6: ATEC advice to government &#10;Timing: September 2027&#10;Activity: Finalise and provide independent costing and pricing advice to government. Government determines final policy, funding and implementation arrangements. ATEC will monitor and recalibrate the advice over time.&#10;Key milestone: Costing and pricing advice provided to government in the third quarter of 2027.&#10;&#10;Notes accompanying the timeline:&#10;1. All timings are indicative and may be refined as work progresses. Some activities overlap to support iterative development and early engagement.&#10;2. Publication of pricing advice will be subject to government decisions about timing and 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77179" name="Picture 1" descr="Figure 2 shows the current indicative work program for developing costing and pricing advice, with supporting advice expected in late 2027. Six numbered stages run from left to right and are connected by arrows. Dates and key milestones appear below each stage.&#10;&#10;Stage 1: Consultation and framework design&#10;Timing: October to December 2026&#10;Activity: Consult stakeholders on the proposed approach and finalise the Costing and Pricing Framework, including its objective, principles, scope, evidence and methodology.&#10;Key milestone: Consultation paper released in late 2026.&#10;&#10;Stage 2: Data acquisition&#10;Timing: January to March 2027&#10;Activity: Finalise the data-collection design and guidance, and collect data from universities, referred to in the figure as “AUCD”.&#10;Key milestone: Data collection commences in January 2027.&#10;&#10;Stage 3: Clean and verify&#10;Timing: January to March 2027, overlapping with Stage 2&#10;Activity: Standardise and clean the data.&#10;Apply common definitions and undertake quality assurance.&#10;Key milestone: Data collection completed in early 2027.&#10;&#10;Stage 4: Analyse and model&#10;Timing: April to May 2027&#10;Activity: Analyse costs. Test cost drivers and develop the pricing model.&#10;Key milestone: Preliminary analysis completed in the second quarter of 2027.&#10;&#10;Stage 5: Efficient cost and base price&#10;Timing: June to August 2027&#10;Activity: Estimate efficient costs and determine base prices. Consider pricing adjustments.&#10;Key milestone: Draft costing and pricing advice completed in the second quarter of 2027.&#10;&#10;Stage 6: ATEC advice to government &#10;Timing: September 2027&#10;Activity: Finalise and provide independent costing and pricing advice to government. Government determines final policy, funding and implementation arrangements. ATEC will monitor and recalibrate the advice over time.&#10;Key milestone: Costing and pricing advice provided to government in the third quarter of 2027.&#10;&#10;Notes accompanying the timeline:&#10;1. All timings are indicative and may be refined as work progresses. Some activities overlap to support iterative development and early engagement.&#10;2. Publication of pricing advice will be subject to government decisions about timing and scope."/>
                    <pic:cNvPicPr/>
                  </pic:nvPicPr>
                  <pic:blipFill>
                    <a:blip r:embed="rId22"/>
                    <a:stretch>
                      <a:fillRect/>
                    </a:stretch>
                  </pic:blipFill>
                  <pic:spPr>
                    <a:xfrm>
                      <a:off x="0" y="0"/>
                      <a:ext cx="8006272" cy="5337331"/>
                    </a:xfrm>
                    <a:prstGeom prst="rect">
                      <a:avLst/>
                    </a:prstGeom>
                  </pic:spPr>
                </pic:pic>
              </a:graphicData>
            </a:graphic>
          </wp:inline>
        </w:drawing>
      </w:r>
    </w:p>
    <w:p w14:paraId="7A91E3EA" w14:textId="382B2921" w:rsidR="00D5733B" w:rsidRDefault="00D5733B" w:rsidP="006E7BB5">
      <w:pPr>
        <w:jc w:val="center"/>
        <w:sectPr w:rsidR="00D5733B" w:rsidSect="006450B7">
          <w:pgSz w:w="16839" w:h="11907" w:orient="landscape" w:code="9"/>
          <w:pgMar w:top="1134" w:right="1077" w:bottom="1134" w:left="1134" w:header="567" w:footer="805" w:gutter="0"/>
          <w:cols w:space="708"/>
          <w:docGrid w:linePitch="360"/>
        </w:sectPr>
      </w:pPr>
    </w:p>
    <w:p w14:paraId="6125E221" w14:textId="620134FB" w:rsidR="000548AF" w:rsidRPr="00F07605" w:rsidRDefault="000548AF" w:rsidP="000548AF">
      <w:pPr>
        <w:pStyle w:val="Heading1"/>
        <w:numPr>
          <w:ilvl w:val="0"/>
          <w:numId w:val="0"/>
        </w:numPr>
        <w:ind w:left="227" w:hanging="227"/>
        <w:rPr>
          <w:kern w:val="36"/>
          <w:szCs w:val="48"/>
          <w14:ligatures w14:val="standardContextual"/>
        </w:rPr>
      </w:pPr>
      <w:bookmarkStart w:id="71" w:name="_Toc237875698"/>
      <w:bookmarkStart w:id="72" w:name="_Toc237875699"/>
      <w:bookmarkStart w:id="73" w:name="_Toc237875700"/>
      <w:bookmarkStart w:id="74" w:name="_Toc237875701"/>
      <w:bookmarkStart w:id="75" w:name="_Toc237875702"/>
      <w:bookmarkStart w:id="76" w:name="_Toc237875703"/>
      <w:bookmarkStart w:id="77" w:name="_Toc237875704"/>
      <w:bookmarkStart w:id="78" w:name="_Toc237875705"/>
      <w:bookmarkStart w:id="79" w:name="_Toc237875706"/>
      <w:bookmarkStart w:id="80" w:name="_Toc237875707"/>
      <w:bookmarkStart w:id="81" w:name="_Toc237875708"/>
      <w:bookmarkStart w:id="82" w:name="_Toc237875709"/>
      <w:bookmarkStart w:id="83" w:name="_Toc237875710"/>
      <w:bookmarkStart w:id="84" w:name="_Toc237875711"/>
      <w:bookmarkStart w:id="85" w:name="_Toc237875712"/>
      <w:bookmarkStart w:id="86" w:name="_Toc237875713"/>
      <w:bookmarkStart w:id="87" w:name="_Toc237875714"/>
      <w:bookmarkStart w:id="88" w:name="_Toc237875715"/>
      <w:bookmarkStart w:id="89" w:name="_Toc237875716"/>
      <w:bookmarkStart w:id="90" w:name="_Toc237875717"/>
      <w:bookmarkStart w:id="91" w:name="_Toc237875718"/>
      <w:bookmarkStart w:id="92" w:name="_Toc237875719"/>
      <w:bookmarkStart w:id="93" w:name="_Toc237875720"/>
      <w:bookmarkStart w:id="94" w:name="_Toc237875721"/>
      <w:bookmarkStart w:id="95" w:name="_Toc237875722"/>
      <w:bookmarkStart w:id="96" w:name="_Toc237875723"/>
      <w:bookmarkStart w:id="97" w:name="_Toc244072883"/>
      <w:bookmarkStart w:id="98" w:name="_Toc239680584"/>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sidRPr="00F07605">
        <w:lastRenderedPageBreak/>
        <w:t>Appendix 1: Key terms</w:t>
      </w:r>
      <w:bookmarkEnd w:id="97"/>
    </w:p>
    <w:p w14:paraId="0560FA5D" w14:textId="77777777" w:rsidR="000548AF" w:rsidRPr="00902840" w:rsidRDefault="000548AF" w:rsidP="000548AF">
      <w:pPr>
        <w:rPr>
          <w:rFonts w:ascii="Arial" w:hAnsi="Arial"/>
          <w:szCs w:val="22"/>
        </w:rPr>
      </w:pPr>
      <w:r w:rsidRPr="00F07605">
        <w:rPr>
          <w:rFonts w:ascii="Arial" w:hAnsi="Arial"/>
          <w:b/>
          <w:bCs/>
          <w:szCs w:val="22"/>
        </w:rPr>
        <w:t>Adjustment</w:t>
      </w:r>
      <w:r>
        <w:rPr>
          <w:rFonts w:ascii="Arial" w:hAnsi="Arial"/>
          <w:b/>
          <w:bCs/>
          <w:szCs w:val="22"/>
        </w:rPr>
        <w:t xml:space="preserve"> or</w:t>
      </w:r>
      <w:r w:rsidRPr="00F07605">
        <w:rPr>
          <w:rFonts w:ascii="Arial" w:hAnsi="Arial"/>
          <w:b/>
          <w:bCs/>
          <w:szCs w:val="22"/>
        </w:rPr>
        <w:t xml:space="preserve"> adjustment factor:</w:t>
      </w:r>
      <w:r w:rsidRPr="00F07605">
        <w:rPr>
          <w:rFonts w:ascii="Arial" w:hAnsi="Arial"/>
          <w:szCs w:val="22"/>
        </w:rPr>
        <w:t xml:space="preserve"> </w:t>
      </w:r>
      <w:r>
        <w:rPr>
          <w:rFonts w:ascii="Arial" w:hAnsi="Arial"/>
          <w:szCs w:val="22"/>
        </w:rPr>
        <w:t>A</w:t>
      </w:r>
      <w:r w:rsidRPr="00F07605">
        <w:rPr>
          <w:rFonts w:ascii="Arial" w:hAnsi="Arial"/>
          <w:szCs w:val="22"/>
        </w:rPr>
        <w:t>n additional pricing component that may be recommended where evidence shows a material, measurable and largely structural cost driver not adequately captured in the base price.</w:t>
      </w:r>
    </w:p>
    <w:p w14:paraId="74716440" w14:textId="77777777" w:rsidR="000548AF" w:rsidRPr="00F07605" w:rsidRDefault="000548AF" w:rsidP="000548AF">
      <w:pPr>
        <w:rPr>
          <w:rFonts w:ascii="Arial" w:hAnsi="Arial"/>
        </w:rPr>
      </w:pPr>
      <w:r w:rsidRPr="00F07605">
        <w:rPr>
          <w:rFonts w:ascii="Arial" w:hAnsi="Arial"/>
          <w:b/>
        </w:rPr>
        <w:t>Australian Universities Costs Dataset (</w:t>
      </w:r>
      <w:r w:rsidRPr="00F07605">
        <w:rPr>
          <w:rFonts w:ascii="Arial" w:hAnsi="Arial"/>
          <w:b/>
          <w:bCs/>
        </w:rPr>
        <w:t>AUCD</w:t>
      </w:r>
      <w:r w:rsidRPr="00F07605">
        <w:rPr>
          <w:rFonts w:ascii="Arial" w:hAnsi="Arial"/>
          <w:b/>
        </w:rPr>
        <w:t>):</w:t>
      </w:r>
      <w:r w:rsidRPr="00F07605">
        <w:rPr>
          <w:rFonts w:ascii="Arial" w:hAnsi="Arial"/>
        </w:rPr>
        <w:t xml:space="preserve"> The proposed dataset of standardised expenditure and activity-based costing information collected from participating universities. The dataset is intended to provide the primary evidence base for estimating efficient costs, assessing cost drivers and developing pricing advice.</w:t>
      </w:r>
    </w:p>
    <w:p w14:paraId="3D1FDA5F" w14:textId="77777777" w:rsidR="000548AF" w:rsidRPr="00F07605" w:rsidRDefault="000548AF" w:rsidP="000548AF">
      <w:r w:rsidRPr="00F07605">
        <w:rPr>
          <w:rFonts w:ascii="Arial" w:hAnsi="Arial"/>
          <w:b/>
          <w:bCs/>
        </w:rPr>
        <w:t>Commonwealth Supported Place (CSP):</w:t>
      </w:r>
      <w:r w:rsidRPr="00F07605">
        <w:rPr>
          <w:rFonts w:ascii="Arial" w:hAnsi="Arial"/>
        </w:rPr>
        <w:t xml:space="preserve"> A higher education place for which the Australian Government provides a subsidy through the Commonwealth Grant Scheme. Students enrolled in a CSP contribute towards the cost of their education through a student contribution amount, with the remaining amount funded by the Commonwealth.</w:t>
      </w:r>
    </w:p>
    <w:p w14:paraId="0A093061" w14:textId="77777777" w:rsidR="000548AF" w:rsidRPr="00F07605" w:rsidRDefault="000548AF" w:rsidP="000548AF">
      <w:pPr>
        <w:rPr>
          <w:rFonts w:ascii="Arial" w:hAnsi="Arial"/>
          <w:szCs w:val="22"/>
        </w:rPr>
      </w:pPr>
      <w:r w:rsidRPr="00F07605">
        <w:rPr>
          <w:rFonts w:ascii="Arial" w:hAnsi="Arial"/>
          <w:b/>
          <w:bCs/>
          <w:szCs w:val="22"/>
        </w:rPr>
        <w:t>Commonwealth Contribution Amount (CCA):</w:t>
      </w:r>
      <w:r w:rsidRPr="00F07605">
        <w:rPr>
          <w:rFonts w:ascii="Arial" w:hAnsi="Arial"/>
          <w:szCs w:val="22"/>
        </w:rPr>
        <w:t xml:space="preserve"> The portion of the total price for a Commonwealth </w:t>
      </w:r>
      <w:r>
        <w:rPr>
          <w:rFonts w:ascii="Arial" w:hAnsi="Arial"/>
          <w:szCs w:val="22"/>
        </w:rPr>
        <w:t>s</w:t>
      </w:r>
      <w:r w:rsidRPr="00F07605">
        <w:rPr>
          <w:rFonts w:ascii="Arial" w:hAnsi="Arial"/>
          <w:szCs w:val="22"/>
        </w:rPr>
        <w:t xml:space="preserve">upported </w:t>
      </w:r>
      <w:r>
        <w:rPr>
          <w:rFonts w:ascii="Arial" w:hAnsi="Arial"/>
          <w:szCs w:val="22"/>
        </w:rPr>
        <w:t>p</w:t>
      </w:r>
      <w:r w:rsidRPr="00F07605">
        <w:rPr>
          <w:rFonts w:ascii="Arial" w:hAnsi="Arial"/>
          <w:szCs w:val="22"/>
        </w:rPr>
        <w:t>lace that is funded by the Australian Government. The Commonwealth contribution amount is determined separately from the student contribution amount and together they comprise the total price.</w:t>
      </w:r>
    </w:p>
    <w:p w14:paraId="1D919FC1" w14:textId="77777777" w:rsidR="000548AF" w:rsidRPr="00D773B1" w:rsidRDefault="000548AF" w:rsidP="000548AF">
      <w:r w:rsidRPr="00F07605">
        <w:rPr>
          <w:rFonts w:ascii="Arial" w:hAnsi="Arial"/>
          <w:b/>
          <w:bCs/>
        </w:rPr>
        <w:t>Cost:</w:t>
      </w:r>
      <w:r w:rsidRPr="00F07605">
        <w:rPr>
          <w:rFonts w:ascii="Arial" w:hAnsi="Arial"/>
        </w:rPr>
        <w:t xml:space="preserve"> </w:t>
      </w:r>
      <w:r>
        <w:rPr>
          <w:rFonts w:ascii="Arial" w:hAnsi="Arial"/>
        </w:rPr>
        <w:t>E</w:t>
      </w:r>
      <w:r w:rsidRPr="00F07605">
        <w:rPr>
          <w:rFonts w:ascii="Arial" w:hAnsi="Arial"/>
        </w:rPr>
        <w:t>xpenditure incurred by universities for delivering a unit of study per Equivalent Full-</w:t>
      </w:r>
      <w:r w:rsidRPr="00D773B1">
        <w:rPr>
          <w:rFonts w:ascii="Arial" w:hAnsi="Arial"/>
        </w:rPr>
        <w:t>Time Student Load (EFTSL).</w:t>
      </w:r>
    </w:p>
    <w:p w14:paraId="76AA7086" w14:textId="66DFFCB5" w:rsidR="000548AF" w:rsidRPr="00D773B1" w:rsidRDefault="000548AF" w:rsidP="000548AF">
      <w:r w:rsidRPr="00D773B1">
        <w:rPr>
          <w:rFonts w:ascii="Arial" w:hAnsi="Arial"/>
          <w:b/>
          <w:bCs/>
        </w:rPr>
        <w:t xml:space="preserve">Cost </w:t>
      </w:r>
      <w:r w:rsidR="000726C3">
        <w:rPr>
          <w:rFonts w:ascii="Arial" w:hAnsi="Arial"/>
          <w:b/>
          <w:bCs/>
        </w:rPr>
        <w:t>g</w:t>
      </w:r>
      <w:r w:rsidRPr="00D773B1">
        <w:rPr>
          <w:rFonts w:ascii="Arial" w:hAnsi="Arial"/>
          <w:b/>
          <w:bCs/>
        </w:rPr>
        <w:t xml:space="preserve">roupings: </w:t>
      </w:r>
      <w:r w:rsidRPr="00FF774A">
        <w:rPr>
          <w:rFonts w:ascii="Arial" w:hAnsi="Arial"/>
        </w:rPr>
        <w:t>U</w:t>
      </w:r>
      <w:r w:rsidRPr="00D773B1">
        <w:rPr>
          <w:rFonts w:ascii="Arial" w:hAnsi="Arial"/>
        </w:rPr>
        <w:t>nits that are grouped together that have similar efficient delivery costs for the purposes of determining pricing amounts.</w:t>
      </w:r>
    </w:p>
    <w:p w14:paraId="03ABB47A" w14:textId="77777777" w:rsidR="000548AF" w:rsidRDefault="000548AF" w:rsidP="000548AF">
      <w:pPr>
        <w:rPr>
          <w:rFonts w:ascii="Arial" w:hAnsi="Arial"/>
        </w:rPr>
      </w:pPr>
      <w:r w:rsidRPr="00D773B1">
        <w:rPr>
          <w:rFonts w:ascii="Arial" w:hAnsi="Arial"/>
          <w:b/>
          <w:bCs/>
        </w:rPr>
        <w:t>Efficient cost:</w:t>
      </w:r>
      <w:r w:rsidRPr="00D773B1">
        <w:rPr>
          <w:rFonts w:ascii="Arial" w:hAnsi="Arial"/>
        </w:rPr>
        <w:t xml:space="preserve"> The cost that reflects contemporary teaching and scholarship practices for a typical student cohort based on achieving a sector-wide standard of quality</w:t>
      </w:r>
      <w:r>
        <w:rPr>
          <w:rFonts w:ascii="Arial" w:hAnsi="Arial"/>
        </w:rPr>
        <w:t xml:space="preserve"> </w:t>
      </w:r>
      <w:r w:rsidRPr="009B7A9B">
        <w:rPr>
          <w:rFonts w:ascii="Arial" w:hAnsi="Arial"/>
        </w:rPr>
        <w:t>without avoidable inefficiency</w:t>
      </w:r>
      <w:r w:rsidRPr="00D773B1">
        <w:rPr>
          <w:rFonts w:ascii="Arial" w:hAnsi="Arial"/>
        </w:rPr>
        <w:t>.</w:t>
      </w:r>
    </w:p>
    <w:p w14:paraId="6D376018" w14:textId="77777777" w:rsidR="000548AF" w:rsidRPr="00F07605" w:rsidRDefault="000548AF" w:rsidP="000548AF">
      <w:r w:rsidRPr="006755F2">
        <w:rPr>
          <w:b/>
          <w:bCs/>
        </w:rPr>
        <w:t>Equivalent Full-Time Student Load (EFTSL):</w:t>
      </w:r>
      <w:r>
        <w:t xml:space="preserve"> A</w:t>
      </w:r>
      <w:r w:rsidRPr="00170313">
        <w:t xml:space="preserve"> measure of a full-time student’s annual study load </w:t>
      </w:r>
      <w:r>
        <w:t>(</w:t>
      </w:r>
      <w:r w:rsidRPr="006755F2">
        <w:rPr>
          <w:i/>
          <w:iCs/>
        </w:rPr>
        <w:t>HESA 2003</w:t>
      </w:r>
      <w:r>
        <w:t xml:space="preserve">, </w:t>
      </w:r>
      <w:r w:rsidRPr="00170313">
        <w:t>section 169-27</w:t>
      </w:r>
      <w:r>
        <w:t>)</w:t>
      </w:r>
      <w:r w:rsidRPr="00170313">
        <w:t>.</w:t>
      </w:r>
    </w:p>
    <w:p w14:paraId="006E6645" w14:textId="77777777" w:rsidR="000548AF" w:rsidRPr="00F07605" w:rsidRDefault="000548AF" w:rsidP="000548AF">
      <w:pPr>
        <w:rPr>
          <w:rFonts w:ascii="Arial" w:hAnsi="Arial"/>
        </w:rPr>
      </w:pPr>
      <w:r w:rsidRPr="00F07605">
        <w:rPr>
          <w:rFonts w:ascii="Arial" w:hAnsi="Arial"/>
          <w:b/>
          <w:bCs/>
        </w:rPr>
        <w:t>Field of Education (</w:t>
      </w:r>
      <w:proofErr w:type="spellStart"/>
      <w:r w:rsidRPr="00F07605">
        <w:rPr>
          <w:rFonts w:ascii="Arial" w:hAnsi="Arial"/>
          <w:b/>
          <w:bCs/>
        </w:rPr>
        <w:t>FoE</w:t>
      </w:r>
      <w:proofErr w:type="spellEnd"/>
      <w:r w:rsidRPr="00F07605">
        <w:rPr>
          <w:rFonts w:ascii="Arial" w:hAnsi="Arial"/>
          <w:b/>
          <w:bCs/>
        </w:rPr>
        <w:t>):</w:t>
      </w:r>
      <w:r w:rsidRPr="00F07605">
        <w:rPr>
          <w:rFonts w:ascii="Arial" w:hAnsi="Arial"/>
        </w:rPr>
        <w:t xml:space="preserve"> A classification of units of study based on their disciplinary content, generally using the Australian Standard Classification of Education (ASCED). </w:t>
      </w:r>
      <w:proofErr w:type="spellStart"/>
      <w:r w:rsidRPr="00F07605">
        <w:rPr>
          <w:rFonts w:ascii="Arial" w:hAnsi="Arial"/>
        </w:rPr>
        <w:t>FoE</w:t>
      </w:r>
      <w:proofErr w:type="spellEnd"/>
      <w:r w:rsidRPr="00F07605">
        <w:rPr>
          <w:rFonts w:ascii="Arial" w:hAnsi="Arial"/>
        </w:rPr>
        <w:t xml:space="preserve"> is expected to be a primary factor in the design of </w:t>
      </w:r>
      <w:r>
        <w:rPr>
          <w:rFonts w:ascii="Arial" w:hAnsi="Arial"/>
        </w:rPr>
        <w:t>cost grouping</w:t>
      </w:r>
      <w:r w:rsidRPr="00F07605">
        <w:rPr>
          <w:rFonts w:ascii="Arial" w:hAnsi="Arial"/>
        </w:rPr>
        <w:t>s and the assessment of efficient costs.</w:t>
      </w:r>
    </w:p>
    <w:p w14:paraId="265607C3" w14:textId="77777777" w:rsidR="000548AF" w:rsidRPr="00F07605" w:rsidRDefault="000548AF" w:rsidP="000548AF">
      <w:pPr>
        <w:rPr>
          <w:rFonts w:ascii="Arial" w:hAnsi="Arial"/>
          <w:szCs w:val="22"/>
        </w:rPr>
      </w:pPr>
      <w:r w:rsidRPr="00F07605">
        <w:rPr>
          <w:rFonts w:ascii="Arial" w:hAnsi="Arial"/>
          <w:b/>
          <w:bCs/>
          <w:szCs w:val="22"/>
        </w:rPr>
        <w:t>Indexation:</w:t>
      </w:r>
      <w:r w:rsidRPr="00F07605">
        <w:rPr>
          <w:rFonts w:ascii="Arial" w:hAnsi="Arial"/>
          <w:szCs w:val="22"/>
        </w:rPr>
        <w:t xml:space="preserve"> The process of updating prices between major pricing reviews to reflect changes in costs over time. Indexation maintains the current value of prices but does not reassess underlying efficient costs or pricing relativities.</w:t>
      </w:r>
    </w:p>
    <w:p w14:paraId="4D747B23" w14:textId="77777777" w:rsidR="000548AF" w:rsidRPr="00F07605" w:rsidRDefault="000548AF" w:rsidP="000548AF">
      <w:pPr>
        <w:rPr>
          <w:rFonts w:ascii="Arial" w:hAnsi="Arial"/>
          <w:szCs w:val="22"/>
        </w:rPr>
      </w:pPr>
      <w:r w:rsidRPr="00F07605">
        <w:rPr>
          <w:rFonts w:ascii="Arial" w:hAnsi="Arial"/>
          <w:b/>
          <w:bCs/>
          <w:szCs w:val="22"/>
        </w:rPr>
        <w:t>Observed cost</w:t>
      </w:r>
      <w:r w:rsidRPr="00F07605">
        <w:rPr>
          <w:rFonts w:ascii="Arial" w:hAnsi="Arial"/>
          <w:szCs w:val="22"/>
        </w:rPr>
        <w:t xml:space="preserve">: </w:t>
      </w:r>
      <w:r>
        <w:rPr>
          <w:rFonts w:ascii="Arial" w:hAnsi="Arial"/>
          <w:szCs w:val="22"/>
        </w:rPr>
        <w:t>T</w:t>
      </w:r>
      <w:r w:rsidRPr="00F07605">
        <w:rPr>
          <w:rFonts w:ascii="Arial" w:hAnsi="Arial"/>
          <w:szCs w:val="22"/>
        </w:rPr>
        <w:t>he cost reported or allocated by providers under existing practices. Observed cost is evidence for analysis but is not automatically treated as efficient cost.</w:t>
      </w:r>
    </w:p>
    <w:p w14:paraId="08A4D502" w14:textId="77777777" w:rsidR="000548AF" w:rsidRDefault="000548AF" w:rsidP="000548AF">
      <w:pPr>
        <w:rPr>
          <w:rFonts w:ascii="Arial" w:hAnsi="Arial"/>
        </w:rPr>
      </w:pPr>
      <w:r w:rsidRPr="00F07605">
        <w:rPr>
          <w:rFonts w:ascii="Arial" w:hAnsi="Arial"/>
          <w:b/>
          <w:bCs/>
        </w:rPr>
        <w:t>Price (Total Price):</w:t>
      </w:r>
      <w:r w:rsidRPr="00F07605">
        <w:rPr>
          <w:rFonts w:ascii="Arial" w:hAnsi="Arial"/>
        </w:rPr>
        <w:t xml:space="preserve"> </w:t>
      </w:r>
      <w:r w:rsidRPr="00E34C3E">
        <w:rPr>
          <w:rFonts w:ascii="Arial" w:hAnsi="Arial"/>
        </w:rPr>
        <w:t>The</w:t>
      </w:r>
      <w:r>
        <w:rPr>
          <w:rFonts w:ascii="Arial" w:hAnsi="Arial"/>
        </w:rPr>
        <w:t xml:space="preserve"> </w:t>
      </w:r>
      <w:r w:rsidRPr="00E34C3E">
        <w:rPr>
          <w:rFonts w:ascii="Arial" w:hAnsi="Arial"/>
        </w:rPr>
        <w:t xml:space="preserve">total funding associated with a </w:t>
      </w:r>
      <w:r>
        <w:rPr>
          <w:rFonts w:ascii="Arial" w:hAnsi="Arial"/>
        </w:rPr>
        <w:t>Commonwealth supported place</w:t>
      </w:r>
      <w:r w:rsidRPr="00E34C3E">
        <w:rPr>
          <w:rFonts w:ascii="Arial" w:hAnsi="Arial"/>
        </w:rPr>
        <w:t>, comprising the Commonwealth contribution and the student contribution, expressed on an</w:t>
      </w:r>
      <w:r>
        <w:rPr>
          <w:rFonts w:ascii="Arial" w:hAnsi="Arial"/>
        </w:rPr>
        <w:t xml:space="preserve"> </w:t>
      </w:r>
      <w:r w:rsidRPr="00F07605">
        <w:rPr>
          <w:rFonts w:ascii="Arial" w:hAnsi="Arial"/>
        </w:rPr>
        <w:t>Equivalent Full-</w:t>
      </w:r>
      <w:r w:rsidRPr="00D773B1">
        <w:rPr>
          <w:rFonts w:ascii="Arial" w:hAnsi="Arial"/>
        </w:rPr>
        <w:t>Time Student Load (EFTSL)</w:t>
      </w:r>
      <w:r w:rsidRPr="00E34C3E">
        <w:rPr>
          <w:rFonts w:ascii="Arial" w:hAnsi="Arial"/>
        </w:rPr>
        <w:t xml:space="preserve"> basis. This is </w:t>
      </w:r>
      <w:r>
        <w:rPr>
          <w:rFonts w:ascii="Arial" w:hAnsi="Arial"/>
        </w:rPr>
        <w:t>analogous to what is often</w:t>
      </w:r>
      <w:r w:rsidRPr="00E34C3E">
        <w:rPr>
          <w:rFonts w:ascii="Arial" w:hAnsi="Arial"/>
        </w:rPr>
        <w:t xml:space="preserve"> referred to as </w:t>
      </w:r>
      <w:r>
        <w:rPr>
          <w:rFonts w:ascii="Arial" w:hAnsi="Arial"/>
        </w:rPr>
        <w:t xml:space="preserve">the </w:t>
      </w:r>
      <w:r w:rsidRPr="00E34C3E">
        <w:rPr>
          <w:rFonts w:ascii="Arial" w:hAnsi="Arial"/>
        </w:rPr>
        <w:t xml:space="preserve">base funding amount. </w:t>
      </w:r>
    </w:p>
    <w:p w14:paraId="368C5D15" w14:textId="77777777" w:rsidR="000548AF" w:rsidRPr="00F07605" w:rsidRDefault="000548AF" w:rsidP="000548AF">
      <w:pPr>
        <w:rPr>
          <w:rFonts w:ascii="Arial" w:hAnsi="Arial"/>
        </w:rPr>
      </w:pPr>
      <w:r w:rsidRPr="00114A03">
        <w:rPr>
          <w:rFonts w:ascii="Arial" w:hAnsi="Arial"/>
        </w:rPr>
        <w:t xml:space="preserve">For </w:t>
      </w:r>
      <w:r>
        <w:rPr>
          <w:rFonts w:ascii="Arial" w:hAnsi="Arial"/>
        </w:rPr>
        <w:t>each Field of Education (</w:t>
      </w:r>
      <w:proofErr w:type="spellStart"/>
      <w:r>
        <w:rPr>
          <w:rFonts w:ascii="Arial" w:hAnsi="Arial"/>
        </w:rPr>
        <w:t>FoE</w:t>
      </w:r>
      <w:proofErr w:type="spellEnd"/>
      <w:r>
        <w:rPr>
          <w:rFonts w:ascii="Arial" w:hAnsi="Arial"/>
        </w:rPr>
        <w:t>), the price</w:t>
      </w:r>
      <w:r w:rsidRPr="00114A03">
        <w:rPr>
          <w:rFonts w:ascii="Arial" w:hAnsi="Arial"/>
        </w:rPr>
        <w:t xml:space="preserve"> will be calculated by multiplying a base price by the price relativity for the</w:t>
      </w:r>
      <w:r>
        <w:rPr>
          <w:rFonts w:ascii="Arial" w:hAnsi="Arial"/>
        </w:rPr>
        <w:t xml:space="preserve"> </w:t>
      </w:r>
      <w:proofErr w:type="spellStart"/>
      <w:r>
        <w:rPr>
          <w:rFonts w:ascii="Arial" w:hAnsi="Arial"/>
        </w:rPr>
        <w:t>FoE</w:t>
      </w:r>
      <w:proofErr w:type="spellEnd"/>
      <w:r>
        <w:rPr>
          <w:rFonts w:ascii="Arial" w:hAnsi="Arial"/>
        </w:rPr>
        <w:t>.</w:t>
      </w:r>
    </w:p>
    <w:p w14:paraId="41DBC0AD" w14:textId="77777777" w:rsidR="000548AF" w:rsidRPr="00F07605" w:rsidRDefault="000548AF" w:rsidP="000548AF">
      <w:pPr>
        <w:rPr>
          <w:rFonts w:ascii="Arial" w:hAnsi="Arial"/>
          <w:szCs w:val="22"/>
        </w:rPr>
      </w:pPr>
      <w:r w:rsidRPr="00F07605">
        <w:rPr>
          <w:rFonts w:ascii="Arial" w:hAnsi="Arial"/>
          <w:b/>
          <w:bCs/>
          <w:szCs w:val="22"/>
        </w:rPr>
        <w:lastRenderedPageBreak/>
        <w:t>Recalibration:</w:t>
      </w:r>
      <w:r w:rsidRPr="00F07605">
        <w:rPr>
          <w:rFonts w:ascii="Arial" w:hAnsi="Arial"/>
          <w:szCs w:val="22"/>
        </w:rPr>
        <w:t xml:space="preserve"> The periodic reassessment of efficient costs, pricing relativities, </w:t>
      </w:r>
      <w:r>
        <w:rPr>
          <w:rFonts w:ascii="Arial" w:hAnsi="Arial"/>
          <w:szCs w:val="22"/>
        </w:rPr>
        <w:t>cost grouping</w:t>
      </w:r>
      <w:r w:rsidRPr="00F07605">
        <w:rPr>
          <w:rFonts w:ascii="Arial" w:hAnsi="Arial"/>
          <w:szCs w:val="22"/>
        </w:rPr>
        <w:t>s and other components of the pricing model using updated evidence. Recalibration is distinct from indexation because it examines whether underlying cost relationships have changed.</w:t>
      </w:r>
    </w:p>
    <w:p w14:paraId="267B82B8" w14:textId="77777777" w:rsidR="000548AF" w:rsidRDefault="000548AF" w:rsidP="000548AF">
      <w:pPr>
        <w:rPr>
          <w:rFonts w:ascii="Arial" w:hAnsi="Arial"/>
          <w:szCs w:val="22"/>
        </w:rPr>
      </w:pPr>
      <w:r w:rsidRPr="00F07605">
        <w:rPr>
          <w:rFonts w:ascii="Arial" w:hAnsi="Arial"/>
          <w:b/>
          <w:bCs/>
          <w:szCs w:val="22"/>
        </w:rPr>
        <w:t>Structural cost driver:</w:t>
      </w:r>
      <w:r w:rsidRPr="00F07605">
        <w:rPr>
          <w:rFonts w:ascii="Arial" w:hAnsi="Arial"/>
          <w:szCs w:val="22"/>
        </w:rPr>
        <w:t xml:space="preserve"> A factor that materially influences the efficient cost of </w:t>
      </w:r>
      <w:r>
        <w:rPr>
          <w:rFonts w:ascii="Arial" w:hAnsi="Arial"/>
          <w:szCs w:val="22"/>
        </w:rPr>
        <w:t>delivering teaching and supporting scholarship</w:t>
      </w:r>
      <w:r w:rsidRPr="00F07605">
        <w:rPr>
          <w:rFonts w:ascii="Arial" w:hAnsi="Arial"/>
          <w:szCs w:val="22"/>
        </w:rPr>
        <w:t xml:space="preserve"> and is largely outside provider control. Examples may include </w:t>
      </w:r>
      <w:r>
        <w:rPr>
          <w:rFonts w:ascii="Arial" w:hAnsi="Arial"/>
          <w:szCs w:val="22"/>
        </w:rPr>
        <w:t>Field of Education (</w:t>
      </w:r>
      <w:proofErr w:type="spellStart"/>
      <w:r>
        <w:rPr>
          <w:rFonts w:ascii="Arial" w:hAnsi="Arial"/>
          <w:szCs w:val="22"/>
        </w:rPr>
        <w:t>FoE</w:t>
      </w:r>
      <w:proofErr w:type="spellEnd"/>
      <w:r>
        <w:rPr>
          <w:rFonts w:ascii="Arial" w:hAnsi="Arial"/>
          <w:szCs w:val="22"/>
        </w:rPr>
        <w:t>)</w:t>
      </w:r>
      <w:r w:rsidRPr="00F07605">
        <w:rPr>
          <w:rFonts w:ascii="Arial" w:hAnsi="Arial"/>
          <w:szCs w:val="22"/>
        </w:rPr>
        <w:t>, scale, location or mode of delivery. Structural cost drivers may be recognised through</w:t>
      </w:r>
      <w:r>
        <w:rPr>
          <w:rFonts w:ascii="Arial" w:hAnsi="Arial"/>
          <w:szCs w:val="22"/>
        </w:rPr>
        <w:t xml:space="preserve"> cost grouping</w:t>
      </w:r>
      <w:r w:rsidRPr="00F07605">
        <w:rPr>
          <w:rFonts w:ascii="Arial" w:hAnsi="Arial"/>
          <w:szCs w:val="22"/>
        </w:rPr>
        <w:t xml:space="preserve"> design, adjustment factors or other policy mechanisms </w:t>
      </w:r>
      <w:proofErr w:type="gramStart"/>
      <w:r w:rsidRPr="00F07605">
        <w:rPr>
          <w:rFonts w:ascii="Arial" w:hAnsi="Arial"/>
          <w:szCs w:val="22"/>
        </w:rPr>
        <w:t>where</w:t>
      </w:r>
      <w:proofErr w:type="gramEnd"/>
      <w:r w:rsidRPr="00F07605">
        <w:rPr>
          <w:rFonts w:ascii="Arial" w:hAnsi="Arial"/>
          <w:szCs w:val="22"/>
        </w:rPr>
        <w:t xml:space="preserve"> supported by evidence.</w:t>
      </w:r>
    </w:p>
    <w:p w14:paraId="6B528676" w14:textId="10111D6A" w:rsidR="000548AF" w:rsidRPr="00902840" w:rsidRDefault="000548AF" w:rsidP="000548AF">
      <w:pPr>
        <w:rPr>
          <w:rFonts w:ascii="Arial" w:hAnsi="Arial"/>
          <w:szCs w:val="22"/>
        </w:rPr>
      </w:pPr>
      <w:r w:rsidRPr="00F07605">
        <w:rPr>
          <w:rFonts w:ascii="Arial" w:hAnsi="Arial"/>
          <w:b/>
          <w:bCs/>
          <w:szCs w:val="22"/>
        </w:rPr>
        <w:t xml:space="preserve">Student </w:t>
      </w:r>
      <w:r w:rsidR="000726C3">
        <w:rPr>
          <w:rFonts w:ascii="Arial" w:hAnsi="Arial"/>
          <w:b/>
          <w:bCs/>
          <w:szCs w:val="22"/>
        </w:rPr>
        <w:t>C</w:t>
      </w:r>
      <w:r w:rsidRPr="00F07605">
        <w:rPr>
          <w:rFonts w:ascii="Arial" w:hAnsi="Arial"/>
          <w:b/>
          <w:bCs/>
          <w:szCs w:val="22"/>
        </w:rPr>
        <w:t xml:space="preserve">ontribution </w:t>
      </w:r>
      <w:r w:rsidR="000726C3">
        <w:rPr>
          <w:rFonts w:ascii="Arial" w:hAnsi="Arial"/>
          <w:b/>
          <w:bCs/>
          <w:szCs w:val="22"/>
        </w:rPr>
        <w:t>A</w:t>
      </w:r>
      <w:r w:rsidRPr="00F07605">
        <w:rPr>
          <w:rFonts w:ascii="Arial" w:hAnsi="Arial"/>
          <w:b/>
          <w:bCs/>
          <w:szCs w:val="22"/>
        </w:rPr>
        <w:t>mount (SCA):</w:t>
      </w:r>
      <w:r w:rsidRPr="00F07605">
        <w:rPr>
          <w:rFonts w:ascii="Arial" w:hAnsi="Arial"/>
          <w:szCs w:val="22"/>
        </w:rPr>
        <w:t xml:space="preserve"> The portion of the total price for a Commonwealth Supported Place that is paid by the student. Student contribution amounts are determined by Government and are outside the ATEC's remit.</w:t>
      </w:r>
    </w:p>
    <w:p w14:paraId="0C953501" w14:textId="4CADBA0C" w:rsidR="001A2D7A" w:rsidRDefault="000548AF" w:rsidP="000548AF">
      <w:pPr>
        <w:spacing w:line="260" w:lineRule="atLeast"/>
        <w:rPr>
          <w:rFonts w:ascii="Arial" w:hAnsi="Arial"/>
          <w:szCs w:val="22"/>
        </w:rPr>
      </w:pPr>
      <w:r w:rsidRPr="00F07605">
        <w:rPr>
          <w:rFonts w:ascii="Arial" w:hAnsi="Arial"/>
          <w:b/>
          <w:bCs/>
        </w:rPr>
        <w:t xml:space="preserve">Teaching and scholarship: </w:t>
      </w:r>
      <w:r w:rsidRPr="00FF774A">
        <w:rPr>
          <w:rFonts w:ascii="Arial" w:hAnsi="Arial"/>
        </w:rPr>
        <w:t>T</w:t>
      </w:r>
      <w:r w:rsidRPr="00F07605">
        <w:rPr>
          <w:rFonts w:ascii="Arial" w:hAnsi="Arial"/>
        </w:rPr>
        <w:t xml:space="preserve">he activities required to deliver contemporary, high-quality higher education teaching and learning, including the scholarship necessary to maintain disciplinary knowledge and teaching </w:t>
      </w:r>
      <w:r w:rsidRPr="00C56162">
        <w:rPr>
          <w:rFonts w:ascii="Arial" w:hAnsi="Arial"/>
        </w:rPr>
        <w:t xml:space="preserve">capability. </w:t>
      </w:r>
      <w:r w:rsidR="001D3334">
        <w:t xml:space="preserve">Supporting scholarship includes direct supports for </w:t>
      </w:r>
      <w:r w:rsidRPr="00C56162">
        <w:t xml:space="preserve">teaching including innovation in pedagogy, curriculum design and contemporary approaches to engaging, supporting and assessing students. It also involves remaining abreast of the discipline to ensure that courses are up to date and relevant. The </w:t>
      </w:r>
      <w:r w:rsidR="002347D0">
        <w:t xml:space="preserve">ATEC acknowledges </w:t>
      </w:r>
      <w:r w:rsidRPr="00C56162">
        <w:t>that most academic staff are appointed into roles involving both teaching and research.</w:t>
      </w:r>
    </w:p>
    <w:bookmarkEnd w:id="98"/>
    <w:p w14:paraId="3692AEF5" w14:textId="33E23852" w:rsidR="00E667B2" w:rsidRPr="00902840" w:rsidRDefault="00B05E34" w:rsidP="47368959">
      <w:pPr>
        <w:rPr>
          <w:rFonts w:ascii="Arial" w:hAnsi="Arial"/>
        </w:rPr>
      </w:pPr>
      <w:r w:rsidRPr="00B05E34">
        <w:t xml:space="preserve"> </w:t>
      </w:r>
    </w:p>
    <w:sectPr w:rsidR="00E667B2" w:rsidRPr="00902840" w:rsidSect="00D5733B">
      <w:pgSz w:w="11907" w:h="16839" w:code="9"/>
      <w:pgMar w:top="1077" w:right="1134" w:bottom="1134" w:left="1134" w:header="567" w:footer="8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3D91" w14:textId="77777777" w:rsidR="00D704AA" w:rsidRDefault="00D704AA" w:rsidP="002B7185">
      <w:r>
        <w:pict w14:anchorId="64A4454F">
          <v:rect id="_x0000_i1027" style="width:0;height:1.5pt" o:hralign="center" o:hrstd="t" o:hr="t" fillcolor="#a0a0a0" stroked="f"/>
        </w:pict>
      </w:r>
    </w:p>
  </w:endnote>
  <w:endnote w:type="continuationSeparator" w:id="0">
    <w:p w14:paraId="346A84F4" w14:textId="77777777" w:rsidR="00D704AA" w:rsidRDefault="00D704AA" w:rsidP="002B7185">
      <w:r>
        <w:pict w14:anchorId="0D03E2A9">
          <v:rect id="_x0000_i1028" style="width:0;height:1.5pt" o:hralign="center" o:hrstd="t" o:hr="t" fillcolor="#a0a0a0" stroked="f"/>
        </w:pict>
      </w:r>
    </w:p>
  </w:endnote>
  <w:endnote w:type="continuationNotice" w:id="1">
    <w:p w14:paraId="18716B88" w14:textId="77777777" w:rsidR="00D704AA" w:rsidRDefault="00D704A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2C928" w14:textId="77777777" w:rsidR="00216468" w:rsidRPr="00216468" w:rsidRDefault="00216468" w:rsidP="00026F37">
    <w:pPr>
      <w:pStyle w:val="FooterLineBelow"/>
    </w:pPr>
  </w:p>
  <w:p w14:paraId="2DDBF8DF" w14:textId="77777777" w:rsidR="00257BE9" w:rsidRPr="00B30BDC" w:rsidRDefault="00026F37" w:rsidP="00B30BDC">
    <w:pPr>
      <w:pStyle w:val="Footer"/>
    </w:pPr>
    <w:r>
      <w:rPr>
        <w:noProof/>
      </w:rPr>
      <mc:AlternateContent>
        <mc:Choice Requires="wps">
          <w:drawing>
            <wp:inline distT="0" distB="0" distL="0" distR="0" wp14:anchorId="34F44CEB" wp14:editId="3B73BA64">
              <wp:extent cx="3646170" cy="396000"/>
              <wp:effectExtent l="0" t="0" r="11430" b="4445"/>
              <wp:docPr id="1481274879" name="Text Box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3646170" cy="396000"/>
                      </a:xfrm>
                      <a:prstGeom prst="rect">
                        <a:avLst/>
                      </a:prstGeom>
                      <a:noFill/>
                      <a:ln w="6350">
                        <a:noFill/>
                      </a:ln>
                    </wps:spPr>
                    <wps:txbx>
                      <w:txbxContent>
                        <w:p w14:paraId="594026D1" w14:textId="69522398" w:rsidR="00026F37" w:rsidRPr="00625F4C" w:rsidRDefault="00512FA7" w:rsidP="00625F4C">
                          <w:pPr>
                            <w:pStyle w:val="Footer"/>
                          </w:pPr>
                          <w:r>
                            <w:t>Towards a Costing and Pricing Framework for Commonwealth Supported Places in Universities</w:t>
                          </w:r>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w:pict>
            <v:shapetype w14:anchorId="34F44CEB" id="_x0000_t202" coordsize="21600,21600" o:spt="202" path="m,l,21600r21600,l21600,xe">
              <v:stroke joinstyle="miter"/>
              <v:path gradientshapeok="t" o:connecttype="rect"/>
            </v:shapetype>
            <v:shape id="Text Box 5" o:spid="_x0000_s1027" type="#_x0000_t202" alt="&quot;&quot;" style="width:287.1pt;height:31.2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" filled="f" stroked="f" strokeweight=".5pt">
              <v:textbox inset="0,0,0,0">
                <w:txbxContent>
                  <w:p w14:paraId="594026D1" w14:textId="69522398" w:rsidR="00026F37" w:rsidRPr="00625F4C" w:rsidRDefault="00512FA7" w:rsidP="00625F4C">
                    <w:pPr>
                      <w:pStyle w:val="Footer"/>
                    </w:pPr>
                    <w:r>
                      <w:t>Towards a Costing and Pricing Framework for Commonwealth Supported Places in Universities</w:t>
                    </w:r>
                    <w:r w:rsidR="00026F37" w:rsidRPr="00625F4C">
                      <w:t> | </w:t>
                    </w:r>
                    <w:r w:rsidR="00625F4C" w:rsidRPr="00625F4C">
                      <w:fldChar w:fldCharType="begin"/>
                    </w:r>
                    <w:r w:rsidR="00625F4C" w:rsidRPr="00625F4C">
                      <w:instrText xml:space="preserve"> PAGE  \# "00"</w:instrText>
                    </w:r>
                    <w:r w:rsidR="00625F4C" w:rsidRPr="00625F4C">
                      <w:fldChar w:fldCharType="separate"/>
                    </w:r>
                    <w:r w:rsidR="00625F4C">
                      <w:t>03</w:t>
                    </w:r>
                    <w:r w:rsidR="00625F4C" w:rsidRPr="00625F4C">
                      <w:fldChar w:fldCharType="end"/>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4AA5" w14:textId="77777777" w:rsidR="00D704AA" w:rsidRPr="00026DC2" w:rsidRDefault="00D704AA" w:rsidP="007A42F5">
      <w:pPr>
        <w:ind w:right="7370"/>
      </w:pPr>
      <w:r>
        <w:pict w14:anchorId="62A36531">
          <v:rect id="_x0000_i1025" style="width:0;height:1.5pt" o:hralign="center" o:hrstd="t" o:hr="t" fillcolor="#a0a0a0" stroked="f"/>
        </w:pict>
      </w:r>
    </w:p>
  </w:footnote>
  <w:footnote w:type="continuationSeparator" w:id="0">
    <w:p w14:paraId="46308B79" w14:textId="77777777" w:rsidR="00D704AA" w:rsidRDefault="00D704AA" w:rsidP="007A42F5">
      <w:pPr>
        <w:ind w:right="7370"/>
      </w:pPr>
      <w:r>
        <w:pict w14:anchorId="316E0435">
          <v:rect id="_x0000_i1026" style="width:0;height:1.5pt" o:hralign="center" o:hrstd="t" o:hr="t" fillcolor="#a0a0a0" stroked="f"/>
        </w:pict>
      </w:r>
    </w:p>
  </w:footnote>
  <w:footnote w:type="continuationNotice" w:id="1">
    <w:p w14:paraId="37F763EF" w14:textId="77777777" w:rsidR="00D704AA" w:rsidRDefault="00D704AA" w:rsidP="002B7185"/>
  </w:footnote>
  <w:footnote w:id="2">
    <w:p w14:paraId="7702FF25" w14:textId="0FAF7692" w:rsidR="000E3220" w:rsidRDefault="000E3220">
      <w:pPr>
        <w:pStyle w:val="FootnoteText"/>
      </w:pPr>
      <w:r>
        <w:rPr>
          <w:rStyle w:val="FootnoteReference"/>
        </w:rPr>
        <w:footnoteRef/>
      </w:r>
      <w:r>
        <w:t xml:space="preserve"> </w:t>
      </w:r>
      <w:hyperlink r:id="rId1" w:history="1">
        <w:r w:rsidRPr="0094243B">
          <w:rPr>
            <w:rStyle w:val="Hyperlink"/>
          </w:rPr>
          <w:t>Working Group on Higher Education Costing and Pricing</w:t>
        </w:r>
        <w:r w:rsidR="0094243B" w:rsidRPr="0094243B">
          <w:rPr>
            <w:rStyle w:val="Hyperlink"/>
          </w:rPr>
          <w:t xml:space="preserve"> summary of progress to date report</w:t>
        </w:r>
      </w:hyperlink>
    </w:p>
  </w:footnote>
  <w:footnote w:id="3">
    <w:p w14:paraId="3CC439BD" w14:textId="77777777" w:rsidR="005D04E0" w:rsidRDefault="005D04E0" w:rsidP="005D04E0">
      <w:pPr>
        <w:pStyle w:val="FootnoteText"/>
      </w:pPr>
      <w:r>
        <w:rPr>
          <w:rStyle w:val="FootnoteReference"/>
        </w:rPr>
        <w:footnoteRef/>
      </w:r>
      <w:r>
        <w:t xml:space="preserve"> </w:t>
      </w:r>
      <w:hyperlink r:id="rId2" w:history="1">
        <w:r w:rsidRPr="00695952">
          <w:rPr>
            <w:rStyle w:val="Hyperlink"/>
          </w:rPr>
          <w:t>https://www.abs.gov.au/statistics/classifications/australian-standard-classification-education-asced/latest-release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602F" w14:textId="3DC253C7" w:rsidR="00D91D02" w:rsidRPr="000115DE" w:rsidRDefault="00D91D02" w:rsidP="00331B78">
    <w:pPr>
      <w:pStyle w:val="Header"/>
      <w:tabs>
        <w:tab w:val="clear" w:pos="1860"/>
        <w:tab w:val="clear" w:pos="2730"/>
        <w:tab w:val="left" w:pos="24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3BE1AC0"/>
    <w:lvl w:ilvl="0">
      <w:start w:val="1"/>
      <w:numFmt w:val="decimal"/>
      <w:pStyle w:val="ListNumber4"/>
      <w:lvlText w:val="%1."/>
      <w:lvlJc w:val="left"/>
      <w:pPr>
        <w:tabs>
          <w:tab w:val="num" w:pos="360"/>
        </w:tabs>
        <w:ind w:left="360" w:hanging="360"/>
      </w:pPr>
    </w:lvl>
  </w:abstractNum>
  <w:abstractNum w:abstractNumId="1" w15:restartNumberingAfterBreak="0">
    <w:nsid w:val="FFFFFF89"/>
    <w:multiLevelType w:val="singleLevel"/>
    <w:tmpl w:val="EB5E1FB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A20F9A"/>
    <w:multiLevelType w:val="hybridMultilevel"/>
    <w:tmpl w:val="82301128"/>
    <w:lvl w:ilvl="0" w:tplc="67A22F82">
      <w:start w:val="1"/>
      <w:numFmt w:val="decimal"/>
      <w:lvlText w:val="%1."/>
      <w:lvlJc w:val="left"/>
      <w:pPr>
        <w:ind w:left="1020" w:hanging="360"/>
      </w:pPr>
    </w:lvl>
    <w:lvl w:ilvl="1" w:tplc="02C21AEC">
      <w:start w:val="1"/>
      <w:numFmt w:val="decimal"/>
      <w:lvlText w:val="%2."/>
      <w:lvlJc w:val="left"/>
      <w:pPr>
        <w:ind w:left="1020" w:hanging="360"/>
      </w:pPr>
    </w:lvl>
    <w:lvl w:ilvl="2" w:tplc="4044C16C">
      <w:start w:val="1"/>
      <w:numFmt w:val="decimal"/>
      <w:lvlText w:val="%3."/>
      <w:lvlJc w:val="left"/>
      <w:pPr>
        <w:ind w:left="1020" w:hanging="360"/>
      </w:pPr>
    </w:lvl>
    <w:lvl w:ilvl="3" w:tplc="DF8A4FC4">
      <w:start w:val="1"/>
      <w:numFmt w:val="decimal"/>
      <w:lvlText w:val="%4."/>
      <w:lvlJc w:val="left"/>
      <w:pPr>
        <w:ind w:left="1020" w:hanging="360"/>
      </w:pPr>
    </w:lvl>
    <w:lvl w:ilvl="4" w:tplc="878EFB9E">
      <w:start w:val="1"/>
      <w:numFmt w:val="decimal"/>
      <w:lvlText w:val="%5."/>
      <w:lvlJc w:val="left"/>
      <w:pPr>
        <w:ind w:left="1020" w:hanging="360"/>
      </w:pPr>
    </w:lvl>
    <w:lvl w:ilvl="5" w:tplc="7B8C1A16">
      <w:start w:val="1"/>
      <w:numFmt w:val="decimal"/>
      <w:lvlText w:val="%6."/>
      <w:lvlJc w:val="left"/>
      <w:pPr>
        <w:ind w:left="1020" w:hanging="360"/>
      </w:pPr>
    </w:lvl>
    <w:lvl w:ilvl="6" w:tplc="0CD6E8F6">
      <w:start w:val="1"/>
      <w:numFmt w:val="decimal"/>
      <w:lvlText w:val="%7."/>
      <w:lvlJc w:val="left"/>
      <w:pPr>
        <w:ind w:left="1020" w:hanging="360"/>
      </w:pPr>
    </w:lvl>
    <w:lvl w:ilvl="7" w:tplc="DE52AF1A">
      <w:start w:val="1"/>
      <w:numFmt w:val="decimal"/>
      <w:lvlText w:val="%8."/>
      <w:lvlJc w:val="left"/>
      <w:pPr>
        <w:ind w:left="1020" w:hanging="360"/>
      </w:pPr>
    </w:lvl>
    <w:lvl w:ilvl="8" w:tplc="1E424886">
      <w:start w:val="1"/>
      <w:numFmt w:val="decimal"/>
      <w:lvlText w:val="%9."/>
      <w:lvlJc w:val="left"/>
      <w:pPr>
        <w:ind w:left="1020" w:hanging="360"/>
      </w:pPr>
    </w:lvl>
  </w:abstractNum>
  <w:abstractNum w:abstractNumId="3"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4C35743"/>
    <w:multiLevelType w:val="multilevel"/>
    <w:tmpl w:val="00A29E5C"/>
    <w:styleLink w:val="LstLegalNumbering"/>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737"/>
      </w:pPr>
      <w:rPr>
        <w:rFonts w:hint="default"/>
      </w:rPr>
    </w:lvl>
    <w:lvl w:ilvl="3">
      <w:start w:val="1"/>
      <w:numFmt w:val="decimal"/>
      <w:lvlText w:val="%1.%2.%3.%4"/>
      <w:lvlJc w:val="left"/>
      <w:pPr>
        <w:ind w:left="2665" w:hanging="964"/>
      </w:pPr>
      <w:rPr>
        <w:rFonts w:hint="default"/>
      </w:rPr>
    </w:lvl>
    <w:lvl w:ilvl="4">
      <w:start w:val="1"/>
      <w:numFmt w:val="lowerLetter"/>
      <w:lvlText w:val="%5."/>
      <w:lvlJc w:val="left"/>
      <w:pPr>
        <w:ind w:left="1985" w:hanging="397"/>
      </w:pPr>
      <w:rPr>
        <w:rFonts w:hint="default"/>
      </w:rPr>
    </w:lvl>
    <w:lvl w:ilvl="5">
      <w:start w:val="1"/>
      <w:numFmt w:val="lowerRoman"/>
      <w:lvlText w:val="%6."/>
      <w:lvlJc w:val="righ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right"/>
      <w:pPr>
        <w:ind w:left="3573" w:hanging="397"/>
      </w:pPr>
      <w:rPr>
        <w:rFonts w:hint="default"/>
      </w:rPr>
    </w:lvl>
  </w:abstractNum>
  <w:abstractNum w:abstractNumId="5" w15:restartNumberingAfterBreak="0">
    <w:nsid w:val="052B012F"/>
    <w:multiLevelType w:val="hybridMultilevel"/>
    <w:tmpl w:val="10887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512B05"/>
    <w:multiLevelType w:val="hybridMultilevel"/>
    <w:tmpl w:val="38C0A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5BF7E70"/>
    <w:multiLevelType w:val="hybridMultilevel"/>
    <w:tmpl w:val="FFFFFFFF"/>
    <w:lvl w:ilvl="0" w:tplc="E1AC3F92">
      <w:start w:val="1"/>
      <w:numFmt w:val="bullet"/>
      <w:lvlText w:val=""/>
      <w:lvlJc w:val="left"/>
      <w:pPr>
        <w:ind w:left="720" w:hanging="360"/>
      </w:pPr>
      <w:rPr>
        <w:rFonts w:ascii="Symbol" w:hAnsi="Symbol" w:hint="default"/>
      </w:rPr>
    </w:lvl>
    <w:lvl w:ilvl="1" w:tplc="4682384C">
      <w:start w:val="1"/>
      <w:numFmt w:val="bullet"/>
      <w:lvlText w:val="o"/>
      <w:lvlJc w:val="left"/>
      <w:pPr>
        <w:ind w:left="1440" w:hanging="360"/>
      </w:pPr>
      <w:rPr>
        <w:rFonts w:ascii="Courier New" w:hAnsi="Courier New" w:hint="default"/>
      </w:rPr>
    </w:lvl>
    <w:lvl w:ilvl="2" w:tplc="4D88C1B2">
      <w:start w:val="1"/>
      <w:numFmt w:val="bullet"/>
      <w:lvlText w:val=""/>
      <w:lvlJc w:val="left"/>
      <w:pPr>
        <w:ind w:left="2160" w:hanging="360"/>
      </w:pPr>
      <w:rPr>
        <w:rFonts w:ascii="Wingdings" w:hAnsi="Wingdings" w:hint="default"/>
      </w:rPr>
    </w:lvl>
    <w:lvl w:ilvl="3" w:tplc="69E4AB0E">
      <w:start w:val="1"/>
      <w:numFmt w:val="bullet"/>
      <w:lvlText w:val=""/>
      <w:lvlJc w:val="left"/>
      <w:pPr>
        <w:ind w:left="2880" w:hanging="360"/>
      </w:pPr>
      <w:rPr>
        <w:rFonts w:ascii="Symbol" w:hAnsi="Symbol" w:hint="default"/>
      </w:rPr>
    </w:lvl>
    <w:lvl w:ilvl="4" w:tplc="C320571A">
      <w:start w:val="1"/>
      <w:numFmt w:val="bullet"/>
      <w:lvlText w:val="o"/>
      <w:lvlJc w:val="left"/>
      <w:pPr>
        <w:ind w:left="3600" w:hanging="360"/>
      </w:pPr>
      <w:rPr>
        <w:rFonts w:ascii="Courier New" w:hAnsi="Courier New" w:hint="default"/>
      </w:rPr>
    </w:lvl>
    <w:lvl w:ilvl="5" w:tplc="EFFE78E8">
      <w:start w:val="1"/>
      <w:numFmt w:val="bullet"/>
      <w:lvlText w:val=""/>
      <w:lvlJc w:val="left"/>
      <w:pPr>
        <w:ind w:left="4320" w:hanging="360"/>
      </w:pPr>
      <w:rPr>
        <w:rFonts w:ascii="Wingdings" w:hAnsi="Wingdings" w:hint="default"/>
      </w:rPr>
    </w:lvl>
    <w:lvl w:ilvl="6" w:tplc="DCCE8E50">
      <w:start w:val="1"/>
      <w:numFmt w:val="bullet"/>
      <w:lvlText w:val=""/>
      <w:lvlJc w:val="left"/>
      <w:pPr>
        <w:ind w:left="5040" w:hanging="360"/>
      </w:pPr>
      <w:rPr>
        <w:rFonts w:ascii="Symbol" w:hAnsi="Symbol" w:hint="default"/>
      </w:rPr>
    </w:lvl>
    <w:lvl w:ilvl="7" w:tplc="1DA46414">
      <w:start w:val="1"/>
      <w:numFmt w:val="bullet"/>
      <w:lvlText w:val="o"/>
      <w:lvlJc w:val="left"/>
      <w:pPr>
        <w:ind w:left="5760" w:hanging="360"/>
      </w:pPr>
      <w:rPr>
        <w:rFonts w:ascii="Courier New" w:hAnsi="Courier New" w:hint="default"/>
      </w:rPr>
    </w:lvl>
    <w:lvl w:ilvl="8" w:tplc="D8B08D86">
      <w:start w:val="1"/>
      <w:numFmt w:val="bullet"/>
      <w:lvlText w:val=""/>
      <w:lvlJc w:val="left"/>
      <w:pPr>
        <w:ind w:left="6480" w:hanging="360"/>
      </w:pPr>
      <w:rPr>
        <w:rFonts w:ascii="Wingdings" w:hAnsi="Wingdings" w:hint="default"/>
      </w:rPr>
    </w:lvl>
  </w:abstractNum>
  <w:abstractNum w:abstractNumId="8" w15:restartNumberingAfterBreak="0">
    <w:nsid w:val="079B63A1"/>
    <w:multiLevelType w:val="multilevel"/>
    <w:tmpl w:val="B4302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E712A3"/>
    <w:multiLevelType w:val="hybridMultilevel"/>
    <w:tmpl w:val="4F723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B3C3F52"/>
    <w:multiLevelType w:val="multilevel"/>
    <w:tmpl w:val="13F4C276"/>
    <w:lvl w:ilvl="0">
      <w:start w:val="1"/>
      <w:numFmt w:val="decimal"/>
      <w:pStyle w:val="NotesNumbered"/>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1"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2" w15:restartNumberingAfterBreak="0">
    <w:nsid w:val="0EEF0742"/>
    <w:multiLevelType w:val="hybridMultilevel"/>
    <w:tmpl w:val="36141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0D55D6"/>
    <w:multiLevelType w:val="multilevel"/>
    <w:tmpl w:val="7F40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32A6E"/>
    <w:multiLevelType w:val="hybridMultilevel"/>
    <w:tmpl w:val="D0F622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81557B"/>
    <w:multiLevelType w:val="hybridMultilevel"/>
    <w:tmpl w:val="FFFFFFFF"/>
    <w:lvl w:ilvl="0" w:tplc="2D383120">
      <w:start w:val="1"/>
      <w:numFmt w:val="bullet"/>
      <w:lvlText w:val=""/>
      <w:lvlJc w:val="left"/>
      <w:pPr>
        <w:ind w:left="720" w:hanging="360"/>
      </w:pPr>
      <w:rPr>
        <w:rFonts w:ascii="Symbol" w:hAnsi="Symbol" w:hint="default"/>
      </w:rPr>
    </w:lvl>
    <w:lvl w:ilvl="1" w:tplc="110EC9E0">
      <w:start w:val="1"/>
      <w:numFmt w:val="bullet"/>
      <w:lvlText w:val="o"/>
      <w:lvlJc w:val="left"/>
      <w:pPr>
        <w:ind w:left="1440" w:hanging="360"/>
      </w:pPr>
      <w:rPr>
        <w:rFonts w:ascii="Courier New" w:hAnsi="Courier New" w:hint="default"/>
      </w:rPr>
    </w:lvl>
    <w:lvl w:ilvl="2" w:tplc="12AC8F20">
      <w:start w:val="1"/>
      <w:numFmt w:val="bullet"/>
      <w:lvlText w:val=""/>
      <w:lvlJc w:val="left"/>
      <w:pPr>
        <w:ind w:left="2160" w:hanging="360"/>
      </w:pPr>
      <w:rPr>
        <w:rFonts w:ascii="Wingdings" w:hAnsi="Wingdings" w:hint="default"/>
      </w:rPr>
    </w:lvl>
    <w:lvl w:ilvl="3" w:tplc="3626BFB0">
      <w:start w:val="1"/>
      <w:numFmt w:val="bullet"/>
      <w:lvlText w:val=""/>
      <w:lvlJc w:val="left"/>
      <w:pPr>
        <w:ind w:left="2880" w:hanging="360"/>
      </w:pPr>
      <w:rPr>
        <w:rFonts w:ascii="Symbol" w:hAnsi="Symbol" w:hint="default"/>
      </w:rPr>
    </w:lvl>
    <w:lvl w:ilvl="4" w:tplc="4BC09448">
      <w:start w:val="1"/>
      <w:numFmt w:val="bullet"/>
      <w:lvlText w:val="o"/>
      <w:lvlJc w:val="left"/>
      <w:pPr>
        <w:ind w:left="3600" w:hanging="360"/>
      </w:pPr>
      <w:rPr>
        <w:rFonts w:ascii="Courier New" w:hAnsi="Courier New" w:hint="default"/>
      </w:rPr>
    </w:lvl>
    <w:lvl w:ilvl="5" w:tplc="36749256">
      <w:start w:val="1"/>
      <w:numFmt w:val="bullet"/>
      <w:lvlText w:val=""/>
      <w:lvlJc w:val="left"/>
      <w:pPr>
        <w:ind w:left="4320" w:hanging="360"/>
      </w:pPr>
      <w:rPr>
        <w:rFonts w:ascii="Wingdings" w:hAnsi="Wingdings" w:hint="default"/>
      </w:rPr>
    </w:lvl>
    <w:lvl w:ilvl="6" w:tplc="901645D8">
      <w:start w:val="1"/>
      <w:numFmt w:val="bullet"/>
      <w:lvlText w:val=""/>
      <w:lvlJc w:val="left"/>
      <w:pPr>
        <w:ind w:left="5040" w:hanging="360"/>
      </w:pPr>
      <w:rPr>
        <w:rFonts w:ascii="Symbol" w:hAnsi="Symbol" w:hint="default"/>
      </w:rPr>
    </w:lvl>
    <w:lvl w:ilvl="7" w:tplc="C2BA14CC">
      <w:start w:val="1"/>
      <w:numFmt w:val="bullet"/>
      <w:lvlText w:val="o"/>
      <w:lvlJc w:val="left"/>
      <w:pPr>
        <w:ind w:left="5760" w:hanging="360"/>
      </w:pPr>
      <w:rPr>
        <w:rFonts w:ascii="Courier New" w:hAnsi="Courier New" w:hint="default"/>
      </w:rPr>
    </w:lvl>
    <w:lvl w:ilvl="8" w:tplc="2F02CEF6">
      <w:start w:val="1"/>
      <w:numFmt w:val="bullet"/>
      <w:lvlText w:val=""/>
      <w:lvlJc w:val="left"/>
      <w:pPr>
        <w:ind w:left="6480" w:hanging="360"/>
      </w:pPr>
      <w:rPr>
        <w:rFonts w:ascii="Wingdings" w:hAnsi="Wingdings" w:hint="default"/>
      </w:rPr>
    </w:lvl>
  </w:abstractNum>
  <w:abstractNum w:abstractNumId="1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1032"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1032" w:themeColor="text2"/>
        <w:position w:val="2"/>
        <w:sz w:val="20"/>
      </w:rPr>
    </w:lvl>
    <w:lvl w:ilvl="2">
      <w:start w:val="1"/>
      <w:numFmt w:val="bullet"/>
      <w:lvlText w:val="–"/>
      <w:lvlJc w:val="left"/>
      <w:pPr>
        <w:tabs>
          <w:tab w:val="num" w:pos="1361"/>
        </w:tabs>
        <w:ind w:left="1361" w:hanging="340"/>
      </w:pPr>
      <w:rPr>
        <w:rFonts w:ascii="Arial" w:hAnsi="Arial" w:hint="default"/>
        <w:color w:val="00103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FF52668"/>
    <w:multiLevelType w:val="multilevel"/>
    <w:tmpl w:val="A4F832D2"/>
    <w:styleLink w:val="Lst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8" w15:restartNumberingAfterBreak="0">
    <w:nsid w:val="2499A449"/>
    <w:multiLevelType w:val="hybridMultilevel"/>
    <w:tmpl w:val="FFFFFFFF"/>
    <w:lvl w:ilvl="0" w:tplc="8906564A">
      <w:start w:val="1"/>
      <w:numFmt w:val="bullet"/>
      <w:lvlText w:val=""/>
      <w:lvlJc w:val="left"/>
      <w:pPr>
        <w:ind w:left="720" w:hanging="360"/>
      </w:pPr>
      <w:rPr>
        <w:rFonts w:ascii="Symbol" w:hAnsi="Symbol" w:hint="default"/>
      </w:rPr>
    </w:lvl>
    <w:lvl w:ilvl="1" w:tplc="D95A0D84">
      <w:start w:val="1"/>
      <w:numFmt w:val="bullet"/>
      <w:lvlText w:val="o"/>
      <w:lvlJc w:val="left"/>
      <w:pPr>
        <w:ind w:left="1440" w:hanging="360"/>
      </w:pPr>
      <w:rPr>
        <w:rFonts w:ascii="Courier New" w:hAnsi="Courier New" w:hint="default"/>
      </w:rPr>
    </w:lvl>
    <w:lvl w:ilvl="2" w:tplc="D568ACEE">
      <w:start w:val="1"/>
      <w:numFmt w:val="bullet"/>
      <w:lvlText w:val=""/>
      <w:lvlJc w:val="left"/>
      <w:pPr>
        <w:ind w:left="2160" w:hanging="360"/>
      </w:pPr>
      <w:rPr>
        <w:rFonts w:ascii="Wingdings" w:hAnsi="Wingdings" w:hint="default"/>
      </w:rPr>
    </w:lvl>
    <w:lvl w:ilvl="3" w:tplc="BBBA53FA">
      <w:start w:val="1"/>
      <w:numFmt w:val="bullet"/>
      <w:lvlText w:val=""/>
      <w:lvlJc w:val="left"/>
      <w:pPr>
        <w:ind w:left="2880" w:hanging="360"/>
      </w:pPr>
      <w:rPr>
        <w:rFonts w:ascii="Symbol" w:hAnsi="Symbol" w:hint="default"/>
      </w:rPr>
    </w:lvl>
    <w:lvl w:ilvl="4" w:tplc="3246F388">
      <w:start w:val="1"/>
      <w:numFmt w:val="bullet"/>
      <w:lvlText w:val="o"/>
      <w:lvlJc w:val="left"/>
      <w:pPr>
        <w:ind w:left="3600" w:hanging="360"/>
      </w:pPr>
      <w:rPr>
        <w:rFonts w:ascii="Courier New" w:hAnsi="Courier New" w:hint="default"/>
      </w:rPr>
    </w:lvl>
    <w:lvl w:ilvl="5" w:tplc="667AEE54">
      <w:start w:val="1"/>
      <w:numFmt w:val="bullet"/>
      <w:lvlText w:val=""/>
      <w:lvlJc w:val="left"/>
      <w:pPr>
        <w:ind w:left="4320" w:hanging="360"/>
      </w:pPr>
      <w:rPr>
        <w:rFonts w:ascii="Wingdings" w:hAnsi="Wingdings" w:hint="default"/>
      </w:rPr>
    </w:lvl>
    <w:lvl w:ilvl="6" w:tplc="B0F2A04C">
      <w:start w:val="1"/>
      <w:numFmt w:val="bullet"/>
      <w:lvlText w:val=""/>
      <w:lvlJc w:val="left"/>
      <w:pPr>
        <w:ind w:left="5040" w:hanging="360"/>
      </w:pPr>
      <w:rPr>
        <w:rFonts w:ascii="Symbol" w:hAnsi="Symbol" w:hint="default"/>
      </w:rPr>
    </w:lvl>
    <w:lvl w:ilvl="7" w:tplc="1A70A822">
      <w:start w:val="1"/>
      <w:numFmt w:val="bullet"/>
      <w:lvlText w:val="o"/>
      <w:lvlJc w:val="left"/>
      <w:pPr>
        <w:ind w:left="5760" w:hanging="360"/>
      </w:pPr>
      <w:rPr>
        <w:rFonts w:ascii="Courier New" w:hAnsi="Courier New" w:hint="default"/>
      </w:rPr>
    </w:lvl>
    <w:lvl w:ilvl="8" w:tplc="9EEEA8E0">
      <w:start w:val="1"/>
      <w:numFmt w:val="bullet"/>
      <w:lvlText w:val=""/>
      <w:lvlJc w:val="left"/>
      <w:pPr>
        <w:ind w:left="6480" w:hanging="360"/>
      </w:pPr>
      <w:rPr>
        <w:rFonts w:ascii="Wingdings" w:hAnsi="Wingdings" w:hint="default"/>
      </w:rPr>
    </w:lvl>
  </w:abstractNum>
  <w:abstractNum w:abstractNumId="19" w15:restartNumberingAfterBreak="0">
    <w:nsid w:val="270DC6E4"/>
    <w:multiLevelType w:val="hybridMultilevel"/>
    <w:tmpl w:val="FFFFFFFF"/>
    <w:lvl w:ilvl="0" w:tplc="A5843970">
      <w:start w:val="1"/>
      <w:numFmt w:val="decimal"/>
      <w:lvlText w:val="%1."/>
      <w:lvlJc w:val="left"/>
      <w:pPr>
        <w:ind w:left="720" w:hanging="360"/>
      </w:pPr>
    </w:lvl>
    <w:lvl w:ilvl="1" w:tplc="D4FC7D5A">
      <w:start w:val="1"/>
      <w:numFmt w:val="lowerLetter"/>
      <w:lvlText w:val="%2."/>
      <w:lvlJc w:val="left"/>
      <w:pPr>
        <w:ind w:left="1440" w:hanging="360"/>
      </w:pPr>
    </w:lvl>
    <w:lvl w:ilvl="2" w:tplc="4AAAED12">
      <w:start w:val="1"/>
      <w:numFmt w:val="lowerRoman"/>
      <w:lvlText w:val="%3."/>
      <w:lvlJc w:val="right"/>
      <w:pPr>
        <w:ind w:left="2160" w:hanging="180"/>
      </w:pPr>
    </w:lvl>
    <w:lvl w:ilvl="3" w:tplc="834A401E">
      <w:start w:val="1"/>
      <w:numFmt w:val="decimal"/>
      <w:lvlText w:val="%4."/>
      <w:lvlJc w:val="left"/>
      <w:pPr>
        <w:ind w:left="2880" w:hanging="360"/>
      </w:pPr>
    </w:lvl>
    <w:lvl w:ilvl="4" w:tplc="30580542">
      <w:start w:val="1"/>
      <w:numFmt w:val="lowerLetter"/>
      <w:lvlText w:val="%5."/>
      <w:lvlJc w:val="left"/>
      <w:pPr>
        <w:ind w:left="3600" w:hanging="360"/>
      </w:pPr>
    </w:lvl>
    <w:lvl w:ilvl="5" w:tplc="12A8107C">
      <w:start w:val="1"/>
      <w:numFmt w:val="lowerRoman"/>
      <w:lvlText w:val="%6."/>
      <w:lvlJc w:val="right"/>
      <w:pPr>
        <w:ind w:left="4320" w:hanging="180"/>
      </w:pPr>
    </w:lvl>
    <w:lvl w:ilvl="6" w:tplc="B22E3C28">
      <w:start w:val="1"/>
      <w:numFmt w:val="decimal"/>
      <w:lvlText w:val="%7."/>
      <w:lvlJc w:val="left"/>
      <w:pPr>
        <w:ind w:left="5040" w:hanging="360"/>
      </w:pPr>
    </w:lvl>
    <w:lvl w:ilvl="7" w:tplc="53D68CC0">
      <w:start w:val="1"/>
      <w:numFmt w:val="lowerLetter"/>
      <w:lvlText w:val="%8."/>
      <w:lvlJc w:val="left"/>
      <w:pPr>
        <w:ind w:left="5760" w:hanging="360"/>
      </w:pPr>
    </w:lvl>
    <w:lvl w:ilvl="8" w:tplc="0EB246F0">
      <w:start w:val="1"/>
      <w:numFmt w:val="lowerRoman"/>
      <w:lvlText w:val="%9."/>
      <w:lvlJc w:val="right"/>
      <w:pPr>
        <w:ind w:left="6480" w:hanging="180"/>
      </w:pPr>
    </w:lvl>
  </w:abstractNum>
  <w:abstractNum w:abstractNumId="20" w15:restartNumberingAfterBreak="0">
    <w:nsid w:val="27C445F5"/>
    <w:multiLevelType w:val="multilevel"/>
    <w:tmpl w:val="4972262A"/>
    <w:styleLink w:val="HangingList"/>
    <w:lvl w:ilvl="0">
      <w:start w:val="1"/>
      <w:numFmt w:val="none"/>
      <w:pStyle w:val="ListContinue"/>
      <w:suff w:val="nothing"/>
      <w:lvlText w:val=""/>
      <w:lvlJc w:val="left"/>
      <w:pPr>
        <w:ind w:left="794" w:hanging="397"/>
      </w:pPr>
      <w:rPr>
        <w:rFonts w:hint="default"/>
      </w:rPr>
    </w:lvl>
    <w:lvl w:ilvl="1">
      <w:start w:val="1"/>
      <w:numFmt w:val="none"/>
      <w:pStyle w:val="ListContinue2"/>
      <w:suff w:val="nothing"/>
      <w:lvlText w:val=""/>
      <w:lvlJc w:val="left"/>
      <w:pPr>
        <w:ind w:left="1191" w:hanging="397"/>
      </w:pPr>
      <w:rPr>
        <w:rFonts w:hint="default"/>
      </w:rPr>
    </w:lvl>
    <w:lvl w:ilvl="2">
      <w:start w:val="1"/>
      <w:numFmt w:val="none"/>
      <w:pStyle w:val="ListContinue3"/>
      <w:suff w:val="nothing"/>
      <w:lvlText w:val=""/>
      <w:lvlJc w:val="left"/>
      <w:pPr>
        <w:ind w:left="1588" w:hanging="397"/>
      </w:pPr>
      <w:rPr>
        <w:rFonts w:hint="default"/>
      </w:rPr>
    </w:lvl>
    <w:lvl w:ilvl="3">
      <w:start w:val="1"/>
      <w:numFmt w:val="none"/>
      <w:suff w:val="nothing"/>
      <w:lvlText w:val=""/>
      <w:lvlJc w:val="left"/>
      <w:pPr>
        <w:ind w:left="1985" w:hanging="397"/>
      </w:pPr>
      <w:rPr>
        <w:rFonts w:hint="default"/>
      </w:rPr>
    </w:lvl>
    <w:lvl w:ilvl="4">
      <w:start w:val="1"/>
      <w:numFmt w:val="none"/>
      <w:suff w:val="nothing"/>
      <w:lvlText w:val=""/>
      <w:lvlJc w:val="left"/>
      <w:pPr>
        <w:ind w:left="2382" w:hanging="397"/>
      </w:pPr>
      <w:rPr>
        <w:rFonts w:hint="default"/>
      </w:rPr>
    </w:lvl>
    <w:lvl w:ilvl="5">
      <w:start w:val="1"/>
      <w:numFmt w:val="none"/>
      <w:suff w:val="nothing"/>
      <w:lvlText w:val=""/>
      <w:lvlJc w:val="left"/>
      <w:pPr>
        <w:ind w:left="2779" w:hanging="397"/>
      </w:pPr>
      <w:rPr>
        <w:rFonts w:hint="default"/>
      </w:rPr>
    </w:lvl>
    <w:lvl w:ilvl="6">
      <w:start w:val="1"/>
      <w:numFmt w:val="none"/>
      <w:suff w:val="nothing"/>
      <w:lvlText w:val=""/>
      <w:lvlJc w:val="left"/>
      <w:pPr>
        <w:ind w:left="3176" w:hanging="397"/>
      </w:pPr>
      <w:rPr>
        <w:rFonts w:hint="default"/>
      </w:rPr>
    </w:lvl>
    <w:lvl w:ilvl="7">
      <w:start w:val="1"/>
      <w:numFmt w:val="none"/>
      <w:suff w:val="nothing"/>
      <w:lvlText w:val=""/>
      <w:lvlJc w:val="left"/>
      <w:pPr>
        <w:ind w:left="3573" w:hanging="397"/>
      </w:pPr>
      <w:rPr>
        <w:rFonts w:hint="default"/>
      </w:rPr>
    </w:lvl>
    <w:lvl w:ilvl="8">
      <w:start w:val="1"/>
      <w:numFmt w:val="none"/>
      <w:suff w:val="nothing"/>
      <w:lvlText w:val=""/>
      <w:lvlJc w:val="left"/>
      <w:pPr>
        <w:ind w:left="3970" w:hanging="397"/>
      </w:pPr>
      <w:rPr>
        <w:rFonts w:hint="default"/>
      </w:rPr>
    </w:lvl>
  </w:abstractNum>
  <w:abstractNum w:abstractNumId="21" w15:restartNumberingAfterBreak="0">
    <w:nsid w:val="28D565F0"/>
    <w:multiLevelType w:val="hybridMultilevel"/>
    <w:tmpl w:val="FFFFFFFF"/>
    <w:lvl w:ilvl="0" w:tplc="C1460F0A">
      <w:start w:val="1"/>
      <w:numFmt w:val="bullet"/>
      <w:lvlText w:val=""/>
      <w:lvlJc w:val="left"/>
      <w:pPr>
        <w:ind w:left="720" w:hanging="360"/>
      </w:pPr>
      <w:rPr>
        <w:rFonts w:ascii="Symbol" w:hAnsi="Symbol" w:hint="default"/>
      </w:rPr>
    </w:lvl>
    <w:lvl w:ilvl="1" w:tplc="3D429682">
      <w:start w:val="1"/>
      <w:numFmt w:val="bullet"/>
      <w:lvlText w:val="o"/>
      <w:lvlJc w:val="left"/>
      <w:pPr>
        <w:ind w:left="1440" w:hanging="360"/>
      </w:pPr>
      <w:rPr>
        <w:rFonts w:ascii="Courier New" w:hAnsi="Courier New" w:hint="default"/>
      </w:rPr>
    </w:lvl>
    <w:lvl w:ilvl="2" w:tplc="92C62CFE">
      <w:start w:val="1"/>
      <w:numFmt w:val="bullet"/>
      <w:lvlText w:val=""/>
      <w:lvlJc w:val="left"/>
      <w:pPr>
        <w:ind w:left="2160" w:hanging="360"/>
      </w:pPr>
      <w:rPr>
        <w:rFonts w:ascii="Wingdings" w:hAnsi="Wingdings" w:hint="default"/>
      </w:rPr>
    </w:lvl>
    <w:lvl w:ilvl="3" w:tplc="6570135E">
      <w:start w:val="1"/>
      <w:numFmt w:val="bullet"/>
      <w:lvlText w:val=""/>
      <w:lvlJc w:val="left"/>
      <w:pPr>
        <w:ind w:left="2880" w:hanging="360"/>
      </w:pPr>
      <w:rPr>
        <w:rFonts w:ascii="Symbol" w:hAnsi="Symbol" w:hint="default"/>
      </w:rPr>
    </w:lvl>
    <w:lvl w:ilvl="4" w:tplc="4E8CA0D8">
      <w:start w:val="1"/>
      <w:numFmt w:val="bullet"/>
      <w:lvlText w:val="o"/>
      <w:lvlJc w:val="left"/>
      <w:pPr>
        <w:ind w:left="3600" w:hanging="360"/>
      </w:pPr>
      <w:rPr>
        <w:rFonts w:ascii="Courier New" w:hAnsi="Courier New" w:hint="default"/>
      </w:rPr>
    </w:lvl>
    <w:lvl w:ilvl="5" w:tplc="203281DA">
      <w:start w:val="1"/>
      <w:numFmt w:val="bullet"/>
      <w:lvlText w:val=""/>
      <w:lvlJc w:val="left"/>
      <w:pPr>
        <w:ind w:left="4320" w:hanging="360"/>
      </w:pPr>
      <w:rPr>
        <w:rFonts w:ascii="Wingdings" w:hAnsi="Wingdings" w:hint="default"/>
      </w:rPr>
    </w:lvl>
    <w:lvl w:ilvl="6" w:tplc="0CFEF1C2">
      <w:start w:val="1"/>
      <w:numFmt w:val="bullet"/>
      <w:lvlText w:val=""/>
      <w:lvlJc w:val="left"/>
      <w:pPr>
        <w:ind w:left="5040" w:hanging="360"/>
      </w:pPr>
      <w:rPr>
        <w:rFonts w:ascii="Symbol" w:hAnsi="Symbol" w:hint="default"/>
      </w:rPr>
    </w:lvl>
    <w:lvl w:ilvl="7" w:tplc="3F283FDC">
      <w:start w:val="1"/>
      <w:numFmt w:val="bullet"/>
      <w:lvlText w:val="o"/>
      <w:lvlJc w:val="left"/>
      <w:pPr>
        <w:ind w:left="5760" w:hanging="360"/>
      </w:pPr>
      <w:rPr>
        <w:rFonts w:ascii="Courier New" w:hAnsi="Courier New" w:hint="default"/>
      </w:rPr>
    </w:lvl>
    <w:lvl w:ilvl="8" w:tplc="52CE172E">
      <w:start w:val="1"/>
      <w:numFmt w:val="bullet"/>
      <w:lvlText w:val=""/>
      <w:lvlJc w:val="left"/>
      <w:pPr>
        <w:ind w:left="6480" w:hanging="360"/>
      </w:pPr>
      <w:rPr>
        <w:rFonts w:ascii="Wingdings" w:hAnsi="Wingdings" w:hint="default"/>
      </w:rPr>
    </w:lvl>
  </w:abstractNum>
  <w:abstractNum w:abstractNumId="22" w15:restartNumberingAfterBreak="0">
    <w:nsid w:val="28E92CC8"/>
    <w:multiLevelType w:val="multilevel"/>
    <w:tmpl w:val="C366AC72"/>
    <w:lvl w:ilvl="0">
      <w:start w:val="1"/>
      <w:numFmt w:val="none"/>
      <w:pStyle w:val="Source"/>
      <w:suff w:val="space"/>
      <w:lvlText w:val="%1Source:"/>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CF623DA"/>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03927AF"/>
    <w:multiLevelType w:val="multilevel"/>
    <w:tmpl w:val="4972262A"/>
    <w:numStyleLink w:val="HangingList"/>
  </w:abstractNum>
  <w:abstractNum w:abstractNumId="2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6" w15:restartNumberingAfterBreak="0">
    <w:nsid w:val="32314EF5"/>
    <w:multiLevelType w:val="hybridMultilevel"/>
    <w:tmpl w:val="85301E54"/>
    <w:lvl w:ilvl="0" w:tplc="EEE6849A">
      <w:start w:val="1"/>
      <w:numFmt w:val="bullet"/>
      <w:lvlText w:val=""/>
      <w:lvlJc w:val="left"/>
      <w:pPr>
        <w:ind w:left="1020" w:hanging="360"/>
      </w:pPr>
      <w:rPr>
        <w:rFonts w:ascii="Symbol" w:hAnsi="Symbol"/>
      </w:rPr>
    </w:lvl>
    <w:lvl w:ilvl="1" w:tplc="A0045202">
      <w:start w:val="1"/>
      <w:numFmt w:val="bullet"/>
      <w:lvlText w:val=""/>
      <w:lvlJc w:val="left"/>
      <w:pPr>
        <w:ind w:left="1020" w:hanging="360"/>
      </w:pPr>
      <w:rPr>
        <w:rFonts w:ascii="Symbol" w:hAnsi="Symbol"/>
      </w:rPr>
    </w:lvl>
    <w:lvl w:ilvl="2" w:tplc="7FFA370A">
      <w:start w:val="1"/>
      <w:numFmt w:val="bullet"/>
      <w:lvlText w:val=""/>
      <w:lvlJc w:val="left"/>
      <w:pPr>
        <w:ind w:left="1020" w:hanging="360"/>
      </w:pPr>
      <w:rPr>
        <w:rFonts w:ascii="Symbol" w:hAnsi="Symbol"/>
      </w:rPr>
    </w:lvl>
    <w:lvl w:ilvl="3" w:tplc="0CEE763A">
      <w:start w:val="1"/>
      <w:numFmt w:val="bullet"/>
      <w:lvlText w:val=""/>
      <w:lvlJc w:val="left"/>
      <w:pPr>
        <w:ind w:left="1020" w:hanging="360"/>
      </w:pPr>
      <w:rPr>
        <w:rFonts w:ascii="Symbol" w:hAnsi="Symbol"/>
      </w:rPr>
    </w:lvl>
    <w:lvl w:ilvl="4" w:tplc="F2CE698E">
      <w:start w:val="1"/>
      <w:numFmt w:val="bullet"/>
      <w:lvlText w:val=""/>
      <w:lvlJc w:val="left"/>
      <w:pPr>
        <w:ind w:left="1020" w:hanging="360"/>
      </w:pPr>
      <w:rPr>
        <w:rFonts w:ascii="Symbol" w:hAnsi="Symbol"/>
      </w:rPr>
    </w:lvl>
    <w:lvl w:ilvl="5" w:tplc="FCE2F0DA">
      <w:start w:val="1"/>
      <w:numFmt w:val="bullet"/>
      <w:lvlText w:val=""/>
      <w:lvlJc w:val="left"/>
      <w:pPr>
        <w:ind w:left="1020" w:hanging="360"/>
      </w:pPr>
      <w:rPr>
        <w:rFonts w:ascii="Symbol" w:hAnsi="Symbol"/>
      </w:rPr>
    </w:lvl>
    <w:lvl w:ilvl="6" w:tplc="6C0691A6">
      <w:start w:val="1"/>
      <w:numFmt w:val="bullet"/>
      <w:lvlText w:val=""/>
      <w:lvlJc w:val="left"/>
      <w:pPr>
        <w:ind w:left="1020" w:hanging="360"/>
      </w:pPr>
      <w:rPr>
        <w:rFonts w:ascii="Symbol" w:hAnsi="Symbol"/>
      </w:rPr>
    </w:lvl>
    <w:lvl w:ilvl="7" w:tplc="03C606F0">
      <w:start w:val="1"/>
      <w:numFmt w:val="bullet"/>
      <w:lvlText w:val=""/>
      <w:lvlJc w:val="left"/>
      <w:pPr>
        <w:ind w:left="1020" w:hanging="360"/>
      </w:pPr>
      <w:rPr>
        <w:rFonts w:ascii="Symbol" w:hAnsi="Symbol"/>
      </w:rPr>
    </w:lvl>
    <w:lvl w:ilvl="8" w:tplc="7DC6AFF0">
      <w:start w:val="1"/>
      <w:numFmt w:val="bullet"/>
      <w:lvlText w:val=""/>
      <w:lvlJc w:val="left"/>
      <w:pPr>
        <w:ind w:left="1020" w:hanging="360"/>
      </w:pPr>
      <w:rPr>
        <w:rFonts w:ascii="Symbol" w:hAnsi="Symbol"/>
      </w:rPr>
    </w:lvl>
  </w:abstractNum>
  <w:abstractNum w:abstractNumId="2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4B66643"/>
    <w:multiLevelType w:val="multilevel"/>
    <w:tmpl w:val="F736735C"/>
    <w:numStyleLink w:val="LstAlpha"/>
  </w:abstractNum>
  <w:abstractNum w:abstractNumId="29" w15:restartNumberingAfterBreak="0">
    <w:nsid w:val="360A53F6"/>
    <w:multiLevelType w:val="multilevel"/>
    <w:tmpl w:val="BC42E450"/>
    <w:lvl w:ilvl="0">
      <w:start w:val="1"/>
      <w:numFmt w:val="decimal"/>
      <w:lvlText w:val="%1."/>
      <w:lvlJc w:val="left"/>
      <w:pPr>
        <w:ind w:left="397" w:hanging="397"/>
      </w:pPr>
      <w:rPr>
        <w:rFonts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30" w15:restartNumberingAfterBreak="0">
    <w:nsid w:val="36E12523"/>
    <w:multiLevelType w:val="hybridMultilevel"/>
    <w:tmpl w:val="1D047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379171BB"/>
    <w:multiLevelType w:val="hybridMultilevel"/>
    <w:tmpl w:val="BEBCB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7E472CF"/>
    <w:multiLevelType w:val="hybridMultilevel"/>
    <w:tmpl w:val="5A84E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38C773B4"/>
    <w:multiLevelType w:val="multilevel"/>
    <w:tmpl w:val="BC42E450"/>
    <w:lvl w:ilvl="0">
      <w:start w:val="1"/>
      <w:numFmt w:val="decimal"/>
      <w:lvlText w:val="%1."/>
      <w:lvlJc w:val="left"/>
      <w:pPr>
        <w:ind w:left="397" w:hanging="397"/>
      </w:pPr>
      <w:rPr>
        <w:rFonts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35" w15:restartNumberingAfterBreak="0">
    <w:nsid w:val="395B2653"/>
    <w:multiLevelType w:val="hybridMultilevel"/>
    <w:tmpl w:val="D4F8C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1032"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1032"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3D290088"/>
    <w:multiLevelType w:val="hybridMultilevel"/>
    <w:tmpl w:val="C71C2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DC9A3FD"/>
    <w:multiLevelType w:val="hybridMultilevel"/>
    <w:tmpl w:val="FFFFFFFF"/>
    <w:lvl w:ilvl="0" w:tplc="E904EF08">
      <w:start w:val="1"/>
      <w:numFmt w:val="bullet"/>
      <w:lvlText w:val=""/>
      <w:lvlJc w:val="left"/>
      <w:pPr>
        <w:ind w:left="720" w:hanging="360"/>
      </w:pPr>
      <w:rPr>
        <w:rFonts w:ascii="Symbol" w:hAnsi="Symbol" w:hint="default"/>
      </w:rPr>
    </w:lvl>
    <w:lvl w:ilvl="1" w:tplc="96583C7A">
      <w:start w:val="1"/>
      <w:numFmt w:val="bullet"/>
      <w:lvlText w:val="o"/>
      <w:lvlJc w:val="left"/>
      <w:pPr>
        <w:ind w:left="1440" w:hanging="360"/>
      </w:pPr>
      <w:rPr>
        <w:rFonts w:ascii="Courier New" w:hAnsi="Courier New" w:hint="default"/>
      </w:rPr>
    </w:lvl>
    <w:lvl w:ilvl="2" w:tplc="6C38FBFE">
      <w:start w:val="1"/>
      <w:numFmt w:val="bullet"/>
      <w:lvlText w:val=""/>
      <w:lvlJc w:val="left"/>
      <w:pPr>
        <w:ind w:left="2160" w:hanging="360"/>
      </w:pPr>
      <w:rPr>
        <w:rFonts w:ascii="Wingdings" w:hAnsi="Wingdings" w:hint="default"/>
      </w:rPr>
    </w:lvl>
    <w:lvl w:ilvl="3" w:tplc="FAA89392">
      <w:start w:val="1"/>
      <w:numFmt w:val="bullet"/>
      <w:lvlText w:val=""/>
      <w:lvlJc w:val="left"/>
      <w:pPr>
        <w:ind w:left="2880" w:hanging="360"/>
      </w:pPr>
      <w:rPr>
        <w:rFonts w:ascii="Symbol" w:hAnsi="Symbol" w:hint="default"/>
      </w:rPr>
    </w:lvl>
    <w:lvl w:ilvl="4" w:tplc="E840A6B4">
      <w:start w:val="1"/>
      <w:numFmt w:val="bullet"/>
      <w:lvlText w:val="o"/>
      <w:lvlJc w:val="left"/>
      <w:pPr>
        <w:ind w:left="3600" w:hanging="360"/>
      </w:pPr>
      <w:rPr>
        <w:rFonts w:ascii="Courier New" w:hAnsi="Courier New" w:hint="default"/>
      </w:rPr>
    </w:lvl>
    <w:lvl w:ilvl="5" w:tplc="C096EA46">
      <w:start w:val="1"/>
      <w:numFmt w:val="bullet"/>
      <w:lvlText w:val=""/>
      <w:lvlJc w:val="left"/>
      <w:pPr>
        <w:ind w:left="4320" w:hanging="360"/>
      </w:pPr>
      <w:rPr>
        <w:rFonts w:ascii="Wingdings" w:hAnsi="Wingdings" w:hint="default"/>
      </w:rPr>
    </w:lvl>
    <w:lvl w:ilvl="6" w:tplc="2ABCDBF4">
      <w:start w:val="1"/>
      <w:numFmt w:val="bullet"/>
      <w:lvlText w:val=""/>
      <w:lvlJc w:val="left"/>
      <w:pPr>
        <w:ind w:left="5040" w:hanging="360"/>
      </w:pPr>
      <w:rPr>
        <w:rFonts w:ascii="Symbol" w:hAnsi="Symbol" w:hint="default"/>
      </w:rPr>
    </w:lvl>
    <w:lvl w:ilvl="7" w:tplc="B4387FB2">
      <w:start w:val="1"/>
      <w:numFmt w:val="bullet"/>
      <w:lvlText w:val="o"/>
      <w:lvlJc w:val="left"/>
      <w:pPr>
        <w:ind w:left="5760" w:hanging="360"/>
      </w:pPr>
      <w:rPr>
        <w:rFonts w:ascii="Courier New" w:hAnsi="Courier New" w:hint="default"/>
      </w:rPr>
    </w:lvl>
    <w:lvl w:ilvl="8" w:tplc="353E1C04">
      <w:start w:val="1"/>
      <w:numFmt w:val="bullet"/>
      <w:lvlText w:val=""/>
      <w:lvlJc w:val="left"/>
      <w:pPr>
        <w:ind w:left="6480" w:hanging="360"/>
      </w:pPr>
      <w:rPr>
        <w:rFonts w:ascii="Wingdings" w:hAnsi="Wingdings" w:hint="default"/>
      </w:rPr>
    </w:lvl>
  </w:abstractNum>
  <w:abstractNum w:abstractNumId="4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1032"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43246CDA"/>
    <w:multiLevelType w:val="multilevel"/>
    <w:tmpl w:val="F736735C"/>
    <w:styleLink w:val="LstAlpha"/>
    <w:lvl w:ilvl="0">
      <w:start w:val="1"/>
      <w:numFmt w:val="lowerLetter"/>
      <w:pStyle w:val="ListAlpha"/>
      <w:lvlText w:val="%1."/>
      <w:lvlJc w:val="left"/>
      <w:pPr>
        <w:ind w:left="397" w:hanging="397"/>
      </w:pPr>
      <w:rPr>
        <w:rFonts w:hint="default"/>
      </w:rPr>
    </w:lvl>
    <w:lvl w:ilvl="1">
      <w:start w:val="1"/>
      <w:numFmt w:val="none"/>
      <w:lvlText w:val="%2"/>
      <w:lvlJc w:val="left"/>
      <w:pPr>
        <w:ind w:left="794" w:hanging="397"/>
      </w:pPr>
      <w:rPr>
        <w:rFonts w:hint="default"/>
      </w:rPr>
    </w:lvl>
    <w:lvl w:ilvl="2">
      <w:start w:val="1"/>
      <w:numFmt w:val="none"/>
      <w:lvlText w:val="%3"/>
      <w:lvlJc w:val="left"/>
      <w:pPr>
        <w:ind w:left="1191" w:hanging="397"/>
      </w:pPr>
      <w:rPr>
        <w:rFonts w:hint="default"/>
      </w:rPr>
    </w:lvl>
    <w:lvl w:ilvl="3">
      <w:start w:val="1"/>
      <w:numFmt w:val="none"/>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6"/>
      <w:lvlJc w:val="right"/>
      <w:pPr>
        <w:ind w:left="2382" w:hanging="397"/>
      </w:pPr>
      <w:rPr>
        <w:rFonts w:hint="default"/>
      </w:rPr>
    </w:lvl>
    <w:lvl w:ilvl="6">
      <w:start w:val="1"/>
      <w:numFmt w:val="none"/>
      <w:lvlText w:val="%7"/>
      <w:lvlJc w:val="left"/>
      <w:pPr>
        <w:ind w:left="2779" w:hanging="397"/>
      </w:pPr>
      <w:rPr>
        <w:rFonts w:hint="default"/>
      </w:rPr>
    </w:lvl>
    <w:lvl w:ilvl="7">
      <w:start w:val="1"/>
      <w:numFmt w:val="none"/>
      <w:lvlText w:val="%8"/>
      <w:lvlJc w:val="left"/>
      <w:pPr>
        <w:ind w:left="3176" w:hanging="397"/>
      </w:pPr>
      <w:rPr>
        <w:rFonts w:hint="default"/>
      </w:rPr>
    </w:lvl>
    <w:lvl w:ilvl="8">
      <w:start w:val="1"/>
      <w:numFmt w:val="none"/>
      <w:lvlText w:val="%9"/>
      <w:lvlJc w:val="right"/>
      <w:pPr>
        <w:ind w:left="3573" w:hanging="397"/>
      </w:pPr>
      <w:rPr>
        <w:rFonts w:hint="default"/>
      </w:rPr>
    </w:lvl>
  </w:abstractNum>
  <w:abstractNum w:abstractNumId="42" w15:restartNumberingAfterBreak="0">
    <w:nsid w:val="44802F4F"/>
    <w:multiLevelType w:val="hybridMultilevel"/>
    <w:tmpl w:val="54E42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5E114A5"/>
    <w:multiLevelType w:val="hybridMultilevel"/>
    <w:tmpl w:val="4956DCCA"/>
    <w:lvl w:ilvl="0" w:tplc="E0EC66F0">
      <w:start w:val="1"/>
      <w:numFmt w:val="bullet"/>
      <w:lvlText w:val=""/>
      <w:lvlJc w:val="left"/>
      <w:pPr>
        <w:ind w:left="720" w:hanging="360"/>
      </w:pPr>
      <w:rPr>
        <w:rFonts w:ascii="Symbol" w:hAnsi="Symbol"/>
      </w:rPr>
    </w:lvl>
    <w:lvl w:ilvl="1" w:tplc="9D52EE10">
      <w:start w:val="1"/>
      <w:numFmt w:val="bullet"/>
      <w:lvlText w:val=""/>
      <w:lvlJc w:val="left"/>
      <w:pPr>
        <w:ind w:left="720" w:hanging="360"/>
      </w:pPr>
      <w:rPr>
        <w:rFonts w:ascii="Symbol" w:hAnsi="Symbol"/>
      </w:rPr>
    </w:lvl>
    <w:lvl w:ilvl="2" w:tplc="6248FD42">
      <w:start w:val="1"/>
      <w:numFmt w:val="bullet"/>
      <w:lvlText w:val=""/>
      <w:lvlJc w:val="left"/>
      <w:pPr>
        <w:ind w:left="720" w:hanging="360"/>
      </w:pPr>
      <w:rPr>
        <w:rFonts w:ascii="Symbol" w:hAnsi="Symbol"/>
      </w:rPr>
    </w:lvl>
    <w:lvl w:ilvl="3" w:tplc="6882DAA2">
      <w:start w:val="1"/>
      <w:numFmt w:val="bullet"/>
      <w:lvlText w:val=""/>
      <w:lvlJc w:val="left"/>
      <w:pPr>
        <w:ind w:left="720" w:hanging="360"/>
      </w:pPr>
      <w:rPr>
        <w:rFonts w:ascii="Symbol" w:hAnsi="Symbol"/>
      </w:rPr>
    </w:lvl>
    <w:lvl w:ilvl="4" w:tplc="0B24D50A">
      <w:start w:val="1"/>
      <w:numFmt w:val="bullet"/>
      <w:lvlText w:val=""/>
      <w:lvlJc w:val="left"/>
      <w:pPr>
        <w:ind w:left="720" w:hanging="360"/>
      </w:pPr>
      <w:rPr>
        <w:rFonts w:ascii="Symbol" w:hAnsi="Symbol"/>
      </w:rPr>
    </w:lvl>
    <w:lvl w:ilvl="5" w:tplc="96D032BE">
      <w:start w:val="1"/>
      <w:numFmt w:val="bullet"/>
      <w:lvlText w:val=""/>
      <w:lvlJc w:val="left"/>
      <w:pPr>
        <w:ind w:left="720" w:hanging="360"/>
      </w:pPr>
      <w:rPr>
        <w:rFonts w:ascii="Symbol" w:hAnsi="Symbol"/>
      </w:rPr>
    </w:lvl>
    <w:lvl w:ilvl="6" w:tplc="F7F05668">
      <w:start w:val="1"/>
      <w:numFmt w:val="bullet"/>
      <w:lvlText w:val=""/>
      <w:lvlJc w:val="left"/>
      <w:pPr>
        <w:ind w:left="720" w:hanging="360"/>
      </w:pPr>
      <w:rPr>
        <w:rFonts w:ascii="Symbol" w:hAnsi="Symbol"/>
      </w:rPr>
    </w:lvl>
    <w:lvl w:ilvl="7" w:tplc="64CC7580">
      <w:start w:val="1"/>
      <w:numFmt w:val="bullet"/>
      <w:lvlText w:val=""/>
      <w:lvlJc w:val="left"/>
      <w:pPr>
        <w:ind w:left="720" w:hanging="360"/>
      </w:pPr>
      <w:rPr>
        <w:rFonts w:ascii="Symbol" w:hAnsi="Symbol"/>
      </w:rPr>
    </w:lvl>
    <w:lvl w:ilvl="8" w:tplc="4168A41E">
      <w:start w:val="1"/>
      <w:numFmt w:val="bullet"/>
      <w:lvlText w:val=""/>
      <w:lvlJc w:val="left"/>
      <w:pPr>
        <w:ind w:left="720" w:hanging="360"/>
      </w:pPr>
      <w:rPr>
        <w:rFonts w:ascii="Symbol" w:hAnsi="Symbol"/>
      </w:rPr>
    </w:lvl>
  </w:abstractNum>
  <w:abstractNum w:abstractNumId="44" w15:restartNumberingAfterBreak="0">
    <w:nsid w:val="46F86BFB"/>
    <w:multiLevelType w:val="hybridMultilevel"/>
    <w:tmpl w:val="B76A0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AA27F2E"/>
    <w:multiLevelType w:val="multilevel"/>
    <w:tmpl w:val="BD3E64C2"/>
    <w:name w:val="Bullets"/>
    <w:lvl w:ilvl="0">
      <w:start w:val="1"/>
      <w:numFmt w:val="bullet"/>
      <w:lvlText w:val="•"/>
      <w:lvlJc w:val="left"/>
      <w:pPr>
        <w:ind w:left="397" w:hanging="397"/>
      </w:pPr>
      <w:rPr>
        <w:rFonts w:ascii="Arial" w:hAnsi="Arial"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46" w15:restartNumberingAfterBreak="0">
    <w:nsid w:val="4B69D469"/>
    <w:multiLevelType w:val="hybridMultilevel"/>
    <w:tmpl w:val="FFFFFFFF"/>
    <w:lvl w:ilvl="0" w:tplc="1C9622AE">
      <w:start w:val="1"/>
      <w:numFmt w:val="decimal"/>
      <w:lvlText w:val="%1."/>
      <w:lvlJc w:val="left"/>
      <w:pPr>
        <w:ind w:left="720" w:hanging="360"/>
      </w:pPr>
    </w:lvl>
    <w:lvl w:ilvl="1" w:tplc="CF80D806">
      <w:start w:val="1"/>
      <w:numFmt w:val="lowerLetter"/>
      <w:lvlText w:val="%2."/>
      <w:lvlJc w:val="left"/>
      <w:pPr>
        <w:ind w:left="1440" w:hanging="360"/>
      </w:pPr>
    </w:lvl>
    <w:lvl w:ilvl="2" w:tplc="EF1CCC0C">
      <w:start w:val="1"/>
      <w:numFmt w:val="lowerRoman"/>
      <w:lvlText w:val="%3."/>
      <w:lvlJc w:val="right"/>
      <w:pPr>
        <w:ind w:left="2160" w:hanging="180"/>
      </w:pPr>
    </w:lvl>
    <w:lvl w:ilvl="3" w:tplc="662C2EFE">
      <w:start w:val="1"/>
      <w:numFmt w:val="decimal"/>
      <w:lvlText w:val="%4."/>
      <w:lvlJc w:val="left"/>
      <w:pPr>
        <w:ind w:left="2880" w:hanging="360"/>
      </w:pPr>
    </w:lvl>
    <w:lvl w:ilvl="4" w:tplc="3C920BE8">
      <w:start w:val="1"/>
      <w:numFmt w:val="lowerLetter"/>
      <w:lvlText w:val="%5."/>
      <w:lvlJc w:val="left"/>
      <w:pPr>
        <w:ind w:left="3600" w:hanging="360"/>
      </w:pPr>
    </w:lvl>
    <w:lvl w:ilvl="5" w:tplc="41AAA2A4">
      <w:start w:val="1"/>
      <w:numFmt w:val="lowerRoman"/>
      <w:lvlText w:val="%6."/>
      <w:lvlJc w:val="right"/>
      <w:pPr>
        <w:ind w:left="4320" w:hanging="180"/>
      </w:pPr>
    </w:lvl>
    <w:lvl w:ilvl="6" w:tplc="057471AA">
      <w:start w:val="1"/>
      <w:numFmt w:val="decimal"/>
      <w:lvlText w:val="%7."/>
      <w:lvlJc w:val="left"/>
      <w:pPr>
        <w:ind w:left="5040" w:hanging="360"/>
      </w:pPr>
    </w:lvl>
    <w:lvl w:ilvl="7" w:tplc="FD72A0D4">
      <w:start w:val="1"/>
      <w:numFmt w:val="lowerLetter"/>
      <w:lvlText w:val="%8."/>
      <w:lvlJc w:val="left"/>
      <w:pPr>
        <w:ind w:left="5760" w:hanging="360"/>
      </w:pPr>
    </w:lvl>
    <w:lvl w:ilvl="8" w:tplc="8B56EFC4">
      <w:start w:val="1"/>
      <w:numFmt w:val="lowerRoman"/>
      <w:lvlText w:val="%9."/>
      <w:lvlJc w:val="right"/>
      <w:pPr>
        <w:ind w:left="6480" w:hanging="180"/>
      </w:pPr>
    </w:lvl>
  </w:abstractNum>
  <w:abstractNum w:abstractNumId="47" w15:restartNumberingAfterBreak="0">
    <w:nsid w:val="4E22E9DE"/>
    <w:multiLevelType w:val="hybridMultilevel"/>
    <w:tmpl w:val="3ECC668A"/>
    <w:lvl w:ilvl="0" w:tplc="3CB41386">
      <w:start w:val="1"/>
      <w:numFmt w:val="bullet"/>
      <w:lvlText w:val=""/>
      <w:lvlJc w:val="left"/>
      <w:pPr>
        <w:ind w:left="720" w:hanging="360"/>
      </w:pPr>
      <w:rPr>
        <w:rFonts w:ascii="Symbol" w:hAnsi="Symbol" w:hint="default"/>
      </w:rPr>
    </w:lvl>
    <w:lvl w:ilvl="1" w:tplc="3C20219E">
      <w:start w:val="1"/>
      <w:numFmt w:val="bullet"/>
      <w:lvlText w:val="o"/>
      <w:lvlJc w:val="left"/>
      <w:pPr>
        <w:ind w:left="1440" w:hanging="360"/>
      </w:pPr>
      <w:rPr>
        <w:rFonts w:ascii="Courier New" w:hAnsi="Courier New" w:hint="default"/>
      </w:rPr>
    </w:lvl>
    <w:lvl w:ilvl="2" w:tplc="07769FD0">
      <w:start w:val="1"/>
      <w:numFmt w:val="bullet"/>
      <w:lvlText w:val=""/>
      <w:lvlJc w:val="left"/>
      <w:pPr>
        <w:ind w:left="2160" w:hanging="360"/>
      </w:pPr>
      <w:rPr>
        <w:rFonts w:ascii="Wingdings" w:hAnsi="Wingdings" w:hint="default"/>
      </w:rPr>
    </w:lvl>
    <w:lvl w:ilvl="3" w:tplc="5E0A1194">
      <w:start w:val="1"/>
      <w:numFmt w:val="bullet"/>
      <w:lvlText w:val=""/>
      <w:lvlJc w:val="left"/>
      <w:pPr>
        <w:ind w:left="2880" w:hanging="360"/>
      </w:pPr>
      <w:rPr>
        <w:rFonts w:ascii="Symbol" w:hAnsi="Symbol" w:hint="default"/>
      </w:rPr>
    </w:lvl>
    <w:lvl w:ilvl="4" w:tplc="9F980148">
      <w:start w:val="1"/>
      <w:numFmt w:val="bullet"/>
      <w:lvlText w:val="o"/>
      <w:lvlJc w:val="left"/>
      <w:pPr>
        <w:ind w:left="3600" w:hanging="360"/>
      </w:pPr>
      <w:rPr>
        <w:rFonts w:ascii="Courier New" w:hAnsi="Courier New" w:hint="default"/>
      </w:rPr>
    </w:lvl>
    <w:lvl w:ilvl="5" w:tplc="A252BC52">
      <w:start w:val="1"/>
      <w:numFmt w:val="bullet"/>
      <w:lvlText w:val=""/>
      <w:lvlJc w:val="left"/>
      <w:pPr>
        <w:ind w:left="4320" w:hanging="360"/>
      </w:pPr>
      <w:rPr>
        <w:rFonts w:ascii="Wingdings" w:hAnsi="Wingdings" w:hint="default"/>
      </w:rPr>
    </w:lvl>
    <w:lvl w:ilvl="6" w:tplc="46A22126">
      <w:start w:val="1"/>
      <w:numFmt w:val="bullet"/>
      <w:lvlText w:val=""/>
      <w:lvlJc w:val="left"/>
      <w:pPr>
        <w:ind w:left="5040" w:hanging="360"/>
      </w:pPr>
      <w:rPr>
        <w:rFonts w:ascii="Symbol" w:hAnsi="Symbol" w:hint="default"/>
      </w:rPr>
    </w:lvl>
    <w:lvl w:ilvl="7" w:tplc="2A6E1FBE">
      <w:start w:val="1"/>
      <w:numFmt w:val="bullet"/>
      <w:lvlText w:val="o"/>
      <w:lvlJc w:val="left"/>
      <w:pPr>
        <w:ind w:left="5760" w:hanging="360"/>
      </w:pPr>
      <w:rPr>
        <w:rFonts w:ascii="Courier New" w:hAnsi="Courier New" w:hint="default"/>
      </w:rPr>
    </w:lvl>
    <w:lvl w:ilvl="8" w:tplc="0EBC9956">
      <w:start w:val="1"/>
      <w:numFmt w:val="bullet"/>
      <w:lvlText w:val=""/>
      <w:lvlJc w:val="left"/>
      <w:pPr>
        <w:ind w:left="6480" w:hanging="360"/>
      </w:pPr>
      <w:rPr>
        <w:rFonts w:ascii="Wingdings" w:hAnsi="Wingdings" w:hint="default"/>
      </w:rPr>
    </w:lvl>
  </w:abstractNum>
  <w:abstractNum w:abstractNumId="48" w15:restartNumberingAfterBreak="0">
    <w:nsid w:val="4E380AB1"/>
    <w:multiLevelType w:val="multilevel"/>
    <w:tmpl w:val="ECEE2290"/>
    <w:numStyleLink w:val="LstStandardNumbering"/>
  </w:abstractNum>
  <w:abstractNum w:abstractNumId="49" w15:restartNumberingAfterBreak="0">
    <w:nsid w:val="51031769"/>
    <w:multiLevelType w:val="hybridMultilevel"/>
    <w:tmpl w:val="FFFFFFFF"/>
    <w:lvl w:ilvl="0" w:tplc="78A4B104">
      <w:start w:val="1"/>
      <w:numFmt w:val="bullet"/>
      <w:lvlText w:val=""/>
      <w:lvlJc w:val="left"/>
      <w:pPr>
        <w:ind w:left="720" w:hanging="360"/>
      </w:pPr>
      <w:rPr>
        <w:rFonts w:ascii="Symbol" w:hAnsi="Symbol" w:hint="default"/>
      </w:rPr>
    </w:lvl>
    <w:lvl w:ilvl="1" w:tplc="8EA25168">
      <w:start w:val="1"/>
      <w:numFmt w:val="bullet"/>
      <w:lvlText w:val="o"/>
      <w:lvlJc w:val="left"/>
      <w:pPr>
        <w:ind w:left="1440" w:hanging="360"/>
      </w:pPr>
      <w:rPr>
        <w:rFonts w:ascii="Courier New" w:hAnsi="Courier New" w:hint="default"/>
      </w:rPr>
    </w:lvl>
    <w:lvl w:ilvl="2" w:tplc="8D36DBD0">
      <w:start w:val="1"/>
      <w:numFmt w:val="bullet"/>
      <w:lvlText w:val=""/>
      <w:lvlJc w:val="left"/>
      <w:pPr>
        <w:ind w:left="2160" w:hanging="360"/>
      </w:pPr>
      <w:rPr>
        <w:rFonts w:ascii="Wingdings" w:hAnsi="Wingdings" w:hint="default"/>
      </w:rPr>
    </w:lvl>
    <w:lvl w:ilvl="3" w:tplc="380484E4">
      <w:start w:val="1"/>
      <w:numFmt w:val="bullet"/>
      <w:lvlText w:val=""/>
      <w:lvlJc w:val="left"/>
      <w:pPr>
        <w:ind w:left="2880" w:hanging="360"/>
      </w:pPr>
      <w:rPr>
        <w:rFonts w:ascii="Symbol" w:hAnsi="Symbol" w:hint="default"/>
      </w:rPr>
    </w:lvl>
    <w:lvl w:ilvl="4" w:tplc="BE40355C">
      <w:start w:val="1"/>
      <w:numFmt w:val="bullet"/>
      <w:lvlText w:val="o"/>
      <w:lvlJc w:val="left"/>
      <w:pPr>
        <w:ind w:left="3600" w:hanging="360"/>
      </w:pPr>
      <w:rPr>
        <w:rFonts w:ascii="Courier New" w:hAnsi="Courier New" w:hint="default"/>
      </w:rPr>
    </w:lvl>
    <w:lvl w:ilvl="5" w:tplc="5E763752">
      <w:start w:val="1"/>
      <w:numFmt w:val="bullet"/>
      <w:lvlText w:val=""/>
      <w:lvlJc w:val="left"/>
      <w:pPr>
        <w:ind w:left="4320" w:hanging="360"/>
      </w:pPr>
      <w:rPr>
        <w:rFonts w:ascii="Wingdings" w:hAnsi="Wingdings" w:hint="default"/>
      </w:rPr>
    </w:lvl>
    <w:lvl w:ilvl="6" w:tplc="9F68F3D4">
      <w:start w:val="1"/>
      <w:numFmt w:val="bullet"/>
      <w:lvlText w:val=""/>
      <w:lvlJc w:val="left"/>
      <w:pPr>
        <w:ind w:left="5040" w:hanging="360"/>
      </w:pPr>
      <w:rPr>
        <w:rFonts w:ascii="Symbol" w:hAnsi="Symbol" w:hint="default"/>
      </w:rPr>
    </w:lvl>
    <w:lvl w:ilvl="7" w:tplc="C1D6AA36">
      <w:start w:val="1"/>
      <w:numFmt w:val="bullet"/>
      <w:lvlText w:val="o"/>
      <w:lvlJc w:val="left"/>
      <w:pPr>
        <w:ind w:left="5760" w:hanging="360"/>
      </w:pPr>
      <w:rPr>
        <w:rFonts w:ascii="Courier New" w:hAnsi="Courier New" w:hint="default"/>
      </w:rPr>
    </w:lvl>
    <w:lvl w:ilvl="8" w:tplc="51627AD8">
      <w:start w:val="1"/>
      <w:numFmt w:val="bullet"/>
      <w:lvlText w:val=""/>
      <w:lvlJc w:val="left"/>
      <w:pPr>
        <w:ind w:left="6480" w:hanging="360"/>
      </w:pPr>
      <w:rPr>
        <w:rFonts w:ascii="Wingdings" w:hAnsi="Wingdings" w:hint="default"/>
      </w:rPr>
    </w:lvl>
  </w:abstractNum>
  <w:abstractNum w:abstractNumId="50" w15:restartNumberingAfterBreak="0">
    <w:nsid w:val="51A717BE"/>
    <w:multiLevelType w:val="hybridMultilevel"/>
    <w:tmpl w:val="FFFFFFFF"/>
    <w:lvl w:ilvl="0" w:tplc="167E247E">
      <w:start w:val="1"/>
      <w:numFmt w:val="bullet"/>
      <w:lvlText w:val=""/>
      <w:lvlJc w:val="left"/>
      <w:pPr>
        <w:ind w:left="720" w:hanging="360"/>
      </w:pPr>
      <w:rPr>
        <w:rFonts w:ascii="Symbol" w:hAnsi="Symbol" w:hint="default"/>
      </w:rPr>
    </w:lvl>
    <w:lvl w:ilvl="1" w:tplc="63481FDA">
      <w:start w:val="1"/>
      <w:numFmt w:val="bullet"/>
      <w:lvlText w:val="o"/>
      <w:lvlJc w:val="left"/>
      <w:pPr>
        <w:ind w:left="1440" w:hanging="360"/>
      </w:pPr>
      <w:rPr>
        <w:rFonts w:ascii="Courier New" w:hAnsi="Courier New" w:hint="default"/>
      </w:rPr>
    </w:lvl>
    <w:lvl w:ilvl="2" w:tplc="7610B396">
      <w:start w:val="1"/>
      <w:numFmt w:val="bullet"/>
      <w:lvlText w:val=""/>
      <w:lvlJc w:val="left"/>
      <w:pPr>
        <w:ind w:left="2160" w:hanging="360"/>
      </w:pPr>
      <w:rPr>
        <w:rFonts w:ascii="Wingdings" w:hAnsi="Wingdings" w:hint="default"/>
      </w:rPr>
    </w:lvl>
    <w:lvl w:ilvl="3" w:tplc="FE6E7C28">
      <w:start w:val="1"/>
      <w:numFmt w:val="bullet"/>
      <w:lvlText w:val=""/>
      <w:lvlJc w:val="left"/>
      <w:pPr>
        <w:ind w:left="2880" w:hanging="360"/>
      </w:pPr>
      <w:rPr>
        <w:rFonts w:ascii="Symbol" w:hAnsi="Symbol" w:hint="default"/>
      </w:rPr>
    </w:lvl>
    <w:lvl w:ilvl="4" w:tplc="73C848E4">
      <w:start w:val="1"/>
      <w:numFmt w:val="bullet"/>
      <w:lvlText w:val="o"/>
      <w:lvlJc w:val="left"/>
      <w:pPr>
        <w:ind w:left="3600" w:hanging="360"/>
      </w:pPr>
      <w:rPr>
        <w:rFonts w:ascii="Courier New" w:hAnsi="Courier New" w:hint="default"/>
      </w:rPr>
    </w:lvl>
    <w:lvl w:ilvl="5" w:tplc="CE123AA2">
      <w:start w:val="1"/>
      <w:numFmt w:val="bullet"/>
      <w:lvlText w:val=""/>
      <w:lvlJc w:val="left"/>
      <w:pPr>
        <w:ind w:left="4320" w:hanging="360"/>
      </w:pPr>
      <w:rPr>
        <w:rFonts w:ascii="Wingdings" w:hAnsi="Wingdings" w:hint="default"/>
      </w:rPr>
    </w:lvl>
    <w:lvl w:ilvl="6" w:tplc="C9A2003C">
      <w:start w:val="1"/>
      <w:numFmt w:val="bullet"/>
      <w:lvlText w:val=""/>
      <w:lvlJc w:val="left"/>
      <w:pPr>
        <w:ind w:left="5040" w:hanging="360"/>
      </w:pPr>
      <w:rPr>
        <w:rFonts w:ascii="Symbol" w:hAnsi="Symbol" w:hint="default"/>
      </w:rPr>
    </w:lvl>
    <w:lvl w:ilvl="7" w:tplc="5FB899B6">
      <w:start w:val="1"/>
      <w:numFmt w:val="bullet"/>
      <w:lvlText w:val="o"/>
      <w:lvlJc w:val="left"/>
      <w:pPr>
        <w:ind w:left="5760" w:hanging="360"/>
      </w:pPr>
      <w:rPr>
        <w:rFonts w:ascii="Courier New" w:hAnsi="Courier New" w:hint="default"/>
      </w:rPr>
    </w:lvl>
    <w:lvl w:ilvl="8" w:tplc="718C9004">
      <w:start w:val="1"/>
      <w:numFmt w:val="bullet"/>
      <w:lvlText w:val=""/>
      <w:lvlJc w:val="left"/>
      <w:pPr>
        <w:ind w:left="6480" w:hanging="360"/>
      </w:pPr>
      <w:rPr>
        <w:rFonts w:ascii="Wingdings" w:hAnsi="Wingdings" w:hint="default"/>
      </w:rPr>
    </w:lvl>
  </w:abstractNum>
  <w:abstractNum w:abstractNumId="5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52" w15:restartNumberingAfterBreak="0">
    <w:nsid w:val="529862CB"/>
    <w:multiLevelType w:val="hybridMultilevel"/>
    <w:tmpl w:val="92B47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533157A3"/>
    <w:multiLevelType w:val="multilevel"/>
    <w:tmpl w:val="4BDCB4EA"/>
    <w:name w:val="NumberedHeadings"/>
    <w:lvl w:ilvl="0">
      <w:start w:val="1"/>
      <w:numFmt w:val="decimal"/>
      <w:lvlText w:val="%1."/>
      <w:lvlJc w:val="left"/>
      <w:pPr>
        <w:ind w:left="794" w:hanging="794"/>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ind w:left="794" w:hanging="794"/>
      </w:pPr>
      <w:rPr>
        <w:rFonts w:hint="default"/>
      </w:rPr>
    </w:lvl>
    <w:lvl w:ilvl="3">
      <w:start w:val="1"/>
      <w:numFmt w:val="none"/>
      <w:lvlText w:val=""/>
      <w:lvlJc w:val="left"/>
      <w:pPr>
        <w:ind w:left="0" w:firstLine="0"/>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534F5397"/>
    <w:multiLevelType w:val="hybridMultilevel"/>
    <w:tmpl w:val="3AB6B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5363E52"/>
    <w:multiLevelType w:val="hybridMultilevel"/>
    <w:tmpl w:val="E7121CE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678E98B"/>
    <w:multiLevelType w:val="hybridMultilevel"/>
    <w:tmpl w:val="FFFFFFFF"/>
    <w:lvl w:ilvl="0" w:tplc="8F6A53A2">
      <w:start w:val="1"/>
      <w:numFmt w:val="bullet"/>
      <w:lvlText w:val=""/>
      <w:lvlJc w:val="left"/>
      <w:pPr>
        <w:ind w:left="720" w:hanging="360"/>
      </w:pPr>
      <w:rPr>
        <w:rFonts w:ascii="Symbol" w:hAnsi="Symbol" w:hint="default"/>
      </w:rPr>
    </w:lvl>
    <w:lvl w:ilvl="1" w:tplc="ED102952">
      <w:start w:val="1"/>
      <w:numFmt w:val="bullet"/>
      <w:lvlText w:val="o"/>
      <w:lvlJc w:val="left"/>
      <w:pPr>
        <w:ind w:left="1440" w:hanging="360"/>
      </w:pPr>
      <w:rPr>
        <w:rFonts w:ascii="Courier New" w:hAnsi="Courier New" w:hint="default"/>
      </w:rPr>
    </w:lvl>
    <w:lvl w:ilvl="2" w:tplc="78748414">
      <w:start w:val="1"/>
      <w:numFmt w:val="bullet"/>
      <w:lvlText w:val=""/>
      <w:lvlJc w:val="left"/>
      <w:pPr>
        <w:ind w:left="2160" w:hanging="360"/>
      </w:pPr>
      <w:rPr>
        <w:rFonts w:ascii="Wingdings" w:hAnsi="Wingdings" w:hint="default"/>
      </w:rPr>
    </w:lvl>
    <w:lvl w:ilvl="3" w:tplc="5636F13A">
      <w:start w:val="1"/>
      <w:numFmt w:val="bullet"/>
      <w:lvlText w:val=""/>
      <w:lvlJc w:val="left"/>
      <w:pPr>
        <w:ind w:left="2880" w:hanging="360"/>
      </w:pPr>
      <w:rPr>
        <w:rFonts w:ascii="Symbol" w:hAnsi="Symbol" w:hint="default"/>
      </w:rPr>
    </w:lvl>
    <w:lvl w:ilvl="4" w:tplc="F028B85E">
      <w:start w:val="1"/>
      <w:numFmt w:val="bullet"/>
      <w:lvlText w:val="o"/>
      <w:lvlJc w:val="left"/>
      <w:pPr>
        <w:ind w:left="3600" w:hanging="360"/>
      </w:pPr>
      <w:rPr>
        <w:rFonts w:ascii="Courier New" w:hAnsi="Courier New" w:hint="default"/>
      </w:rPr>
    </w:lvl>
    <w:lvl w:ilvl="5" w:tplc="923EBE18">
      <w:start w:val="1"/>
      <w:numFmt w:val="bullet"/>
      <w:lvlText w:val=""/>
      <w:lvlJc w:val="left"/>
      <w:pPr>
        <w:ind w:left="4320" w:hanging="360"/>
      </w:pPr>
      <w:rPr>
        <w:rFonts w:ascii="Wingdings" w:hAnsi="Wingdings" w:hint="default"/>
      </w:rPr>
    </w:lvl>
    <w:lvl w:ilvl="6" w:tplc="4184F5FE">
      <w:start w:val="1"/>
      <w:numFmt w:val="bullet"/>
      <w:lvlText w:val=""/>
      <w:lvlJc w:val="left"/>
      <w:pPr>
        <w:ind w:left="5040" w:hanging="360"/>
      </w:pPr>
      <w:rPr>
        <w:rFonts w:ascii="Symbol" w:hAnsi="Symbol" w:hint="default"/>
      </w:rPr>
    </w:lvl>
    <w:lvl w:ilvl="7" w:tplc="D10433EC">
      <w:start w:val="1"/>
      <w:numFmt w:val="bullet"/>
      <w:lvlText w:val="o"/>
      <w:lvlJc w:val="left"/>
      <w:pPr>
        <w:ind w:left="5760" w:hanging="360"/>
      </w:pPr>
      <w:rPr>
        <w:rFonts w:ascii="Courier New" w:hAnsi="Courier New" w:hint="default"/>
      </w:rPr>
    </w:lvl>
    <w:lvl w:ilvl="8" w:tplc="6EA4E5A8">
      <w:start w:val="1"/>
      <w:numFmt w:val="bullet"/>
      <w:lvlText w:val=""/>
      <w:lvlJc w:val="left"/>
      <w:pPr>
        <w:ind w:left="6480" w:hanging="360"/>
      </w:pPr>
      <w:rPr>
        <w:rFonts w:ascii="Wingdings" w:hAnsi="Wingdings" w:hint="default"/>
      </w:rPr>
    </w:lvl>
  </w:abstractNum>
  <w:abstractNum w:abstractNumId="57" w15:restartNumberingAfterBreak="0">
    <w:nsid w:val="5680327F"/>
    <w:multiLevelType w:val="multilevel"/>
    <w:tmpl w:val="5540E618"/>
    <w:styleLink w:val="LstBullets"/>
    <w:lvl w:ilvl="0">
      <w:start w:val="1"/>
      <w:numFmt w:val="bullet"/>
      <w:lvlText w:val="•"/>
      <w:lvlJc w:val="left"/>
      <w:pPr>
        <w:ind w:left="397" w:hanging="397"/>
      </w:pPr>
      <w:rPr>
        <w:rFonts w:ascii="Arial" w:hAnsi="Arial" w:hint="default"/>
      </w:rPr>
    </w:lvl>
    <w:lvl w:ilvl="1">
      <w:start w:val="1"/>
      <w:numFmt w:val="bullet"/>
      <w:lvlText w:val="-"/>
      <w:lvlJc w:val="left"/>
      <w:pPr>
        <w:ind w:left="794" w:hanging="397"/>
      </w:pPr>
      <w:rPr>
        <w:rFonts w:ascii="Arial" w:hAnsi="Arial" w:hint="default"/>
      </w:rPr>
    </w:lvl>
    <w:lvl w:ilvl="2">
      <w:start w:val="1"/>
      <w:numFmt w:val="bullet"/>
      <w:lvlText w:val="◦"/>
      <w:lvlJc w:val="left"/>
      <w:pPr>
        <w:ind w:left="1191" w:hanging="397"/>
      </w:pPr>
      <w:rPr>
        <w:rFonts w:ascii="Arial" w:hAnsi="Arial" w:hint="default"/>
      </w:rPr>
    </w:lvl>
    <w:lvl w:ilvl="3">
      <w:start w:val="1"/>
      <w:numFmt w:val="bullet"/>
      <w:lvlText w:val="▪"/>
      <w:lvlJc w:val="left"/>
      <w:pPr>
        <w:ind w:left="1588" w:hanging="397"/>
      </w:pPr>
      <w:rPr>
        <w:rFonts w:ascii="Arial" w:hAnsi="Arial" w:hint="default"/>
      </w:rPr>
    </w:lvl>
    <w:lvl w:ilvl="4">
      <w:start w:val="1"/>
      <w:numFmt w:val="bullet"/>
      <w:lvlText w:val="o"/>
      <w:lvlJc w:val="left"/>
      <w:pPr>
        <w:tabs>
          <w:tab w:val="num" w:pos="2155"/>
        </w:tabs>
        <w:ind w:left="1985" w:hanging="397"/>
      </w:pPr>
      <w:rPr>
        <w:rFonts w:ascii="Courier New" w:hAnsi="Courier New" w:cs="Courier New" w:hint="default"/>
      </w:rPr>
    </w:lvl>
    <w:lvl w:ilvl="5">
      <w:start w:val="1"/>
      <w:numFmt w:val="bullet"/>
      <w:lvlText w:val=""/>
      <w:lvlJc w:val="left"/>
      <w:pPr>
        <w:tabs>
          <w:tab w:val="num" w:pos="2552"/>
        </w:tabs>
        <w:ind w:left="2382" w:hanging="397"/>
      </w:pPr>
      <w:rPr>
        <w:rFonts w:ascii="Wingdings" w:hAnsi="Wingdings" w:hint="default"/>
      </w:rPr>
    </w:lvl>
    <w:lvl w:ilvl="6">
      <w:start w:val="1"/>
      <w:numFmt w:val="bullet"/>
      <w:lvlText w:val=""/>
      <w:lvlJc w:val="left"/>
      <w:pPr>
        <w:tabs>
          <w:tab w:val="num" w:pos="2949"/>
        </w:tabs>
        <w:ind w:left="2779" w:hanging="397"/>
      </w:pPr>
      <w:rPr>
        <w:rFonts w:ascii="Symbol" w:hAnsi="Symbol" w:hint="default"/>
      </w:rPr>
    </w:lvl>
    <w:lvl w:ilvl="7">
      <w:start w:val="1"/>
      <w:numFmt w:val="bullet"/>
      <w:lvlText w:val="o"/>
      <w:lvlJc w:val="left"/>
      <w:pPr>
        <w:tabs>
          <w:tab w:val="num" w:pos="3346"/>
        </w:tabs>
        <w:ind w:left="3176" w:hanging="397"/>
      </w:pPr>
      <w:rPr>
        <w:rFonts w:ascii="Courier New" w:hAnsi="Courier New" w:cs="Courier New" w:hint="default"/>
      </w:rPr>
    </w:lvl>
    <w:lvl w:ilvl="8">
      <w:start w:val="1"/>
      <w:numFmt w:val="bullet"/>
      <w:lvlText w:val=""/>
      <w:lvlJc w:val="left"/>
      <w:pPr>
        <w:tabs>
          <w:tab w:val="num" w:pos="3743"/>
        </w:tabs>
        <w:ind w:left="3573" w:hanging="397"/>
      </w:pPr>
      <w:rPr>
        <w:rFonts w:ascii="Wingdings" w:hAnsi="Wingdings" w:hint="default"/>
      </w:rPr>
    </w:lvl>
  </w:abstractNum>
  <w:abstractNum w:abstractNumId="58" w15:restartNumberingAfterBreak="0">
    <w:nsid w:val="569C6FA7"/>
    <w:multiLevelType w:val="hybridMultilevel"/>
    <w:tmpl w:val="34ACF9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57C524E4"/>
    <w:multiLevelType w:val="hybridMultilevel"/>
    <w:tmpl w:val="FFFFFFFF"/>
    <w:lvl w:ilvl="0" w:tplc="0E62008A">
      <w:start w:val="1"/>
      <w:numFmt w:val="bullet"/>
      <w:lvlText w:val=""/>
      <w:lvlJc w:val="left"/>
      <w:pPr>
        <w:ind w:left="720" w:hanging="360"/>
      </w:pPr>
      <w:rPr>
        <w:rFonts w:ascii="Symbol" w:hAnsi="Symbol" w:hint="default"/>
      </w:rPr>
    </w:lvl>
    <w:lvl w:ilvl="1" w:tplc="1F62504C">
      <w:start w:val="1"/>
      <w:numFmt w:val="bullet"/>
      <w:lvlText w:val="o"/>
      <w:lvlJc w:val="left"/>
      <w:pPr>
        <w:ind w:left="1440" w:hanging="360"/>
      </w:pPr>
      <w:rPr>
        <w:rFonts w:ascii="Courier New" w:hAnsi="Courier New" w:hint="default"/>
      </w:rPr>
    </w:lvl>
    <w:lvl w:ilvl="2" w:tplc="F37A153A">
      <w:start w:val="1"/>
      <w:numFmt w:val="bullet"/>
      <w:lvlText w:val=""/>
      <w:lvlJc w:val="left"/>
      <w:pPr>
        <w:ind w:left="2160" w:hanging="360"/>
      </w:pPr>
      <w:rPr>
        <w:rFonts w:ascii="Wingdings" w:hAnsi="Wingdings" w:hint="default"/>
      </w:rPr>
    </w:lvl>
    <w:lvl w:ilvl="3" w:tplc="C1CAFA46">
      <w:start w:val="1"/>
      <w:numFmt w:val="bullet"/>
      <w:lvlText w:val=""/>
      <w:lvlJc w:val="left"/>
      <w:pPr>
        <w:ind w:left="2880" w:hanging="360"/>
      </w:pPr>
      <w:rPr>
        <w:rFonts w:ascii="Symbol" w:hAnsi="Symbol" w:hint="default"/>
      </w:rPr>
    </w:lvl>
    <w:lvl w:ilvl="4" w:tplc="07C2FBD8">
      <w:start w:val="1"/>
      <w:numFmt w:val="bullet"/>
      <w:lvlText w:val="o"/>
      <w:lvlJc w:val="left"/>
      <w:pPr>
        <w:ind w:left="3600" w:hanging="360"/>
      </w:pPr>
      <w:rPr>
        <w:rFonts w:ascii="Courier New" w:hAnsi="Courier New" w:hint="default"/>
      </w:rPr>
    </w:lvl>
    <w:lvl w:ilvl="5" w:tplc="2A7AD4FA">
      <w:start w:val="1"/>
      <w:numFmt w:val="bullet"/>
      <w:lvlText w:val=""/>
      <w:lvlJc w:val="left"/>
      <w:pPr>
        <w:ind w:left="4320" w:hanging="360"/>
      </w:pPr>
      <w:rPr>
        <w:rFonts w:ascii="Wingdings" w:hAnsi="Wingdings" w:hint="default"/>
      </w:rPr>
    </w:lvl>
    <w:lvl w:ilvl="6" w:tplc="347E4D26">
      <w:start w:val="1"/>
      <w:numFmt w:val="bullet"/>
      <w:lvlText w:val=""/>
      <w:lvlJc w:val="left"/>
      <w:pPr>
        <w:ind w:left="5040" w:hanging="360"/>
      </w:pPr>
      <w:rPr>
        <w:rFonts w:ascii="Symbol" w:hAnsi="Symbol" w:hint="default"/>
      </w:rPr>
    </w:lvl>
    <w:lvl w:ilvl="7" w:tplc="0150BE8A">
      <w:start w:val="1"/>
      <w:numFmt w:val="bullet"/>
      <w:lvlText w:val="o"/>
      <w:lvlJc w:val="left"/>
      <w:pPr>
        <w:ind w:left="5760" w:hanging="360"/>
      </w:pPr>
      <w:rPr>
        <w:rFonts w:ascii="Courier New" w:hAnsi="Courier New" w:hint="default"/>
      </w:rPr>
    </w:lvl>
    <w:lvl w:ilvl="8" w:tplc="382E8DC0">
      <w:start w:val="1"/>
      <w:numFmt w:val="bullet"/>
      <w:lvlText w:val=""/>
      <w:lvlJc w:val="left"/>
      <w:pPr>
        <w:ind w:left="6480" w:hanging="360"/>
      </w:pPr>
      <w:rPr>
        <w:rFonts w:ascii="Wingdings" w:hAnsi="Wingdings" w:hint="default"/>
      </w:rPr>
    </w:lvl>
  </w:abstractNum>
  <w:abstractNum w:abstractNumId="6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2" w15:restartNumberingAfterBreak="0">
    <w:nsid w:val="59B82888"/>
    <w:multiLevelType w:val="multilevel"/>
    <w:tmpl w:val="5540E618"/>
    <w:numStyleLink w:val="LstBullets"/>
  </w:abstractNum>
  <w:abstractNum w:abstractNumId="6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5" w15:restartNumberingAfterBreak="0">
    <w:nsid w:val="5D8C1BF0"/>
    <w:multiLevelType w:val="hybridMultilevel"/>
    <w:tmpl w:val="5294553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E7461F8"/>
    <w:multiLevelType w:val="hybridMultilevel"/>
    <w:tmpl w:val="793A202E"/>
    <w:lvl w:ilvl="0" w:tplc="FEB4E286">
      <w:start w:val="1"/>
      <w:numFmt w:val="decimal"/>
      <w:lvlText w:val="%1)"/>
      <w:lvlJc w:val="left"/>
      <w:pPr>
        <w:ind w:left="1020" w:hanging="360"/>
      </w:pPr>
    </w:lvl>
    <w:lvl w:ilvl="1" w:tplc="D8AE0596">
      <w:start w:val="1"/>
      <w:numFmt w:val="decimal"/>
      <w:lvlText w:val="%2)"/>
      <w:lvlJc w:val="left"/>
      <w:pPr>
        <w:ind w:left="1020" w:hanging="360"/>
      </w:pPr>
    </w:lvl>
    <w:lvl w:ilvl="2" w:tplc="C974EBC2">
      <w:start w:val="1"/>
      <w:numFmt w:val="decimal"/>
      <w:lvlText w:val="%3)"/>
      <w:lvlJc w:val="left"/>
      <w:pPr>
        <w:ind w:left="1020" w:hanging="360"/>
      </w:pPr>
    </w:lvl>
    <w:lvl w:ilvl="3" w:tplc="FF282C60">
      <w:start w:val="1"/>
      <w:numFmt w:val="decimal"/>
      <w:lvlText w:val="%4)"/>
      <w:lvlJc w:val="left"/>
      <w:pPr>
        <w:ind w:left="1020" w:hanging="360"/>
      </w:pPr>
    </w:lvl>
    <w:lvl w:ilvl="4" w:tplc="C8AE4412">
      <w:start w:val="1"/>
      <w:numFmt w:val="decimal"/>
      <w:lvlText w:val="%5)"/>
      <w:lvlJc w:val="left"/>
      <w:pPr>
        <w:ind w:left="1020" w:hanging="360"/>
      </w:pPr>
    </w:lvl>
    <w:lvl w:ilvl="5" w:tplc="F21A933A">
      <w:start w:val="1"/>
      <w:numFmt w:val="decimal"/>
      <w:lvlText w:val="%6)"/>
      <w:lvlJc w:val="left"/>
      <w:pPr>
        <w:ind w:left="1020" w:hanging="360"/>
      </w:pPr>
    </w:lvl>
    <w:lvl w:ilvl="6" w:tplc="C23AD090">
      <w:start w:val="1"/>
      <w:numFmt w:val="decimal"/>
      <w:lvlText w:val="%7)"/>
      <w:lvlJc w:val="left"/>
      <w:pPr>
        <w:ind w:left="1020" w:hanging="360"/>
      </w:pPr>
    </w:lvl>
    <w:lvl w:ilvl="7" w:tplc="A308E236">
      <w:start w:val="1"/>
      <w:numFmt w:val="decimal"/>
      <w:lvlText w:val="%8)"/>
      <w:lvlJc w:val="left"/>
      <w:pPr>
        <w:ind w:left="1020" w:hanging="360"/>
      </w:pPr>
    </w:lvl>
    <w:lvl w:ilvl="8" w:tplc="C76290B6">
      <w:start w:val="1"/>
      <w:numFmt w:val="decimal"/>
      <w:lvlText w:val="%9)"/>
      <w:lvlJc w:val="left"/>
      <w:pPr>
        <w:ind w:left="1020" w:hanging="360"/>
      </w:pPr>
    </w:lvl>
  </w:abstractNum>
  <w:abstractNum w:abstractNumId="67" w15:restartNumberingAfterBreak="0">
    <w:nsid w:val="5E7D19AE"/>
    <w:multiLevelType w:val="hybridMultilevel"/>
    <w:tmpl w:val="FFFFFFFF"/>
    <w:lvl w:ilvl="0" w:tplc="6D58631E">
      <w:start w:val="1"/>
      <w:numFmt w:val="bullet"/>
      <w:lvlText w:val=""/>
      <w:lvlJc w:val="left"/>
      <w:pPr>
        <w:ind w:left="720" w:hanging="360"/>
      </w:pPr>
      <w:rPr>
        <w:rFonts w:ascii="Symbol" w:hAnsi="Symbol" w:hint="default"/>
      </w:rPr>
    </w:lvl>
    <w:lvl w:ilvl="1" w:tplc="D132E89C">
      <w:start w:val="1"/>
      <w:numFmt w:val="bullet"/>
      <w:lvlText w:val="o"/>
      <w:lvlJc w:val="left"/>
      <w:pPr>
        <w:ind w:left="1440" w:hanging="360"/>
      </w:pPr>
      <w:rPr>
        <w:rFonts w:ascii="Courier New" w:hAnsi="Courier New" w:hint="default"/>
      </w:rPr>
    </w:lvl>
    <w:lvl w:ilvl="2" w:tplc="4BA67220">
      <w:start w:val="1"/>
      <w:numFmt w:val="bullet"/>
      <w:lvlText w:val=""/>
      <w:lvlJc w:val="left"/>
      <w:pPr>
        <w:ind w:left="2160" w:hanging="360"/>
      </w:pPr>
      <w:rPr>
        <w:rFonts w:ascii="Wingdings" w:hAnsi="Wingdings" w:hint="default"/>
      </w:rPr>
    </w:lvl>
    <w:lvl w:ilvl="3" w:tplc="C1C41F20">
      <w:start w:val="1"/>
      <w:numFmt w:val="bullet"/>
      <w:lvlText w:val=""/>
      <w:lvlJc w:val="left"/>
      <w:pPr>
        <w:ind w:left="2880" w:hanging="360"/>
      </w:pPr>
      <w:rPr>
        <w:rFonts w:ascii="Symbol" w:hAnsi="Symbol" w:hint="default"/>
      </w:rPr>
    </w:lvl>
    <w:lvl w:ilvl="4" w:tplc="8A08D132">
      <w:start w:val="1"/>
      <w:numFmt w:val="bullet"/>
      <w:lvlText w:val="o"/>
      <w:lvlJc w:val="left"/>
      <w:pPr>
        <w:ind w:left="3600" w:hanging="360"/>
      </w:pPr>
      <w:rPr>
        <w:rFonts w:ascii="Courier New" w:hAnsi="Courier New" w:hint="default"/>
      </w:rPr>
    </w:lvl>
    <w:lvl w:ilvl="5" w:tplc="1C5A0550">
      <w:start w:val="1"/>
      <w:numFmt w:val="bullet"/>
      <w:lvlText w:val=""/>
      <w:lvlJc w:val="left"/>
      <w:pPr>
        <w:ind w:left="4320" w:hanging="360"/>
      </w:pPr>
      <w:rPr>
        <w:rFonts w:ascii="Wingdings" w:hAnsi="Wingdings" w:hint="default"/>
      </w:rPr>
    </w:lvl>
    <w:lvl w:ilvl="6" w:tplc="1C58C4DA">
      <w:start w:val="1"/>
      <w:numFmt w:val="bullet"/>
      <w:lvlText w:val=""/>
      <w:lvlJc w:val="left"/>
      <w:pPr>
        <w:ind w:left="5040" w:hanging="360"/>
      </w:pPr>
      <w:rPr>
        <w:rFonts w:ascii="Symbol" w:hAnsi="Symbol" w:hint="default"/>
      </w:rPr>
    </w:lvl>
    <w:lvl w:ilvl="7" w:tplc="5992A1A2">
      <w:start w:val="1"/>
      <w:numFmt w:val="bullet"/>
      <w:lvlText w:val="o"/>
      <w:lvlJc w:val="left"/>
      <w:pPr>
        <w:ind w:left="5760" w:hanging="360"/>
      </w:pPr>
      <w:rPr>
        <w:rFonts w:ascii="Courier New" w:hAnsi="Courier New" w:hint="default"/>
      </w:rPr>
    </w:lvl>
    <w:lvl w:ilvl="8" w:tplc="2E9C92D6">
      <w:start w:val="1"/>
      <w:numFmt w:val="bullet"/>
      <w:lvlText w:val=""/>
      <w:lvlJc w:val="left"/>
      <w:pPr>
        <w:ind w:left="6480" w:hanging="360"/>
      </w:pPr>
      <w:rPr>
        <w:rFonts w:ascii="Wingdings" w:hAnsi="Wingdings" w:hint="default"/>
      </w:rPr>
    </w:lvl>
  </w:abstractNum>
  <w:abstractNum w:abstractNumId="68" w15:restartNumberingAfterBreak="0">
    <w:nsid w:val="5F5620D1"/>
    <w:multiLevelType w:val="hybridMultilevel"/>
    <w:tmpl w:val="8E0E2B34"/>
    <w:lvl w:ilvl="0" w:tplc="5C3602B8">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61387C37"/>
    <w:multiLevelType w:val="multilevel"/>
    <w:tmpl w:val="ECEE2290"/>
    <w:styleLink w:val="LstStandardNumbering"/>
    <w:lvl w:ilvl="0">
      <w:start w:val="1"/>
      <w:numFmt w:val="decimal"/>
      <w:pStyle w:val="List"/>
      <w:lvlText w:val="%1."/>
      <w:lvlJc w:val="left"/>
      <w:pPr>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Arial" w:hAnsi="Aria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70" w15:restartNumberingAfterBreak="0">
    <w:nsid w:val="621639E3"/>
    <w:multiLevelType w:val="hybridMultilevel"/>
    <w:tmpl w:val="2E00439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2E3A33"/>
    <w:multiLevelType w:val="hybridMultilevel"/>
    <w:tmpl w:val="FFFFFFFF"/>
    <w:lvl w:ilvl="0" w:tplc="640A3CD0">
      <w:start w:val="1"/>
      <w:numFmt w:val="bullet"/>
      <w:lvlText w:val=""/>
      <w:lvlJc w:val="left"/>
      <w:pPr>
        <w:ind w:left="720" w:hanging="360"/>
      </w:pPr>
      <w:rPr>
        <w:rFonts w:ascii="Symbol" w:hAnsi="Symbol" w:hint="default"/>
      </w:rPr>
    </w:lvl>
    <w:lvl w:ilvl="1" w:tplc="8BCA2F44">
      <w:start w:val="1"/>
      <w:numFmt w:val="bullet"/>
      <w:lvlText w:val="o"/>
      <w:lvlJc w:val="left"/>
      <w:pPr>
        <w:ind w:left="1440" w:hanging="360"/>
      </w:pPr>
      <w:rPr>
        <w:rFonts w:ascii="Courier New" w:hAnsi="Courier New" w:hint="default"/>
      </w:rPr>
    </w:lvl>
    <w:lvl w:ilvl="2" w:tplc="C73275FA">
      <w:start w:val="1"/>
      <w:numFmt w:val="bullet"/>
      <w:lvlText w:val=""/>
      <w:lvlJc w:val="left"/>
      <w:pPr>
        <w:ind w:left="2160" w:hanging="360"/>
      </w:pPr>
      <w:rPr>
        <w:rFonts w:ascii="Wingdings" w:hAnsi="Wingdings" w:hint="default"/>
      </w:rPr>
    </w:lvl>
    <w:lvl w:ilvl="3" w:tplc="961401B0">
      <w:start w:val="1"/>
      <w:numFmt w:val="bullet"/>
      <w:lvlText w:val=""/>
      <w:lvlJc w:val="left"/>
      <w:pPr>
        <w:ind w:left="2880" w:hanging="360"/>
      </w:pPr>
      <w:rPr>
        <w:rFonts w:ascii="Symbol" w:hAnsi="Symbol" w:hint="default"/>
      </w:rPr>
    </w:lvl>
    <w:lvl w:ilvl="4" w:tplc="2D125150">
      <w:start w:val="1"/>
      <w:numFmt w:val="bullet"/>
      <w:lvlText w:val="o"/>
      <w:lvlJc w:val="left"/>
      <w:pPr>
        <w:ind w:left="3600" w:hanging="360"/>
      </w:pPr>
      <w:rPr>
        <w:rFonts w:ascii="Courier New" w:hAnsi="Courier New" w:hint="default"/>
      </w:rPr>
    </w:lvl>
    <w:lvl w:ilvl="5" w:tplc="FB9C12CC">
      <w:start w:val="1"/>
      <w:numFmt w:val="bullet"/>
      <w:lvlText w:val=""/>
      <w:lvlJc w:val="left"/>
      <w:pPr>
        <w:ind w:left="4320" w:hanging="360"/>
      </w:pPr>
      <w:rPr>
        <w:rFonts w:ascii="Wingdings" w:hAnsi="Wingdings" w:hint="default"/>
      </w:rPr>
    </w:lvl>
    <w:lvl w:ilvl="6" w:tplc="8F0086BA">
      <w:start w:val="1"/>
      <w:numFmt w:val="bullet"/>
      <w:lvlText w:val=""/>
      <w:lvlJc w:val="left"/>
      <w:pPr>
        <w:ind w:left="5040" w:hanging="360"/>
      </w:pPr>
      <w:rPr>
        <w:rFonts w:ascii="Symbol" w:hAnsi="Symbol" w:hint="default"/>
      </w:rPr>
    </w:lvl>
    <w:lvl w:ilvl="7" w:tplc="000E8CAE">
      <w:start w:val="1"/>
      <w:numFmt w:val="bullet"/>
      <w:lvlText w:val="o"/>
      <w:lvlJc w:val="left"/>
      <w:pPr>
        <w:ind w:left="5760" w:hanging="360"/>
      </w:pPr>
      <w:rPr>
        <w:rFonts w:ascii="Courier New" w:hAnsi="Courier New" w:hint="default"/>
      </w:rPr>
    </w:lvl>
    <w:lvl w:ilvl="8" w:tplc="72EC5892">
      <w:start w:val="1"/>
      <w:numFmt w:val="bullet"/>
      <w:lvlText w:val=""/>
      <w:lvlJc w:val="left"/>
      <w:pPr>
        <w:ind w:left="6480" w:hanging="360"/>
      </w:pPr>
      <w:rPr>
        <w:rFonts w:ascii="Wingdings" w:hAnsi="Wingdings" w:hint="default"/>
      </w:rPr>
    </w:lvl>
  </w:abstractNum>
  <w:abstractNum w:abstractNumId="7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1032" w:themeColor="text2"/>
      </w:rPr>
    </w:lvl>
    <w:lvl w:ilvl="1">
      <w:start w:val="1"/>
      <w:numFmt w:val="bullet"/>
      <w:lvlText w:val="–"/>
      <w:lvlJc w:val="left"/>
      <w:pPr>
        <w:ind w:left="539" w:hanging="227"/>
      </w:pPr>
      <w:rPr>
        <w:rFonts w:ascii="Arial" w:hAnsi="Arial" w:hint="default"/>
        <w:color w:val="001032"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73" w15:restartNumberingAfterBreak="0">
    <w:nsid w:val="64376062"/>
    <w:multiLevelType w:val="hybridMultilevel"/>
    <w:tmpl w:val="CDD60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445866A"/>
    <w:multiLevelType w:val="hybridMultilevel"/>
    <w:tmpl w:val="FFFFFFFF"/>
    <w:lvl w:ilvl="0" w:tplc="1B923488">
      <w:start w:val="1"/>
      <w:numFmt w:val="bullet"/>
      <w:lvlText w:val=""/>
      <w:lvlJc w:val="left"/>
      <w:pPr>
        <w:ind w:left="720" w:hanging="360"/>
      </w:pPr>
      <w:rPr>
        <w:rFonts w:ascii="Symbol" w:hAnsi="Symbol" w:hint="default"/>
      </w:rPr>
    </w:lvl>
    <w:lvl w:ilvl="1" w:tplc="9746E302">
      <w:start w:val="1"/>
      <w:numFmt w:val="bullet"/>
      <w:lvlText w:val="o"/>
      <w:lvlJc w:val="left"/>
      <w:pPr>
        <w:ind w:left="1440" w:hanging="360"/>
      </w:pPr>
      <w:rPr>
        <w:rFonts w:ascii="Courier New" w:hAnsi="Courier New" w:hint="default"/>
      </w:rPr>
    </w:lvl>
    <w:lvl w:ilvl="2" w:tplc="3EE2B6BE">
      <w:start w:val="1"/>
      <w:numFmt w:val="bullet"/>
      <w:lvlText w:val=""/>
      <w:lvlJc w:val="left"/>
      <w:pPr>
        <w:ind w:left="2160" w:hanging="360"/>
      </w:pPr>
      <w:rPr>
        <w:rFonts w:ascii="Wingdings" w:hAnsi="Wingdings" w:hint="default"/>
      </w:rPr>
    </w:lvl>
    <w:lvl w:ilvl="3" w:tplc="1BAABB16">
      <w:start w:val="1"/>
      <w:numFmt w:val="bullet"/>
      <w:lvlText w:val=""/>
      <w:lvlJc w:val="left"/>
      <w:pPr>
        <w:ind w:left="2880" w:hanging="360"/>
      </w:pPr>
      <w:rPr>
        <w:rFonts w:ascii="Symbol" w:hAnsi="Symbol" w:hint="default"/>
      </w:rPr>
    </w:lvl>
    <w:lvl w:ilvl="4" w:tplc="E07C8412">
      <w:start w:val="1"/>
      <w:numFmt w:val="bullet"/>
      <w:lvlText w:val="o"/>
      <w:lvlJc w:val="left"/>
      <w:pPr>
        <w:ind w:left="3600" w:hanging="360"/>
      </w:pPr>
      <w:rPr>
        <w:rFonts w:ascii="Courier New" w:hAnsi="Courier New" w:hint="default"/>
      </w:rPr>
    </w:lvl>
    <w:lvl w:ilvl="5" w:tplc="15E42BDC">
      <w:start w:val="1"/>
      <w:numFmt w:val="bullet"/>
      <w:lvlText w:val=""/>
      <w:lvlJc w:val="left"/>
      <w:pPr>
        <w:ind w:left="4320" w:hanging="360"/>
      </w:pPr>
      <w:rPr>
        <w:rFonts w:ascii="Wingdings" w:hAnsi="Wingdings" w:hint="default"/>
      </w:rPr>
    </w:lvl>
    <w:lvl w:ilvl="6" w:tplc="F932B570">
      <w:start w:val="1"/>
      <w:numFmt w:val="bullet"/>
      <w:lvlText w:val=""/>
      <w:lvlJc w:val="left"/>
      <w:pPr>
        <w:ind w:left="5040" w:hanging="360"/>
      </w:pPr>
      <w:rPr>
        <w:rFonts w:ascii="Symbol" w:hAnsi="Symbol" w:hint="default"/>
      </w:rPr>
    </w:lvl>
    <w:lvl w:ilvl="7" w:tplc="2DA6A5C2">
      <w:start w:val="1"/>
      <w:numFmt w:val="bullet"/>
      <w:lvlText w:val="o"/>
      <w:lvlJc w:val="left"/>
      <w:pPr>
        <w:ind w:left="5760" w:hanging="360"/>
      </w:pPr>
      <w:rPr>
        <w:rFonts w:ascii="Courier New" w:hAnsi="Courier New" w:hint="default"/>
      </w:rPr>
    </w:lvl>
    <w:lvl w:ilvl="8" w:tplc="81FE8BA8">
      <w:start w:val="1"/>
      <w:numFmt w:val="bullet"/>
      <w:lvlText w:val=""/>
      <w:lvlJc w:val="left"/>
      <w:pPr>
        <w:ind w:left="6480" w:hanging="360"/>
      </w:pPr>
      <w:rPr>
        <w:rFonts w:ascii="Wingdings" w:hAnsi="Wingdings" w:hint="default"/>
      </w:rPr>
    </w:lvl>
  </w:abstractNum>
  <w:abstractNum w:abstractNumId="7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1032" w:themeColor="text2"/>
        <w:sz w:val="32"/>
      </w:rPr>
    </w:lvl>
    <w:lvl w:ilvl="1">
      <w:start w:val="1"/>
      <w:numFmt w:val="decimal"/>
      <w:lvlText w:val="%2."/>
      <w:lvlJc w:val="left"/>
      <w:pPr>
        <w:tabs>
          <w:tab w:val="num" w:pos="992"/>
        </w:tabs>
        <w:ind w:left="992" w:hanging="992"/>
      </w:pPr>
      <w:rPr>
        <w:rFonts w:hint="default"/>
        <w:b w:val="0"/>
        <w:i w:val="0"/>
        <w:color w:val="001032"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76" w15:restartNumberingAfterBreak="0">
    <w:nsid w:val="66C78C9C"/>
    <w:multiLevelType w:val="hybridMultilevel"/>
    <w:tmpl w:val="FFFFFFFF"/>
    <w:lvl w:ilvl="0" w:tplc="DE8E94D2">
      <w:start w:val="1"/>
      <w:numFmt w:val="decimal"/>
      <w:lvlText w:val="%1)"/>
      <w:lvlJc w:val="left"/>
      <w:pPr>
        <w:ind w:left="720" w:hanging="360"/>
      </w:pPr>
    </w:lvl>
    <w:lvl w:ilvl="1" w:tplc="A28E9C12">
      <w:start w:val="1"/>
      <w:numFmt w:val="lowerLetter"/>
      <w:lvlText w:val="%2."/>
      <w:lvlJc w:val="left"/>
      <w:pPr>
        <w:ind w:left="1440" w:hanging="360"/>
      </w:pPr>
    </w:lvl>
    <w:lvl w:ilvl="2" w:tplc="F9640DCC">
      <w:start w:val="1"/>
      <w:numFmt w:val="lowerRoman"/>
      <w:lvlText w:val="%3."/>
      <w:lvlJc w:val="right"/>
      <w:pPr>
        <w:ind w:left="2160" w:hanging="180"/>
      </w:pPr>
    </w:lvl>
    <w:lvl w:ilvl="3" w:tplc="B11C10D8">
      <w:start w:val="1"/>
      <w:numFmt w:val="decimal"/>
      <w:lvlText w:val="%4."/>
      <w:lvlJc w:val="left"/>
      <w:pPr>
        <w:ind w:left="2880" w:hanging="360"/>
      </w:pPr>
    </w:lvl>
    <w:lvl w:ilvl="4" w:tplc="AF68DE78">
      <w:start w:val="1"/>
      <w:numFmt w:val="lowerLetter"/>
      <w:lvlText w:val="%5."/>
      <w:lvlJc w:val="left"/>
      <w:pPr>
        <w:ind w:left="3600" w:hanging="360"/>
      </w:pPr>
    </w:lvl>
    <w:lvl w:ilvl="5" w:tplc="58DAF45C">
      <w:start w:val="1"/>
      <w:numFmt w:val="lowerRoman"/>
      <w:lvlText w:val="%6."/>
      <w:lvlJc w:val="right"/>
      <w:pPr>
        <w:ind w:left="4320" w:hanging="180"/>
      </w:pPr>
    </w:lvl>
    <w:lvl w:ilvl="6" w:tplc="316C84A6">
      <w:start w:val="1"/>
      <w:numFmt w:val="decimal"/>
      <w:lvlText w:val="%7."/>
      <w:lvlJc w:val="left"/>
      <w:pPr>
        <w:ind w:left="5040" w:hanging="360"/>
      </w:pPr>
    </w:lvl>
    <w:lvl w:ilvl="7" w:tplc="3B08F92A">
      <w:start w:val="1"/>
      <w:numFmt w:val="lowerLetter"/>
      <w:lvlText w:val="%8."/>
      <w:lvlJc w:val="left"/>
      <w:pPr>
        <w:ind w:left="5760" w:hanging="360"/>
      </w:pPr>
    </w:lvl>
    <w:lvl w:ilvl="8" w:tplc="87E4B5F2">
      <w:start w:val="1"/>
      <w:numFmt w:val="lowerRoman"/>
      <w:lvlText w:val="%9."/>
      <w:lvlJc w:val="right"/>
      <w:pPr>
        <w:ind w:left="6480" w:hanging="180"/>
      </w:pPr>
    </w:lvl>
  </w:abstractNum>
  <w:abstractNum w:abstractNumId="77" w15:restartNumberingAfterBreak="0">
    <w:nsid w:val="691FD26E"/>
    <w:multiLevelType w:val="hybridMultilevel"/>
    <w:tmpl w:val="FFFFFFFF"/>
    <w:lvl w:ilvl="0" w:tplc="3476FE8C">
      <w:start w:val="1"/>
      <w:numFmt w:val="bullet"/>
      <w:lvlText w:val=""/>
      <w:lvlJc w:val="left"/>
      <w:pPr>
        <w:ind w:left="720" w:hanging="360"/>
      </w:pPr>
      <w:rPr>
        <w:rFonts w:ascii="Symbol" w:hAnsi="Symbol" w:hint="default"/>
      </w:rPr>
    </w:lvl>
    <w:lvl w:ilvl="1" w:tplc="DFA8C68A">
      <w:start w:val="1"/>
      <w:numFmt w:val="bullet"/>
      <w:lvlText w:val="o"/>
      <w:lvlJc w:val="left"/>
      <w:pPr>
        <w:ind w:left="1440" w:hanging="360"/>
      </w:pPr>
      <w:rPr>
        <w:rFonts w:ascii="Courier New" w:hAnsi="Courier New" w:hint="default"/>
      </w:rPr>
    </w:lvl>
    <w:lvl w:ilvl="2" w:tplc="3C307C38">
      <w:start w:val="1"/>
      <w:numFmt w:val="bullet"/>
      <w:lvlText w:val=""/>
      <w:lvlJc w:val="left"/>
      <w:pPr>
        <w:ind w:left="2160" w:hanging="360"/>
      </w:pPr>
      <w:rPr>
        <w:rFonts w:ascii="Wingdings" w:hAnsi="Wingdings" w:hint="default"/>
      </w:rPr>
    </w:lvl>
    <w:lvl w:ilvl="3" w:tplc="F5684208">
      <w:start w:val="1"/>
      <w:numFmt w:val="bullet"/>
      <w:lvlText w:val=""/>
      <w:lvlJc w:val="left"/>
      <w:pPr>
        <w:ind w:left="2880" w:hanging="360"/>
      </w:pPr>
      <w:rPr>
        <w:rFonts w:ascii="Symbol" w:hAnsi="Symbol" w:hint="default"/>
      </w:rPr>
    </w:lvl>
    <w:lvl w:ilvl="4" w:tplc="B6D8F01A">
      <w:start w:val="1"/>
      <w:numFmt w:val="bullet"/>
      <w:lvlText w:val="o"/>
      <w:lvlJc w:val="left"/>
      <w:pPr>
        <w:ind w:left="3600" w:hanging="360"/>
      </w:pPr>
      <w:rPr>
        <w:rFonts w:ascii="Courier New" w:hAnsi="Courier New" w:hint="default"/>
      </w:rPr>
    </w:lvl>
    <w:lvl w:ilvl="5" w:tplc="9DDA32F6">
      <w:start w:val="1"/>
      <w:numFmt w:val="bullet"/>
      <w:lvlText w:val=""/>
      <w:lvlJc w:val="left"/>
      <w:pPr>
        <w:ind w:left="4320" w:hanging="360"/>
      </w:pPr>
      <w:rPr>
        <w:rFonts w:ascii="Wingdings" w:hAnsi="Wingdings" w:hint="default"/>
      </w:rPr>
    </w:lvl>
    <w:lvl w:ilvl="6" w:tplc="800A9FD0">
      <w:start w:val="1"/>
      <w:numFmt w:val="bullet"/>
      <w:lvlText w:val=""/>
      <w:lvlJc w:val="left"/>
      <w:pPr>
        <w:ind w:left="5040" w:hanging="360"/>
      </w:pPr>
      <w:rPr>
        <w:rFonts w:ascii="Symbol" w:hAnsi="Symbol" w:hint="default"/>
      </w:rPr>
    </w:lvl>
    <w:lvl w:ilvl="7" w:tplc="8FB6C6B2">
      <w:start w:val="1"/>
      <w:numFmt w:val="bullet"/>
      <w:lvlText w:val="o"/>
      <w:lvlJc w:val="left"/>
      <w:pPr>
        <w:ind w:left="5760" w:hanging="360"/>
      </w:pPr>
      <w:rPr>
        <w:rFonts w:ascii="Courier New" w:hAnsi="Courier New" w:hint="default"/>
      </w:rPr>
    </w:lvl>
    <w:lvl w:ilvl="8" w:tplc="2B7478B2">
      <w:start w:val="1"/>
      <w:numFmt w:val="bullet"/>
      <w:lvlText w:val=""/>
      <w:lvlJc w:val="left"/>
      <w:pPr>
        <w:ind w:left="6480" w:hanging="360"/>
      </w:pPr>
      <w:rPr>
        <w:rFonts w:ascii="Wingdings" w:hAnsi="Wingdings" w:hint="default"/>
      </w:rPr>
    </w:lvl>
  </w:abstractNum>
  <w:abstractNum w:abstractNumId="78" w15:restartNumberingAfterBreak="0">
    <w:nsid w:val="695648BB"/>
    <w:multiLevelType w:val="multilevel"/>
    <w:tmpl w:val="E3DC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A023773"/>
    <w:multiLevelType w:val="hybridMultilevel"/>
    <w:tmpl w:val="FFFFFFFF"/>
    <w:lvl w:ilvl="0" w:tplc="C27CB9A4">
      <w:start w:val="1"/>
      <w:numFmt w:val="bullet"/>
      <w:lvlText w:val=""/>
      <w:lvlJc w:val="left"/>
      <w:pPr>
        <w:ind w:left="720" w:hanging="360"/>
      </w:pPr>
      <w:rPr>
        <w:rFonts w:ascii="Symbol" w:hAnsi="Symbol" w:hint="default"/>
      </w:rPr>
    </w:lvl>
    <w:lvl w:ilvl="1" w:tplc="5CB2A96A">
      <w:start w:val="1"/>
      <w:numFmt w:val="bullet"/>
      <w:lvlText w:val="o"/>
      <w:lvlJc w:val="left"/>
      <w:pPr>
        <w:ind w:left="1440" w:hanging="360"/>
      </w:pPr>
      <w:rPr>
        <w:rFonts w:ascii="Courier New" w:hAnsi="Courier New" w:hint="default"/>
      </w:rPr>
    </w:lvl>
    <w:lvl w:ilvl="2" w:tplc="F61EA6EC">
      <w:start w:val="1"/>
      <w:numFmt w:val="bullet"/>
      <w:lvlText w:val=""/>
      <w:lvlJc w:val="left"/>
      <w:pPr>
        <w:ind w:left="2160" w:hanging="360"/>
      </w:pPr>
      <w:rPr>
        <w:rFonts w:ascii="Wingdings" w:hAnsi="Wingdings" w:hint="default"/>
      </w:rPr>
    </w:lvl>
    <w:lvl w:ilvl="3" w:tplc="3C8C4F98">
      <w:start w:val="1"/>
      <w:numFmt w:val="bullet"/>
      <w:lvlText w:val=""/>
      <w:lvlJc w:val="left"/>
      <w:pPr>
        <w:ind w:left="2880" w:hanging="360"/>
      </w:pPr>
      <w:rPr>
        <w:rFonts w:ascii="Symbol" w:hAnsi="Symbol" w:hint="default"/>
      </w:rPr>
    </w:lvl>
    <w:lvl w:ilvl="4" w:tplc="0E18F9FA">
      <w:start w:val="1"/>
      <w:numFmt w:val="bullet"/>
      <w:lvlText w:val="o"/>
      <w:lvlJc w:val="left"/>
      <w:pPr>
        <w:ind w:left="3600" w:hanging="360"/>
      </w:pPr>
      <w:rPr>
        <w:rFonts w:ascii="Courier New" w:hAnsi="Courier New" w:hint="default"/>
      </w:rPr>
    </w:lvl>
    <w:lvl w:ilvl="5" w:tplc="A9547A3A">
      <w:start w:val="1"/>
      <w:numFmt w:val="bullet"/>
      <w:lvlText w:val=""/>
      <w:lvlJc w:val="left"/>
      <w:pPr>
        <w:ind w:left="4320" w:hanging="360"/>
      </w:pPr>
      <w:rPr>
        <w:rFonts w:ascii="Wingdings" w:hAnsi="Wingdings" w:hint="default"/>
      </w:rPr>
    </w:lvl>
    <w:lvl w:ilvl="6" w:tplc="61BE4FD4">
      <w:start w:val="1"/>
      <w:numFmt w:val="bullet"/>
      <w:lvlText w:val=""/>
      <w:lvlJc w:val="left"/>
      <w:pPr>
        <w:ind w:left="5040" w:hanging="360"/>
      </w:pPr>
      <w:rPr>
        <w:rFonts w:ascii="Symbol" w:hAnsi="Symbol" w:hint="default"/>
      </w:rPr>
    </w:lvl>
    <w:lvl w:ilvl="7" w:tplc="F3409358">
      <w:start w:val="1"/>
      <w:numFmt w:val="bullet"/>
      <w:lvlText w:val="o"/>
      <w:lvlJc w:val="left"/>
      <w:pPr>
        <w:ind w:left="5760" w:hanging="360"/>
      </w:pPr>
      <w:rPr>
        <w:rFonts w:ascii="Courier New" w:hAnsi="Courier New" w:hint="default"/>
      </w:rPr>
    </w:lvl>
    <w:lvl w:ilvl="8" w:tplc="0A54A2E0">
      <w:start w:val="1"/>
      <w:numFmt w:val="bullet"/>
      <w:lvlText w:val=""/>
      <w:lvlJc w:val="left"/>
      <w:pPr>
        <w:ind w:left="6480" w:hanging="360"/>
      </w:pPr>
      <w:rPr>
        <w:rFonts w:ascii="Wingdings" w:hAnsi="Wingdings" w:hint="default"/>
      </w:rPr>
    </w:lvl>
  </w:abstractNum>
  <w:abstractNum w:abstractNumId="80" w15:restartNumberingAfterBreak="0">
    <w:nsid w:val="6E114817"/>
    <w:multiLevelType w:val="hybridMultilevel"/>
    <w:tmpl w:val="AC32B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00A0652"/>
    <w:multiLevelType w:val="hybridMultilevel"/>
    <w:tmpl w:val="36E8F3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70A24B33"/>
    <w:multiLevelType w:val="hybridMultilevel"/>
    <w:tmpl w:val="8668C7F0"/>
    <w:lvl w:ilvl="0" w:tplc="0090049E">
      <w:start w:val="4"/>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725A2EE5"/>
    <w:multiLevelType w:val="hybridMultilevel"/>
    <w:tmpl w:val="07884BF4"/>
    <w:lvl w:ilvl="0" w:tplc="230AA068">
      <w:start w:val="1"/>
      <w:numFmt w:val="decimal"/>
      <w:pStyle w:val="Heading1"/>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7406576E"/>
    <w:multiLevelType w:val="hybridMultilevel"/>
    <w:tmpl w:val="FFFFFFFF"/>
    <w:lvl w:ilvl="0" w:tplc="4A46C564">
      <w:start w:val="1"/>
      <w:numFmt w:val="bullet"/>
      <w:lvlText w:val=""/>
      <w:lvlJc w:val="left"/>
      <w:pPr>
        <w:ind w:left="720" w:hanging="360"/>
      </w:pPr>
      <w:rPr>
        <w:rFonts w:ascii="Symbol" w:hAnsi="Symbol" w:hint="default"/>
      </w:rPr>
    </w:lvl>
    <w:lvl w:ilvl="1" w:tplc="234474D8">
      <w:start w:val="1"/>
      <w:numFmt w:val="bullet"/>
      <w:lvlText w:val="o"/>
      <w:lvlJc w:val="left"/>
      <w:pPr>
        <w:ind w:left="1440" w:hanging="360"/>
      </w:pPr>
      <w:rPr>
        <w:rFonts w:ascii="Courier New" w:hAnsi="Courier New" w:hint="default"/>
      </w:rPr>
    </w:lvl>
    <w:lvl w:ilvl="2" w:tplc="0E842684">
      <w:start w:val="1"/>
      <w:numFmt w:val="bullet"/>
      <w:lvlText w:val=""/>
      <w:lvlJc w:val="left"/>
      <w:pPr>
        <w:ind w:left="2160" w:hanging="360"/>
      </w:pPr>
      <w:rPr>
        <w:rFonts w:ascii="Wingdings" w:hAnsi="Wingdings" w:hint="default"/>
      </w:rPr>
    </w:lvl>
    <w:lvl w:ilvl="3" w:tplc="F42CFCD0">
      <w:start w:val="1"/>
      <w:numFmt w:val="bullet"/>
      <w:lvlText w:val=""/>
      <w:lvlJc w:val="left"/>
      <w:pPr>
        <w:ind w:left="2880" w:hanging="360"/>
      </w:pPr>
      <w:rPr>
        <w:rFonts w:ascii="Symbol" w:hAnsi="Symbol" w:hint="default"/>
      </w:rPr>
    </w:lvl>
    <w:lvl w:ilvl="4" w:tplc="4E08D7A4">
      <w:start w:val="1"/>
      <w:numFmt w:val="bullet"/>
      <w:lvlText w:val="o"/>
      <w:lvlJc w:val="left"/>
      <w:pPr>
        <w:ind w:left="3600" w:hanging="360"/>
      </w:pPr>
      <w:rPr>
        <w:rFonts w:ascii="Courier New" w:hAnsi="Courier New" w:hint="default"/>
      </w:rPr>
    </w:lvl>
    <w:lvl w:ilvl="5" w:tplc="50986364">
      <w:start w:val="1"/>
      <w:numFmt w:val="bullet"/>
      <w:lvlText w:val=""/>
      <w:lvlJc w:val="left"/>
      <w:pPr>
        <w:ind w:left="4320" w:hanging="360"/>
      </w:pPr>
      <w:rPr>
        <w:rFonts w:ascii="Wingdings" w:hAnsi="Wingdings" w:hint="default"/>
      </w:rPr>
    </w:lvl>
    <w:lvl w:ilvl="6" w:tplc="80082C14">
      <w:start w:val="1"/>
      <w:numFmt w:val="bullet"/>
      <w:lvlText w:val=""/>
      <w:lvlJc w:val="left"/>
      <w:pPr>
        <w:ind w:left="5040" w:hanging="360"/>
      </w:pPr>
      <w:rPr>
        <w:rFonts w:ascii="Symbol" w:hAnsi="Symbol" w:hint="default"/>
      </w:rPr>
    </w:lvl>
    <w:lvl w:ilvl="7" w:tplc="5D2AA702">
      <w:start w:val="1"/>
      <w:numFmt w:val="bullet"/>
      <w:lvlText w:val="o"/>
      <w:lvlJc w:val="left"/>
      <w:pPr>
        <w:ind w:left="5760" w:hanging="360"/>
      </w:pPr>
      <w:rPr>
        <w:rFonts w:ascii="Courier New" w:hAnsi="Courier New" w:hint="default"/>
      </w:rPr>
    </w:lvl>
    <w:lvl w:ilvl="8" w:tplc="9EE4394E">
      <w:start w:val="1"/>
      <w:numFmt w:val="bullet"/>
      <w:lvlText w:val=""/>
      <w:lvlJc w:val="left"/>
      <w:pPr>
        <w:ind w:left="6480" w:hanging="360"/>
      </w:pPr>
      <w:rPr>
        <w:rFonts w:ascii="Wingdings" w:hAnsi="Wingdings" w:hint="default"/>
      </w:rPr>
    </w:lvl>
  </w:abstractNum>
  <w:abstractNum w:abstractNumId="8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8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1032"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1032" w:themeColor="text2"/>
        <w:position w:val="2"/>
        <w:sz w:val="20"/>
      </w:rPr>
    </w:lvl>
    <w:lvl w:ilvl="2">
      <w:start w:val="1"/>
      <w:numFmt w:val="bullet"/>
      <w:lvlText w:val="–"/>
      <w:lvlJc w:val="left"/>
      <w:pPr>
        <w:tabs>
          <w:tab w:val="num" w:pos="1361"/>
        </w:tabs>
        <w:ind w:left="1361" w:hanging="340"/>
      </w:pPr>
      <w:rPr>
        <w:rFonts w:ascii="Arial" w:hAnsi="Arial" w:hint="default"/>
        <w:color w:val="001032"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7" w15:restartNumberingAfterBreak="0">
    <w:nsid w:val="76EF7FAC"/>
    <w:multiLevelType w:val="hybridMultilevel"/>
    <w:tmpl w:val="86EEBE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8" w15:restartNumberingAfterBreak="0">
    <w:nsid w:val="77E02AE3"/>
    <w:multiLevelType w:val="hybridMultilevel"/>
    <w:tmpl w:val="FFFFFFFF"/>
    <w:lvl w:ilvl="0" w:tplc="2DDA7630">
      <w:start w:val="1"/>
      <w:numFmt w:val="bullet"/>
      <w:lvlText w:val=""/>
      <w:lvlJc w:val="left"/>
      <w:pPr>
        <w:ind w:left="720" w:hanging="360"/>
      </w:pPr>
      <w:rPr>
        <w:rFonts w:ascii="Symbol" w:hAnsi="Symbol" w:hint="default"/>
      </w:rPr>
    </w:lvl>
    <w:lvl w:ilvl="1" w:tplc="88DE255A">
      <w:start w:val="1"/>
      <w:numFmt w:val="bullet"/>
      <w:lvlText w:val="o"/>
      <w:lvlJc w:val="left"/>
      <w:pPr>
        <w:ind w:left="1440" w:hanging="360"/>
      </w:pPr>
      <w:rPr>
        <w:rFonts w:ascii="Courier New" w:hAnsi="Courier New" w:hint="default"/>
      </w:rPr>
    </w:lvl>
    <w:lvl w:ilvl="2" w:tplc="3F90F0C6">
      <w:start w:val="1"/>
      <w:numFmt w:val="bullet"/>
      <w:lvlText w:val=""/>
      <w:lvlJc w:val="left"/>
      <w:pPr>
        <w:ind w:left="2160" w:hanging="360"/>
      </w:pPr>
      <w:rPr>
        <w:rFonts w:ascii="Wingdings" w:hAnsi="Wingdings" w:hint="default"/>
      </w:rPr>
    </w:lvl>
    <w:lvl w:ilvl="3" w:tplc="87CC2DE4">
      <w:start w:val="1"/>
      <w:numFmt w:val="bullet"/>
      <w:lvlText w:val=""/>
      <w:lvlJc w:val="left"/>
      <w:pPr>
        <w:ind w:left="2880" w:hanging="360"/>
      </w:pPr>
      <w:rPr>
        <w:rFonts w:ascii="Symbol" w:hAnsi="Symbol" w:hint="default"/>
      </w:rPr>
    </w:lvl>
    <w:lvl w:ilvl="4" w:tplc="D08625BA">
      <w:start w:val="1"/>
      <w:numFmt w:val="bullet"/>
      <w:lvlText w:val="o"/>
      <w:lvlJc w:val="left"/>
      <w:pPr>
        <w:ind w:left="3600" w:hanging="360"/>
      </w:pPr>
      <w:rPr>
        <w:rFonts w:ascii="Courier New" w:hAnsi="Courier New" w:hint="default"/>
      </w:rPr>
    </w:lvl>
    <w:lvl w:ilvl="5" w:tplc="AAFC3450">
      <w:start w:val="1"/>
      <w:numFmt w:val="bullet"/>
      <w:lvlText w:val=""/>
      <w:lvlJc w:val="left"/>
      <w:pPr>
        <w:ind w:left="4320" w:hanging="360"/>
      </w:pPr>
      <w:rPr>
        <w:rFonts w:ascii="Wingdings" w:hAnsi="Wingdings" w:hint="default"/>
      </w:rPr>
    </w:lvl>
    <w:lvl w:ilvl="6" w:tplc="31CCE326">
      <w:start w:val="1"/>
      <w:numFmt w:val="bullet"/>
      <w:lvlText w:val=""/>
      <w:lvlJc w:val="left"/>
      <w:pPr>
        <w:ind w:left="5040" w:hanging="360"/>
      </w:pPr>
      <w:rPr>
        <w:rFonts w:ascii="Symbol" w:hAnsi="Symbol" w:hint="default"/>
      </w:rPr>
    </w:lvl>
    <w:lvl w:ilvl="7" w:tplc="D714A712">
      <w:start w:val="1"/>
      <w:numFmt w:val="bullet"/>
      <w:lvlText w:val="o"/>
      <w:lvlJc w:val="left"/>
      <w:pPr>
        <w:ind w:left="5760" w:hanging="360"/>
      </w:pPr>
      <w:rPr>
        <w:rFonts w:ascii="Courier New" w:hAnsi="Courier New" w:hint="default"/>
      </w:rPr>
    </w:lvl>
    <w:lvl w:ilvl="8" w:tplc="CF466712">
      <w:start w:val="1"/>
      <w:numFmt w:val="bullet"/>
      <w:lvlText w:val=""/>
      <w:lvlJc w:val="left"/>
      <w:pPr>
        <w:ind w:left="6480" w:hanging="360"/>
      </w:pPr>
      <w:rPr>
        <w:rFonts w:ascii="Wingdings" w:hAnsi="Wingdings" w:hint="default"/>
      </w:rPr>
    </w:lvl>
  </w:abstractNum>
  <w:abstractNum w:abstractNumId="89" w15:restartNumberingAfterBreak="0">
    <w:nsid w:val="7B6113CF"/>
    <w:multiLevelType w:val="hybridMultilevel"/>
    <w:tmpl w:val="295E7D82"/>
    <w:lvl w:ilvl="0" w:tplc="632ABE18">
      <w:start w:val="1"/>
      <w:numFmt w:val="bullet"/>
      <w:lvlText w:val=""/>
      <w:lvlJc w:val="left"/>
      <w:pPr>
        <w:ind w:left="720" w:hanging="360"/>
      </w:pPr>
      <w:rPr>
        <w:rFonts w:ascii="Symbol" w:hAnsi="Symbol"/>
      </w:rPr>
    </w:lvl>
    <w:lvl w:ilvl="1" w:tplc="286C1D20">
      <w:start w:val="1"/>
      <w:numFmt w:val="bullet"/>
      <w:lvlText w:val=""/>
      <w:lvlJc w:val="left"/>
      <w:pPr>
        <w:ind w:left="720" w:hanging="360"/>
      </w:pPr>
      <w:rPr>
        <w:rFonts w:ascii="Symbol" w:hAnsi="Symbol"/>
      </w:rPr>
    </w:lvl>
    <w:lvl w:ilvl="2" w:tplc="D0AE2618">
      <w:start w:val="1"/>
      <w:numFmt w:val="bullet"/>
      <w:lvlText w:val=""/>
      <w:lvlJc w:val="left"/>
      <w:pPr>
        <w:ind w:left="720" w:hanging="360"/>
      </w:pPr>
      <w:rPr>
        <w:rFonts w:ascii="Symbol" w:hAnsi="Symbol"/>
      </w:rPr>
    </w:lvl>
    <w:lvl w:ilvl="3" w:tplc="B5A2B884">
      <w:start w:val="1"/>
      <w:numFmt w:val="bullet"/>
      <w:lvlText w:val=""/>
      <w:lvlJc w:val="left"/>
      <w:pPr>
        <w:ind w:left="720" w:hanging="360"/>
      </w:pPr>
      <w:rPr>
        <w:rFonts w:ascii="Symbol" w:hAnsi="Symbol"/>
      </w:rPr>
    </w:lvl>
    <w:lvl w:ilvl="4" w:tplc="16DAE82A">
      <w:start w:val="1"/>
      <w:numFmt w:val="bullet"/>
      <w:lvlText w:val=""/>
      <w:lvlJc w:val="left"/>
      <w:pPr>
        <w:ind w:left="720" w:hanging="360"/>
      </w:pPr>
      <w:rPr>
        <w:rFonts w:ascii="Symbol" w:hAnsi="Symbol"/>
      </w:rPr>
    </w:lvl>
    <w:lvl w:ilvl="5" w:tplc="3D0ECEE8">
      <w:start w:val="1"/>
      <w:numFmt w:val="bullet"/>
      <w:lvlText w:val=""/>
      <w:lvlJc w:val="left"/>
      <w:pPr>
        <w:ind w:left="720" w:hanging="360"/>
      </w:pPr>
      <w:rPr>
        <w:rFonts w:ascii="Symbol" w:hAnsi="Symbol"/>
      </w:rPr>
    </w:lvl>
    <w:lvl w:ilvl="6" w:tplc="4EC8CF46">
      <w:start w:val="1"/>
      <w:numFmt w:val="bullet"/>
      <w:lvlText w:val=""/>
      <w:lvlJc w:val="left"/>
      <w:pPr>
        <w:ind w:left="720" w:hanging="360"/>
      </w:pPr>
      <w:rPr>
        <w:rFonts w:ascii="Symbol" w:hAnsi="Symbol"/>
      </w:rPr>
    </w:lvl>
    <w:lvl w:ilvl="7" w:tplc="547CA33A">
      <w:start w:val="1"/>
      <w:numFmt w:val="bullet"/>
      <w:lvlText w:val=""/>
      <w:lvlJc w:val="left"/>
      <w:pPr>
        <w:ind w:left="720" w:hanging="360"/>
      </w:pPr>
      <w:rPr>
        <w:rFonts w:ascii="Symbol" w:hAnsi="Symbol"/>
      </w:rPr>
    </w:lvl>
    <w:lvl w:ilvl="8" w:tplc="7956403E">
      <w:start w:val="1"/>
      <w:numFmt w:val="bullet"/>
      <w:lvlText w:val=""/>
      <w:lvlJc w:val="left"/>
      <w:pPr>
        <w:ind w:left="720" w:hanging="360"/>
      </w:pPr>
      <w:rPr>
        <w:rFonts w:ascii="Symbol" w:hAnsi="Symbol"/>
      </w:rPr>
    </w:lvl>
  </w:abstractNum>
  <w:abstractNum w:abstractNumId="90" w15:restartNumberingAfterBreak="0">
    <w:nsid w:val="7CC4432C"/>
    <w:multiLevelType w:val="hybridMultilevel"/>
    <w:tmpl w:val="613C95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7D0B504E"/>
    <w:multiLevelType w:val="multilevel"/>
    <w:tmpl w:val="7C183DDC"/>
    <w:name w:val="Bullets2"/>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Arial" w:hAnsi="Arial" w:hint="default"/>
      </w:rPr>
    </w:lvl>
    <w:lvl w:ilvl="4">
      <w:start w:val="1"/>
      <w:numFmt w:val="bullet"/>
      <w:lvlText w:val="o"/>
      <w:lvlJc w:val="left"/>
      <w:pPr>
        <w:ind w:left="1985" w:hanging="397"/>
      </w:pPr>
      <w:rPr>
        <w:rFonts w:ascii="Courier New" w:hAnsi="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9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1032"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936518621">
    <w:abstractNumId w:val="47"/>
  </w:num>
  <w:num w:numId="2" w16cid:durableId="945619861">
    <w:abstractNumId w:val="59"/>
  </w:num>
  <w:num w:numId="3" w16cid:durableId="1875923367">
    <w:abstractNumId w:val="46"/>
  </w:num>
  <w:num w:numId="4" w16cid:durableId="874735175">
    <w:abstractNumId w:val="49"/>
  </w:num>
  <w:num w:numId="5" w16cid:durableId="1536847746">
    <w:abstractNumId w:val="71"/>
  </w:num>
  <w:num w:numId="6" w16cid:durableId="1892646369">
    <w:abstractNumId w:val="18"/>
  </w:num>
  <w:num w:numId="7" w16cid:durableId="2060090282">
    <w:abstractNumId w:val="77"/>
  </w:num>
  <w:num w:numId="8" w16cid:durableId="137041417">
    <w:abstractNumId w:val="50"/>
  </w:num>
  <w:num w:numId="9" w16cid:durableId="1980723903">
    <w:abstractNumId w:val="67"/>
  </w:num>
  <w:num w:numId="10" w16cid:durableId="328561457">
    <w:abstractNumId w:val="15"/>
  </w:num>
  <w:num w:numId="11" w16cid:durableId="676617137">
    <w:abstractNumId w:val="79"/>
  </w:num>
  <w:num w:numId="12" w16cid:durableId="1506482330">
    <w:abstractNumId w:val="84"/>
  </w:num>
  <w:num w:numId="13" w16cid:durableId="974215733">
    <w:abstractNumId w:val="20"/>
  </w:num>
  <w:num w:numId="14" w16cid:durableId="42020749">
    <w:abstractNumId w:val="64"/>
  </w:num>
  <w:num w:numId="15" w16cid:durableId="270548580">
    <w:abstractNumId w:val="10"/>
  </w:num>
  <w:num w:numId="16" w16cid:durableId="1763456571">
    <w:abstractNumId w:val="22"/>
  </w:num>
  <w:num w:numId="17" w16cid:durableId="1458254607">
    <w:abstractNumId w:val="69"/>
  </w:num>
  <w:num w:numId="18" w16cid:durableId="208999996">
    <w:abstractNumId w:val="24"/>
  </w:num>
  <w:num w:numId="19" w16cid:durableId="217862125">
    <w:abstractNumId w:val="57"/>
  </w:num>
  <w:num w:numId="20" w16cid:durableId="41782296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7766193">
    <w:abstractNumId w:val="48"/>
  </w:num>
  <w:num w:numId="22" w16cid:durableId="1723168124">
    <w:abstractNumId w:val="4"/>
  </w:num>
  <w:num w:numId="23" w16cid:durableId="15090550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1048319">
    <w:abstractNumId w:val="41"/>
  </w:num>
  <w:num w:numId="25" w16cid:durableId="589242416">
    <w:abstractNumId w:val="28"/>
  </w:num>
  <w:num w:numId="26" w16cid:durableId="1291789982">
    <w:abstractNumId w:val="17"/>
  </w:num>
  <w:num w:numId="27" w16cid:durableId="1151556108">
    <w:abstractNumId w:val="62"/>
  </w:num>
  <w:num w:numId="28" w16cid:durableId="52235927">
    <w:abstractNumId w:val="55"/>
  </w:num>
  <w:num w:numId="29" w16cid:durableId="773288681">
    <w:abstractNumId w:val="70"/>
  </w:num>
  <w:num w:numId="30" w16cid:durableId="206793633">
    <w:abstractNumId w:val="42"/>
  </w:num>
  <w:num w:numId="31" w16cid:durableId="168722041">
    <w:abstractNumId w:val="65"/>
  </w:num>
  <w:num w:numId="32" w16cid:durableId="567350169">
    <w:abstractNumId w:val="82"/>
  </w:num>
  <w:num w:numId="33" w16cid:durableId="1670057184">
    <w:abstractNumId w:val="68"/>
  </w:num>
  <w:num w:numId="34" w16cid:durableId="2083600820">
    <w:abstractNumId w:val="83"/>
  </w:num>
  <w:num w:numId="35" w16cid:durableId="640842557">
    <w:abstractNumId w:val="31"/>
  </w:num>
  <w:num w:numId="36" w16cid:durableId="3437070">
    <w:abstractNumId w:val="54"/>
  </w:num>
  <w:num w:numId="37" w16cid:durableId="842086713">
    <w:abstractNumId w:val="5"/>
  </w:num>
  <w:num w:numId="38" w16cid:durableId="1942713172">
    <w:abstractNumId w:val="35"/>
  </w:num>
  <w:num w:numId="39" w16cid:durableId="1602295785">
    <w:abstractNumId w:val="80"/>
  </w:num>
  <w:num w:numId="40" w16cid:durableId="651376738">
    <w:abstractNumId w:val="87"/>
  </w:num>
  <w:num w:numId="41" w16cid:durableId="486819788">
    <w:abstractNumId w:val="78"/>
  </w:num>
  <w:num w:numId="42" w16cid:durableId="284192944">
    <w:abstractNumId w:val="8"/>
  </w:num>
  <w:num w:numId="43" w16cid:durableId="1722289588">
    <w:abstractNumId w:val="13"/>
  </w:num>
  <w:num w:numId="44" w16cid:durableId="815612611">
    <w:abstractNumId w:val="88"/>
  </w:num>
  <w:num w:numId="45" w16cid:durableId="279260730">
    <w:abstractNumId w:val="26"/>
  </w:num>
  <w:num w:numId="46" w16cid:durableId="1165361561">
    <w:abstractNumId w:val="43"/>
  </w:num>
  <w:num w:numId="47" w16cid:durableId="2083019867">
    <w:abstractNumId w:val="89"/>
  </w:num>
  <w:num w:numId="48" w16cid:durableId="617948908">
    <w:abstractNumId w:val="0"/>
  </w:num>
  <w:num w:numId="49" w16cid:durableId="2125417113">
    <w:abstractNumId w:val="66"/>
  </w:num>
  <w:num w:numId="50" w16cid:durableId="2064792003">
    <w:abstractNumId w:val="19"/>
  </w:num>
  <w:num w:numId="51" w16cid:durableId="291638171">
    <w:abstractNumId w:val="76"/>
  </w:num>
  <w:num w:numId="52" w16cid:durableId="1523006267">
    <w:abstractNumId w:val="9"/>
  </w:num>
  <w:num w:numId="53" w16cid:durableId="947397253">
    <w:abstractNumId w:val="21"/>
  </w:num>
  <w:num w:numId="54" w16cid:durableId="1243175387">
    <w:abstractNumId w:val="56"/>
  </w:num>
  <w:num w:numId="55" w16cid:durableId="1799909949">
    <w:abstractNumId w:val="7"/>
  </w:num>
  <w:num w:numId="56" w16cid:durableId="1710372607">
    <w:abstractNumId w:val="39"/>
  </w:num>
  <w:num w:numId="57" w16cid:durableId="120344569">
    <w:abstractNumId w:val="74"/>
  </w:num>
  <w:num w:numId="58" w16cid:durableId="368994496">
    <w:abstractNumId w:val="34"/>
  </w:num>
  <w:num w:numId="59" w16cid:durableId="410389733">
    <w:abstractNumId w:val="62"/>
  </w:num>
  <w:num w:numId="60" w16cid:durableId="361831274">
    <w:abstractNumId w:val="1"/>
  </w:num>
  <w:num w:numId="61" w16cid:durableId="438988793">
    <w:abstractNumId w:val="81"/>
  </w:num>
  <w:num w:numId="62" w16cid:durableId="1307779962">
    <w:abstractNumId w:val="30"/>
  </w:num>
  <w:num w:numId="63" w16cid:durableId="1153259036">
    <w:abstractNumId w:val="38"/>
  </w:num>
  <w:num w:numId="64" w16cid:durableId="1346983029">
    <w:abstractNumId w:val="73"/>
  </w:num>
  <w:num w:numId="65" w16cid:durableId="1719434168">
    <w:abstractNumId w:val="6"/>
  </w:num>
  <w:num w:numId="66" w16cid:durableId="1523864059">
    <w:abstractNumId w:val="58"/>
  </w:num>
  <w:num w:numId="67" w16cid:durableId="1195997665">
    <w:abstractNumId w:val="12"/>
  </w:num>
  <w:num w:numId="68" w16cid:durableId="1817410274">
    <w:abstractNumId w:val="90"/>
  </w:num>
  <w:num w:numId="69" w16cid:durableId="1442144177">
    <w:abstractNumId w:val="44"/>
  </w:num>
  <w:num w:numId="70" w16cid:durableId="599723550">
    <w:abstractNumId w:val="52"/>
  </w:num>
  <w:num w:numId="71" w16cid:durableId="849758399">
    <w:abstractNumId w:val="14"/>
  </w:num>
  <w:num w:numId="72" w16cid:durableId="1710497868">
    <w:abstractNumId w:val="32"/>
  </w:num>
  <w:num w:numId="73" w16cid:durableId="1043602359">
    <w:abstractNumId w:val="34"/>
    <w:lvlOverride w:ilvl="0">
      <w:startOverride w:val="1"/>
    </w:lvlOverride>
    <w:lvlOverride w:ilvl="1"/>
    <w:lvlOverride w:ilvl="2"/>
    <w:lvlOverride w:ilvl="3"/>
    <w:lvlOverride w:ilvl="4"/>
    <w:lvlOverride w:ilvl="5"/>
    <w:lvlOverride w:ilvl="6"/>
    <w:lvlOverride w:ilvl="7"/>
    <w:lvlOverride w:ilvl="8"/>
  </w:num>
  <w:num w:numId="74" w16cid:durableId="1549681505">
    <w:abstractNumId w:val="29"/>
  </w:num>
  <w:num w:numId="75" w16cid:durableId="1590967225">
    <w:abstractNumId w:val="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Oxford-Author Dat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2pwtaxt1f9pzqed2vk5ssa2aarwfw2ee5z2&quot;&gt;New ENDNOTE LIB&lt;record-ids&gt;&lt;item&gt;3756&lt;/item&gt;&lt;/record-ids&gt;&lt;/item&gt;&lt;/Libraries&gt;"/>
    <w:docVar w:name="MasterDoc" w:val="True"/>
    <w:docVar w:name="Para" w:val="_x000d_"/>
  </w:docVars>
  <w:rsids>
    <w:rsidRoot w:val="00C85CF7"/>
    <w:rsid w:val="00000194"/>
    <w:rsid w:val="000001FA"/>
    <w:rsid w:val="000006B5"/>
    <w:rsid w:val="00000841"/>
    <w:rsid w:val="00000C0E"/>
    <w:rsid w:val="00001526"/>
    <w:rsid w:val="00001EAC"/>
    <w:rsid w:val="00001FD3"/>
    <w:rsid w:val="00002083"/>
    <w:rsid w:val="00002277"/>
    <w:rsid w:val="000023AC"/>
    <w:rsid w:val="00002922"/>
    <w:rsid w:val="000035F6"/>
    <w:rsid w:val="0000366E"/>
    <w:rsid w:val="00003779"/>
    <w:rsid w:val="00003B23"/>
    <w:rsid w:val="00003CAE"/>
    <w:rsid w:val="00004327"/>
    <w:rsid w:val="00004810"/>
    <w:rsid w:val="0000495C"/>
    <w:rsid w:val="00004A5A"/>
    <w:rsid w:val="00004A68"/>
    <w:rsid w:val="00004EEE"/>
    <w:rsid w:val="00005015"/>
    <w:rsid w:val="000050EF"/>
    <w:rsid w:val="000054A5"/>
    <w:rsid w:val="0000578A"/>
    <w:rsid w:val="00005880"/>
    <w:rsid w:val="00005C9C"/>
    <w:rsid w:val="000064C6"/>
    <w:rsid w:val="000064C9"/>
    <w:rsid w:val="00006553"/>
    <w:rsid w:val="000068CA"/>
    <w:rsid w:val="000068CD"/>
    <w:rsid w:val="00006B18"/>
    <w:rsid w:val="0000736B"/>
    <w:rsid w:val="00007A12"/>
    <w:rsid w:val="00007A31"/>
    <w:rsid w:val="000105A9"/>
    <w:rsid w:val="0001078D"/>
    <w:rsid w:val="000107DA"/>
    <w:rsid w:val="00010B24"/>
    <w:rsid w:val="00010BDE"/>
    <w:rsid w:val="00010F89"/>
    <w:rsid w:val="00011552"/>
    <w:rsid w:val="000115DE"/>
    <w:rsid w:val="00011636"/>
    <w:rsid w:val="0001174B"/>
    <w:rsid w:val="00011C29"/>
    <w:rsid w:val="00011F46"/>
    <w:rsid w:val="00011F99"/>
    <w:rsid w:val="0001216C"/>
    <w:rsid w:val="000125A5"/>
    <w:rsid w:val="000126B1"/>
    <w:rsid w:val="0001369B"/>
    <w:rsid w:val="000137AB"/>
    <w:rsid w:val="00013A04"/>
    <w:rsid w:val="00013A77"/>
    <w:rsid w:val="00013C91"/>
    <w:rsid w:val="00013F52"/>
    <w:rsid w:val="00013FA9"/>
    <w:rsid w:val="000141DA"/>
    <w:rsid w:val="000143EA"/>
    <w:rsid w:val="00014401"/>
    <w:rsid w:val="000144D3"/>
    <w:rsid w:val="0001478C"/>
    <w:rsid w:val="000148A4"/>
    <w:rsid w:val="00014926"/>
    <w:rsid w:val="00014AD2"/>
    <w:rsid w:val="00014CD6"/>
    <w:rsid w:val="000152AC"/>
    <w:rsid w:val="000154CF"/>
    <w:rsid w:val="00015ECE"/>
    <w:rsid w:val="000160DB"/>
    <w:rsid w:val="0001662B"/>
    <w:rsid w:val="00016883"/>
    <w:rsid w:val="0001710D"/>
    <w:rsid w:val="00017374"/>
    <w:rsid w:val="000177CD"/>
    <w:rsid w:val="000179B3"/>
    <w:rsid w:val="00017BAC"/>
    <w:rsid w:val="00017D25"/>
    <w:rsid w:val="00017E78"/>
    <w:rsid w:val="000200F6"/>
    <w:rsid w:val="00020166"/>
    <w:rsid w:val="00020212"/>
    <w:rsid w:val="00020425"/>
    <w:rsid w:val="0002048A"/>
    <w:rsid w:val="0002053F"/>
    <w:rsid w:val="00020750"/>
    <w:rsid w:val="00020D8C"/>
    <w:rsid w:val="00020DB2"/>
    <w:rsid w:val="00021472"/>
    <w:rsid w:val="00021614"/>
    <w:rsid w:val="0002189C"/>
    <w:rsid w:val="00021A9D"/>
    <w:rsid w:val="00021C8E"/>
    <w:rsid w:val="00021EAF"/>
    <w:rsid w:val="0002231B"/>
    <w:rsid w:val="0002248D"/>
    <w:rsid w:val="0002286E"/>
    <w:rsid w:val="00022885"/>
    <w:rsid w:val="000228F0"/>
    <w:rsid w:val="00022B70"/>
    <w:rsid w:val="00022FC9"/>
    <w:rsid w:val="0002313E"/>
    <w:rsid w:val="000233D0"/>
    <w:rsid w:val="00023619"/>
    <w:rsid w:val="00023B27"/>
    <w:rsid w:val="00023EEB"/>
    <w:rsid w:val="00024469"/>
    <w:rsid w:val="000244EC"/>
    <w:rsid w:val="000249BA"/>
    <w:rsid w:val="00024A4E"/>
    <w:rsid w:val="00024DE5"/>
    <w:rsid w:val="00024E22"/>
    <w:rsid w:val="00024F38"/>
    <w:rsid w:val="00024F9A"/>
    <w:rsid w:val="00025188"/>
    <w:rsid w:val="00025377"/>
    <w:rsid w:val="000255CD"/>
    <w:rsid w:val="000258D1"/>
    <w:rsid w:val="0002597E"/>
    <w:rsid w:val="000259BE"/>
    <w:rsid w:val="00025C91"/>
    <w:rsid w:val="000263E1"/>
    <w:rsid w:val="000265EA"/>
    <w:rsid w:val="00026DC2"/>
    <w:rsid w:val="00026ECF"/>
    <w:rsid w:val="00026F37"/>
    <w:rsid w:val="00026F6C"/>
    <w:rsid w:val="000273C5"/>
    <w:rsid w:val="00027699"/>
    <w:rsid w:val="0002795D"/>
    <w:rsid w:val="00027E83"/>
    <w:rsid w:val="000303F2"/>
    <w:rsid w:val="00030769"/>
    <w:rsid w:val="0003093D"/>
    <w:rsid w:val="00030A38"/>
    <w:rsid w:val="00030B14"/>
    <w:rsid w:val="0003149E"/>
    <w:rsid w:val="0003216A"/>
    <w:rsid w:val="00032501"/>
    <w:rsid w:val="0003258F"/>
    <w:rsid w:val="0003278F"/>
    <w:rsid w:val="000332EC"/>
    <w:rsid w:val="000336FA"/>
    <w:rsid w:val="000337A3"/>
    <w:rsid w:val="00033CF4"/>
    <w:rsid w:val="0003422C"/>
    <w:rsid w:val="0003433F"/>
    <w:rsid w:val="000343D3"/>
    <w:rsid w:val="00034B04"/>
    <w:rsid w:val="00034E7A"/>
    <w:rsid w:val="0003553A"/>
    <w:rsid w:val="00035619"/>
    <w:rsid w:val="00035921"/>
    <w:rsid w:val="000359EB"/>
    <w:rsid w:val="00035A5D"/>
    <w:rsid w:val="00035A89"/>
    <w:rsid w:val="00035BB0"/>
    <w:rsid w:val="00035DC5"/>
    <w:rsid w:val="00035E6F"/>
    <w:rsid w:val="00036B25"/>
    <w:rsid w:val="00036BBE"/>
    <w:rsid w:val="00036D45"/>
    <w:rsid w:val="0003705E"/>
    <w:rsid w:val="000374E9"/>
    <w:rsid w:val="0003770C"/>
    <w:rsid w:val="00037F47"/>
    <w:rsid w:val="00040318"/>
    <w:rsid w:val="00040341"/>
    <w:rsid w:val="00040514"/>
    <w:rsid w:val="00040856"/>
    <w:rsid w:val="000408B7"/>
    <w:rsid w:val="00040917"/>
    <w:rsid w:val="00040967"/>
    <w:rsid w:val="000409B4"/>
    <w:rsid w:val="00040ACF"/>
    <w:rsid w:val="00040C14"/>
    <w:rsid w:val="00040EB4"/>
    <w:rsid w:val="000411A2"/>
    <w:rsid w:val="000414B6"/>
    <w:rsid w:val="00041613"/>
    <w:rsid w:val="00041A63"/>
    <w:rsid w:val="00041B93"/>
    <w:rsid w:val="00041E74"/>
    <w:rsid w:val="00042903"/>
    <w:rsid w:val="00042DF7"/>
    <w:rsid w:val="00043054"/>
    <w:rsid w:val="000433D7"/>
    <w:rsid w:val="000436DB"/>
    <w:rsid w:val="0004391C"/>
    <w:rsid w:val="00043B37"/>
    <w:rsid w:val="00043DDF"/>
    <w:rsid w:val="00043DF7"/>
    <w:rsid w:val="00043FA2"/>
    <w:rsid w:val="000441E4"/>
    <w:rsid w:val="000445DC"/>
    <w:rsid w:val="00044B76"/>
    <w:rsid w:val="00044D01"/>
    <w:rsid w:val="00044DF9"/>
    <w:rsid w:val="00044FC0"/>
    <w:rsid w:val="00045293"/>
    <w:rsid w:val="00045326"/>
    <w:rsid w:val="00045464"/>
    <w:rsid w:val="00045810"/>
    <w:rsid w:val="00045C60"/>
    <w:rsid w:val="000462FB"/>
    <w:rsid w:val="000465B5"/>
    <w:rsid w:val="0004675A"/>
    <w:rsid w:val="00046773"/>
    <w:rsid w:val="00046B34"/>
    <w:rsid w:val="00046DE3"/>
    <w:rsid w:val="000474B2"/>
    <w:rsid w:val="000474BB"/>
    <w:rsid w:val="00047798"/>
    <w:rsid w:val="00047B0E"/>
    <w:rsid w:val="00047FAA"/>
    <w:rsid w:val="000500AF"/>
    <w:rsid w:val="00050713"/>
    <w:rsid w:val="00051329"/>
    <w:rsid w:val="0005167A"/>
    <w:rsid w:val="000516D4"/>
    <w:rsid w:val="000516D6"/>
    <w:rsid w:val="00051825"/>
    <w:rsid w:val="000519A7"/>
    <w:rsid w:val="00051BFC"/>
    <w:rsid w:val="00051D5C"/>
    <w:rsid w:val="00051E8D"/>
    <w:rsid w:val="0005205A"/>
    <w:rsid w:val="00052454"/>
    <w:rsid w:val="0005252A"/>
    <w:rsid w:val="000528AF"/>
    <w:rsid w:val="000528B8"/>
    <w:rsid w:val="00052BC2"/>
    <w:rsid w:val="000536C3"/>
    <w:rsid w:val="00053858"/>
    <w:rsid w:val="00053C58"/>
    <w:rsid w:val="000540E0"/>
    <w:rsid w:val="000544BE"/>
    <w:rsid w:val="00054737"/>
    <w:rsid w:val="000548AF"/>
    <w:rsid w:val="00054974"/>
    <w:rsid w:val="000549DE"/>
    <w:rsid w:val="00054BC9"/>
    <w:rsid w:val="00054CB9"/>
    <w:rsid w:val="00054FE4"/>
    <w:rsid w:val="000550CC"/>
    <w:rsid w:val="000550EC"/>
    <w:rsid w:val="0005578E"/>
    <w:rsid w:val="00055965"/>
    <w:rsid w:val="00055B12"/>
    <w:rsid w:val="00055CA0"/>
    <w:rsid w:val="00055CAD"/>
    <w:rsid w:val="00055F37"/>
    <w:rsid w:val="00055FB5"/>
    <w:rsid w:val="00056024"/>
    <w:rsid w:val="000565AA"/>
    <w:rsid w:val="00056857"/>
    <w:rsid w:val="00056988"/>
    <w:rsid w:val="000573AE"/>
    <w:rsid w:val="000574CC"/>
    <w:rsid w:val="0005768A"/>
    <w:rsid w:val="00057C60"/>
    <w:rsid w:val="00057F0C"/>
    <w:rsid w:val="0006028A"/>
    <w:rsid w:val="00060335"/>
    <w:rsid w:val="00060373"/>
    <w:rsid w:val="00060694"/>
    <w:rsid w:val="00060A19"/>
    <w:rsid w:val="00060B9F"/>
    <w:rsid w:val="000612EE"/>
    <w:rsid w:val="0006138C"/>
    <w:rsid w:val="000616DF"/>
    <w:rsid w:val="00061A74"/>
    <w:rsid w:val="00061CBF"/>
    <w:rsid w:val="00061D4B"/>
    <w:rsid w:val="00062531"/>
    <w:rsid w:val="00062614"/>
    <w:rsid w:val="00062804"/>
    <w:rsid w:val="00062A56"/>
    <w:rsid w:val="00062B12"/>
    <w:rsid w:val="00062BCC"/>
    <w:rsid w:val="000633EA"/>
    <w:rsid w:val="000634B5"/>
    <w:rsid w:val="000635BA"/>
    <w:rsid w:val="000639C5"/>
    <w:rsid w:val="00064552"/>
    <w:rsid w:val="00064747"/>
    <w:rsid w:val="00064CCA"/>
    <w:rsid w:val="00065096"/>
    <w:rsid w:val="000652D5"/>
    <w:rsid w:val="000655FA"/>
    <w:rsid w:val="00065AEE"/>
    <w:rsid w:val="00066279"/>
    <w:rsid w:val="00066A4B"/>
    <w:rsid w:val="00066B18"/>
    <w:rsid w:val="00066C52"/>
    <w:rsid w:val="0006712C"/>
    <w:rsid w:val="0006759B"/>
    <w:rsid w:val="000675F0"/>
    <w:rsid w:val="00067A55"/>
    <w:rsid w:val="0007088E"/>
    <w:rsid w:val="00070B42"/>
    <w:rsid w:val="00070CFA"/>
    <w:rsid w:val="00070F1B"/>
    <w:rsid w:val="00071552"/>
    <w:rsid w:val="0007166A"/>
    <w:rsid w:val="000719AE"/>
    <w:rsid w:val="00071D31"/>
    <w:rsid w:val="00071DF4"/>
    <w:rsid w:val="00071F02"/>
    <w:rsid w:val="0007247D"/>
    <w:rsid w:val="000726C3"/>
    <w:rsid w:val="00073039"/>
    <w:rsid w:val="000732A9"/>
    <w:rsid w:val="0007342C"/>
    <w:rsid w:val="0007394B"/>
    <w:rsid w:val="00073C12"/>
    <w:rsid w:val="00073C60"/>
    <w:rsid w:val="00073F64"/>
    <w:rsid w:val="00074607"/>
    <w:rsid w:val="000747DB"/>
    <w:rsid w:val="000748A0"/>
    <w:rsid w:val="00074912"/>
    <w:rsid w:val="00074EF6"/>
    <w:rsid w:val="00074FEF"/>
    <w:rsid w:val="0007515C"/>
    <w:rsid w:val="00075725"/>
    <w:rsid w:val="00075A12"/>
    <w:rsid w:val="00075BA8"/>
    <w:rsid w:val="00075D3D"/>
    <w:rsid w:val="00076250"/>
    <w:rsid w:val="00076340"/>
    <w:rsid w:val="000764DD"/>
    <w:rsid w:val="00076A96"/>
    <w:rsid w:val="00076AB3"/>
    <w:rsid w:val="00076B3F"/>
    <w:rsid w:val="00076CEC"/>
    <w:rsid w:val="00076F87"/>
    <w:rsid w:val="000770EF"/>
    <w:rsid w:val="0007722F"/>
    <w:rsid w:val="00077537"/>
    <w:rsid w:val="0007764E"/>
    <w:rsid w:val="000776B1"/>
    <w:rsid w:val="00077B5B"/>
    <w:rsid w:val="00077C26"/>
    <w:rsid w:val="00077EE1"/>
    <w:rsid w:val="00077FF9"/>
    <w:rsid w:val="00080082"/>
    <w:rsid w:val="00080509"/>
    <w:rsid w:val="000806C3"/>
    <w:rsid w:val="000809F5"/>
    <w:rsid w:val="00080B70"/>
    <w:rsid w:val="00080CD3"/>
    <w:rsid w:val="00081274"/>
    <w:rsid w:val="000816A4"/>
    <w:rsid w:val="00081750"/>
    <w:rsid w:val="0008199F"/>
    <w:rsid w:val="00082338"/>
    <w:rsid w:val="000824A2"/>
    <w:rsid w:val="00082701"/>
    <w:rsid w:val="000827F1"/>
    <w:rsid w:val="00082CAC"/>
    <w:rsid w:val="00083876"/>
    <w:rsid w:val="00083AA2"/>
    <w:rsid w:val="00083DC4"/>
    <w:rsid w:val="00084434"/>
    <w:rsid w:val="0008447D"/>
    <w:rsid w:val="00084947"/>
    <w:rsid w:val="00084998"/>
    <w:rsid w:val="00084A61"/>
    <w:rsid w:val="00084B09"/>
    <w:rsid w:val="00084B56"/>
    <w:rsid w:val="0008500A"/>
    <w:rsid w:val="00085182"/>
    <w:rsid w:val="000852E8"/>
    <w:rsid w:val="00085333"/>
    <w:rsid w:val="000855A4"/>
    <w:rsid w:val="000856CD"/>
    <w:rsid w:val="000858A9"/>
    <w:rsid w:val="000858BC"/>
    <w:rsid w:val="00085A9E"/>
    <w:rsid w:val="00085C2B"/>
    <w:rsid w:val="0008610B"/>
    <w:rsid w:val="000861E6"/>
    <w:rsid w:val="000863E8"/>
    <w:rsid w:val="00086400"/>
    <w:rsid w:val="0008678B"/>
    <w:rsid w:val="00086AA2"/>
    <w:rsid w:val="00086B3E"/>
    <w:rsid w:val="00086C5B"/>
    <w:rsid w:val="00086D45"/>
    <w:rsid w:val="00086F46"/>
    <w:rsid w:val="000876CA"/>
    <w:rsid w:val="00087CE5"/>
    <w:rsid w:val="000900A5"/>
    <w:rsid w:val="0009078D"/>
    <w:rsid w:val="00090C31"/>
    <w:rsid w:val="00090D68"/>
    <w:rsid w:val="00090E37"/>
    <w:rsid w:val="0009116D"/>
    <w:rsid w:val="0009129D"/>
    <w:rsid w:val="00091A48"/>
    <w:rsid w:val="00091A5A"/>
    <w:rsid w:val="00091E67"/>
    <w:rsid w:val="00092064"/>
    <w:rsid w:val="00092CEE"/>
    <w:rsid w:val="00092F91"/>
    <w:rsid w:val="000931B9"/>
    <w:rsid w:val="000935EF"/>
    <w:rsid w:val="00093A25"/>
    <w:rsid w:val="00093AB0"/>
    <w:rsid w:val="00093AE0"/>
    <w:rsid w:val="00093DB2"/>
    <w:rsid w:val="00093E40"/>
    <w:rsid w:val="0009422B"/>
    <w:rsid w:val="00094556"/>
    <w:rsid w:val="000947D4"/>
    <w:rsid w:val="00094829"/>
    <w:rsid w:val="000949F9"/>
    <w:rsid w:val="00094C04"/>
    <w:rsid w:val="00094D01"/>
    <w:rsid w:val="00094E98"/>
    <w:rsid w:val="00095232"/>
    <w:rsid w:val="00095293"/>
    <w:rsid w:val="00095AD1"/>
    <w:rsid w:val="00095E0E"/>
    <w:rsid w:val="00095FEF"/>
    <w:rsid w:val="00096178"/>
    <w:rsid w:val="0009636C"/>
    <w:rsid w:val="0009649A"/>
    <w:rsid w:val="00096A89"/>
    <w:rsid w:val="00096E78"/>
    <w:rsid w:val="00097178"/>
    <w:rsid w:val="000971A5"/>
    <w:rsid w:val="0009732F"/>
    <w:rsid w:val="000973C7"/>
    <w:rsid w:val="00097CE6"/>
    <w:rsid w:val="00097E19"/>
    <w:rsid w:val="000A043A"/>
    <w:rsid w:val="000A06DE"/>
    <w:rsid w:val="000A06F4"/>
    <w:rsid w:val="000A0734"/>
    <w:rsid w:val="000A0772"/>
    <w:rsid w:val="000A07D4"/>
    <w:rsid w:val="000A09A6"/>
    <w:rsid w:val="000A0D39"/>
    <w:rsid w:val="000A0D99"/>
    <w:rsid w:val="000A0EE7"/>
    <w:rsid w:val="000A1A10"/>
    <w:rsid w:val="000A1EB8"/>
    <w:rsid w:val="000A2A0E"/>
    <w:rsid w:val="000A2A5F"/>
    <w:rsid w:val="000A2FEC"/>
    <w:rsid w:val="000A3048"/>
    <w:rsid w:val="000A324F"/>
    <w:rsid w:val="000A3480"/>
    <w:rsid w:val="000A357A"/>
    <w:rsid w:val="000A376F"/>
    <w:rsid w:val="000A3924"/>
    <w:rsid w:val="000A414F"/>
    <w:rsid w:val="000A4583"/>
    <w:rsid w:val="000A4D88"/>
    <w:rsid w:val="000A4DD8"/>
    <w:rsid w:val="000A513C"/>
    <w:rsid w:val="000A51F5"/>
    <w:rsid w:val="000A5355"/>
    <w:rsid w:val="000A55E9"/>
    <w:rsid w:val="000A576C"/>
    <w:rsid w:val="000A596F"/>
    <w:rsid w:val="000A5A67"/>
    <w:rsid w:val="000A5A9C"/>
    <w:rsid w:val="000A5B84"/>
    <w:rsid w:val="000A5E30"/>
    <w:rsid w:val="000A64D2"/>
    <w:rsid w:val="000A65C4"/>
    <w:rsid w:val="000A673D"/>
    <w:rsid w:val="000A6895"/>
    <w:rsid w:val="000A68E4"/>
    <w:rsid w:val="000A6A0B"/>
    <w:rsid w:val="000A6BF5"/>
    <w:rsid w:val="000A6FD7"/>
    <w:rsid w:val="000A709E"/>
    <w:rsid w:val="000A7297"/>
    <w:rsid w:val="000A7664"/>
    <w:rsid w:val="000A7912"/>
    <w:rsid w:val="000A79EB"/>
    <w:rsid w:val="000A7B40"/>
    <w:rsid w:val="000A7C41"/>
    <w:rsid w:val="000A7DCB"/>
    <w:rsid w:val="000A7E00"/>
    <w:rsid w:val="000A7E4F"/>
    <w:rsid w:val="000B0100"/>
    <w:rsid w:val="000B02C8"/>
    <w:rsid w:val="000B0696"/>
    <w:rsid w:val="000B07C0"/>
    <w:rsid w:val="000B088D"/>
    <w:rsid w:val="000B09E3"/>
    <w:rsid w:val="000B0B49"/>
    <w:rsid w:val="000B0EFE"/>
    <w:rsid w:val="000B157D"/>
    <w:rsid w:val="000B16D8"/>
    <w:rsid w:val="000B1842"/>
    <w:rsid w:val="000B1C7F"/>
    <w:rsid w:val="000B1ED5"/>
    <w:rsid w:val="000B1FEC"/>
    <w:rsid w:val="000B21BE"/>
    <w:rsid w:val="000B2517"/>
    <w:rsid w:val="000B2832"/>
    <w:rsid w:val="000B2948"/>
    <w:rsid w:val="000B2CE0"/>
    <w:rsid w:val="000B2D4A"/>
    <w:rsid w:val="000B3195"/>
    <w:rsid w:val="000B31B4"/>
    <w:rsid w:val="000B39F9"/>
    <w:rsid w:val="000B3B63"/>
    <w:rsid w:val="000B3F4D"/>
    <w:rsid w:val="000B4D2C"/>
    <w:rsid w:val="000B4EF1"/>
    <w:rsid w:val="000B4FF5"/>
    <w:rsid w:val="000B51BB"/>
    <w:rsid w:val="000B537F"/>
    <w:rsid w:val="000B5517"/>
    <w:rsid w:val="000B577E"/>
    <w:rsid w:val="000B59CB"/>
    <w:rsid w:val="000B5AC1"/>
    <w:rsid w:val="000B5C05"/>
    <w:rsid w:val="000B5C15"/>
    <w:rsid w:val="000B60CB"/>
    <w:rsid w:val="000B6301"/>
    <w:rsid w:val="000B655F"/>
    <w:rsid w:val="000B65EE"/>
    <w:rsid w:val="000B67BF"/>
    <w:rsid w:val="000B6910"/>
    <w:rsid w:val="000B6A88"/>
    <w:rsid w:val="000B6C03"/>
    <w:rsid w:val="000B6E1C"/>
    <w:rsid w:val="000B7000"/>
    <w:rsid w:val="000B7199"/>
    <w:rsid w:val="000B7226"/>
    <w:rsid w:val="000B732C"/>
    <w:rsid w:val="000B78DF"/>
    <w:rsid w:val="000B7904"/>
    <w:rsid w:val="000B7BA0"/>
    <w:rsid w:val="000B7C95"/>
    <w:rsid w:val="000B7E6E"/>
    <w:rsid w:val="000C036C"/>
    <w:rsid w:val="000C043D"/>
    <w:rsid w:val="000C077B"/>
    <w:rsid w:val="000C0AD1"/>
    <w:rsid w:val="000C1116"/>
    <w:rsid w:val="000C12DF"/>
    <w:rsid w:val="000C137E"/>
    <w:rsid w:val="000C1471"/>
    <w:rsid w:val="000C154E"/>
    <w:rsid w:val="000C18A5"/>
    <w:rsid w:val="000C18AD"/>
    <w:rsid w:val="000C1950"/>
    <w:rsid w:val="000C221B"/>
    <w:rsid w:val="000C228E"/>
    <w:rsid w:val="000C2354"/>
    <w:rsid w:val="000C253E"/>
    <w:rsid w:val="000C269E"/>
    <w:rsid w:val="000C27D7"/>
    <w:rsid w:val="000C2921"/>
    <w:rsid w:val="000C29DD"/>
    <w:rsid w:val="000C2BD6"/>
    <w:rsid w:val="000C2CB4"/>
    <w:rsid w:val="000C2D91"/>
    <w:rsid w:val="000C2FF7"/>
    <w:rsid w:val="000C32E6"/>
    <w:rsid w:val="000C3390"/>
    <w:rsid w:val="000C33E6"/>
    <w:rsid w:val="000C3827"/>
    <w:rsid w:val="000C3A00"/>
    <w:rsid w:val="000C4032"/>
    <w:rsid w:val="000C405B"/>
    <w:rsid w:val="000C43E0"/>
    <w:rsid w:val="000C440C"/>
    <w:rsid w:val="000C4440"/>
    <w:rsid w:val="000C47EB"/>
    <w:rsid w:val="000C491B"/>
    <w:rsid w:val="000C4AFB"/>
    <w:rsid w:val="000C4FF9"/>
    <w:rsid w:val="000C54E0"/>
    <w:rsid w:val="000C5854"/>
    <w:rsid w:val="000C59D0"/>
    <w:rsid w:val="000C59EC"/>
    <w:rsid w:val="000C5C43"/>
    <w:rsid w:val="000C5F1B"/>
    <w:rsid w:val="000C5FC6"/>
    <w:rsid w:val="000C6111"/>
    <w:rsid w:val="000C620E"/>
    <w:rsid w:val="000C62A4"/>
    <w:rsid w:val="000C6331"/>
    <w:rsid w:val="000C686D"/>
    <w:rsid w:val="000C68CB"/>
    <w:rsid w:val="000C694E"/>
    <w:rsid w:val="000C6BE3"/>
    <w:rsid w:val="000C6FA2"/>
    <w:rsid w:val="000C724E"/>
    <w:rsid w:val="000C772A"/>
    <w:rsid w:val="000C7799"/>
    <w:rsid w:val="000C782D"/>
    <w:rsid w:val="000C7958"/>
    <w:rsid w:val="000C7BB4"/>
    <w:rsid w:val="000C7D26"/>
    <w:rsid w:val="000C7F3D"/>
    <w:rsid w:val="000D000B"/>
    <w:rsid w:val="000D01DB"/>
    <w:rsid w:val="000D0333"/>
    <w:rsid w:val="000D0407"/>
    <w:rsid w:val="000D0471"/>
    <w:rsid w:val="000D04B1"/>
    <w:rsid w:val="000D094C"/>
    <w:rsid w:val="000D0C23"/>
    <w:rsid w:val="000D0D33"/>
    <w:rsid w:val="000D1143"/>
    <w:rsid w:val="000D142A"/>
    <w:rsid w:val="000D1DA0"/>
    <w:rsid w:val="000D23A8"/>
    <w:rsid w:val="000D2609"/>
    <w:rsid w:val="000D2626"/>
    <w:rsid w:val="000D293D"/>
    <w:rsid w:val="000D2AB8"/>
    <w:rsid w:val="000D2B3D"/>
    <w:rsid w:val="000D2F70"/>
    <w:rsid w:val="000D3005"/>
    <w:rsid w:val="000D319F"/>
    <w:rsid w:val="000D32F5"/>
    <w:rsid w:val="000D36F9"/>
    <w:rsid w:val="000D3881"/>
    <w:rsid w:val="000D3BD4"/>
    <w:rsid w:val="000D3CAE"/>
    <w:rsid w:val="000D3F15"/>
    <w:rsid w:val="000D3F65"/>
    <w:rsid w:val="000D409E"/>
    <w:rsid w:val="000D43C1"/>
    <w:rsid w:val="000D471D"/>
    <w:rsid w:val="000D4D56"/>
    <w:rsid w:val="000D53A9"/>
    <w:rsid w:val="000D5438"/>
    <w:rsid w:val="000D5703"/>
    <w:rsid w:val="000D5967"/>
    <w:rsid w:val="000D5BE7"/>
    <w:rsid w:val="000D5C68"/>
    <w:rsid w:val="000D5F2E"/>
    <w:rsid w:val="000D5FAE"/>
    <w:rsid w:val="000D6024"/>
    <w:rsid w:val="000D621D"/>
    <w:rsid w:val="000D621F"/>
    <w:rsid w:val="000D6377"/>
    <w:rsid w:val="000D6482"/>
    <w:rsid w:val="000D6509"/>
    <w:rsid w:val="000D66AF"/>
    <w:rsid w:val="000D6825"/>
    <w:rsid w:val="000D6BFC"/>
    <w:rsid w:val="000D6C14"/>
    <w:rsid w:val="000D6E17"/>
    <w:rsid w:val="000D73BF"/>
    <w:rsid w:val="000D73C9"/>
    <w:rsid w:val="000D785A"/>
    <w:rsid w:val="000D7F5B"/>
    <w:rsid w:val="000E0068"/>
    <w:rsid w:val="000E02B7"/>
    <w:rsid w:val="000E0771"/>
    <w:rsid w:val="000E09A3"/>
    <w:rsid w:val="000E113D"/>
    <w:rsid w:val="000E1215"/>
    <w:rsid w:val="000E1777"/>
    <w:rsid w:val="000E1AF3"/>
    <w:rsid w:val="000E1BDC"/>
    <w:rsid w:val="000E1E08"/>
    <w:rsid w:val="000E226F"/>
    <w:rsid w:val="000E2322"/>
    <w:rsid w:val="000E2355"/>
    <w:rsid w:val="000E252C"/>
    <w:rsid w:val="000E2926"/>
    <w:rsid w:val="000E2B74"/>
    <w:rsid w:val="000E2BFA"/>
    <w:rsid w:val="000E2E35"/>
    <w:rsid w:val="000E2F22"/>
    <w:rsid w:val="000E30B0"/>
    <w:rsid w:val="000E3133"/>
    <w:rsid w:val="000E3220"/>
    <w:rsid w:val="000E35EE"/>
    <w:rsid w:val="000E3697"/>
    <w:rsid w:val="000E379C"/>
    <w:rsid w:val="000E38AA"/>
    <w:rsid w:val="000E3FC7"/>
    <w:rsid w:val="000E4172"/>
    <w:rsid w:val="000E4385"/>
    <w:rsid w:val="000E43A3"/>
    <w:rsid w:val="000E44DB"/>
    <w:rsid w:val="000E458E"/>
    <w:rsid w:val="000E45B3"/>
    <w:rsid w:val="000E4681"/>
    <w:rsid w:val="000E4946"/>
    <w:rsid w:val="000E5373"/>
    <w:rsid w:val="000E5431"/>
    <w:rsid w:val="000E5447"/>
    <w:rsid w:val="000E57C6"/>
    <w:rsid w:val="000E5F51"/>
    <w:rsid w:val="000E6054"/>
    <w:rsid w:val="000E619C"/>
    <w:rsid w:val="000E6495"/>
    <w:rsid w:val="000E656C"/>
    <w:rsid w:val="000E65D3"/>
    <w:rsid w:val="000E65FF"/>
    <w:rsid w:val="000E6B17"/>
    <w:rsid w:val="000E6B90"/>
    <w:rsid w:val="000E6FF8"/>
    <w:rsid w:val="000E706A"/>
    <w:rsid w:val="000E79C3"/>
    <w:rsid w:val="000E79F7"/>
    <w:rsid w:val="000E7E8C"/>
    <w:rsid w:val="000F01CA"/>
    <w:rsid w:val="000F025D"/>
    <w:rsid w:val="000F0305"/>
    <w:rsid w:val="000F05D2"/>
    <w:rsid w:val="000F0977"/>
    <w:rsid w:val="000F09E7"/>
    <w:rsid w:val="000F0AB0"/>
    <w:rsid w:val="000F0CEA"/>
    <w:rsid w:val="000F1017"/>
    <w:rsid w:val="000F1576"/>
    <w:rsid w:val="000F1BC3"/>
    <w:rsid w:val="000F1F11"/>
    <w:rsid w:val="000F25F7"/>
    <w:rsid w:val="000F27A6"/>
    <w:rsid w:val="000F2BEC"/>
    <w:rsid w:val="000F3362"/>
    <w:rsid w:val="000F373D"/>
    <w:rsid w:val="000F3CAA"/>
    <w:rsid w:val="000F3DD1"/>
    <w:rsid w:val="000F42AA"/>
    <w:rsid w:val="000F436A"/>
    <w:rsid w:val="000F4521"/>
    <w:rsid w:val="000F47F5"/>
    <w:rsid w:val="000F4D26"/>
    <w:rsid w:val="000F505E"/>
    <w:rsid w:val="000F5259"/>
    <w:rsid w:val="000F5600"/>
    <w:rsid w:val="000F5795"/>
    <w:rsid w:val="000F59FB"/>
    <w:rsid w:val="000F5B51"/>
    <w:rsid w:val="000F5CD3"/>
    <w:rsid w:val="000F5E55"/>
    <w:rsid w:val="000F5FA3"/>
    <w:rsid w:val="000F6093"/>
    <w:rsid w:val="000F61E0"/>
    <w:rsid w:val="000F61F8"/>
    <w:rsid w:val="000F655E"/>
    <w:rsid w:val="000F704B"/>
    <w:rsid w:val="000F7332"/>
    <w:rsid w:val="000F7405"/>
    <w:rsid w:val="000F7466"/>
    <w:rsid w:val="000F763D"/>
    <w:rsid w:val="000F764C"/>
    <w:rsid w:val="000F7BB5"/>
    <w:rsid w:val="000F7C2D"/>
    <w:rsid w:val="000F7F74"/>
    <w:rsid w:val="00100000"/>
    <w:rsid w:val="001000A2"/>
    <w:rsid w:val="001000AD"/>
    <w:rsid w:val="001003C0"/>
    <w:rsid w:val="001004CA"/>
    <w:rsid w:val="00100627"/>
    <w:rsid w:val="00100B79"/>
    <w:rsid w:val="00100D41"/>
    <w:rsid w:val="00100DBC"/>
    <w:rsid w:val="00100F6C"/>
    <w:rsid w:val="00101215"/>
    <w:rsid w:val="0010145C"/>
    <w:rsid w:val="00101785"/>
    <w:rsid w:val="001018F7"/>
    <w:rsid w:val="00101A91"/>
    <w:rsid w:val="001023F4"/>
    <w:rsid w:val="0010243A"/>
    <w:rsid w:val="001025A9"/>
    <w:rsid w:val="001025B0"/>
    <w:rsid w:val="00102D89"/>
    <w:rsid w:val="00102E3B"/>
    <w:rsid w:val="00103042"/>
    <w:rsid w:val="0010321D"/>
    <w:rsid w:val="0010345F"/>
    <w:rsid w:val="001035D0"/>
    <w:rsid w:val="0010422F"/>
    <w:rsid w:val="001042E1"/>
    <w:rsid w:val="001043E0"/>
    <w:rsid w:val="001043E3"/>
    <w:rsid w:val="001044AD"/>
    <w:rsid w:val="0010455D"/>
    <w:rsid w:val="001046C2"/>
    <w:rsid w:val="00104744"/>
    <w:rsid w:val="00105380"/>
    <w:rsid w:val="00105A92"/>
    <w:rsid w:val="00105F72"/>
    <w:rsid w:val="00105FBE"/>
    <w:rsid w:val="00106325"/>
    <w:rsid w:val="001066CE"/>
    <w:rsid w:val="00106719"/>
    <w:rsid w:val="00106C3F"/>
    <w:rsid w:val="00106E68"/>
    <w:rsid w:val="001075C3"/>
    <w:rsid w:val="00107777"/>
    <w:rsid w:val="00107A3E"/>
    <w:rsid w:val="00107C3F"/>
    <w:rsid w:val="00107C8F"/>
    <w:rsid w:val="00107FDF"/>
    <w:rsid w:val="00110222"/>
    <w:rsid w:val="0011038E"/>
    <w:rsid w:val="0011087C"/>
    <w:rsid w:val="00110B2E"/>
    <w:rsid w:val="00110E2E"/>
    <w:rsid w:val="0011132C"/>
    <w:rsid w:val="001114B5"/>
    <w:rsid w:val="001116E2"/>
    <w:rsid w:val="001117C9"/>
    <w:rsid w:val="00111CA6"/>
    <w:rsid w:val="00111DBC"/>
    <w:rsid w:val="00111F79"/>
    <w:rsid w:val="0011224F"/>
    <w:rsid w:val="0011231F"/>
    <w:rsid w:val="00112415"/>
    <w:rsid w:val="0011269E"/>
    <w:rsid w:val="001126CD"/>
    <w:rsid w:val="001129DB"/>
    <w:rsid w:val="00112AE2"/>
    <w:rsid w:val="00112EDB"/>
    <w:rsid w:val="00112F59"/>
    <w:rsid w:val="0011371C"/>
    <w:rsid w:val="00113A12"/>
    <w:rsid w:val="00113A48"/>
    <w:rsid w:val="00113D04"/>
    <w:rsid w:val="00113E1C"/>
    <w:rsid w:val="00113E54"/>
    <w:rsid w:val="00113F18"/>
    <w:rsid w:val="00114290"/>
    <w:rsid w:val="0011429D"/>
    <w:rsid w:val="00114377"/>
    <w:rsid w:val="0011454C"/>
    <w:rsid w:val="00114A03"/>
    <w:rsid w:val="00114DAF"/>
    <w:rsid w:val="001156B1"/>
    <w:rsid w:val="001158D1"/>
    <w:rsid w:val="00115901"/>
    <w:rsid w:val="00115F1F"/>
    <w:rsid w:val="00116264"/>
    <w:rsid w:val="001168DB"/>
    <w:rsid w:val="001176AC"/>
    <w:rsid w:val="00117E14"/>
    <w:rsid w:val="00120037"/>
    <w:rsid w:val="00120092"/>
    <w:rsid w:val="001201F2"/>
    <w:rsid w:val="0012041B"/>
    <w:rsid w:val="001204EE"/>
    <w:rsid w:val="00120970"/>
    <w:rsid w:val="001209F2"/>
    <w:rsid w:val="00120D59"/>
    <w:rsid w:val="0012106C"/>
    <w:rsid w:val="0012124A"/>
    <w:rsid w:val="0012124E"/>
    <w:rsid w:val="001221E9"/>
    <w:rsid w:val="00122524"/>
    <w:rsid w:val="00122BA1"/>
    <w:rsid w:val="00122C59"/>
    <w:rsid w:val="00122EE6"/>
    <w:rsid w:val="00122F1F"/>
    <w:rsid w:val="00123004"/>
    <w:rsid w:val="001230A0"/>
    <w:rsid w:val="00123283"/>
    <w:rsid w:val="001234B9"/>
    <w:rsid w:val="001234BF"/>
    <w:rsid w:val="001234C2"/>
    <w:rsid w:val="001234E9"/>
    <w:rsid w:val="0012360F"/>
    <w:rsid w:val="00123933"/>
    <w:rsid w:val="00123A98"/>
    <w:rsid w:val="00123C5F"/>
    <w:rsid w:val="00123CD7"/>
    <w:rsid w:val="001240C4"/>
    <w:rsid w:val="001244D8"/>
    <w:rsid w:val="0012463E"/>
    <w:rsid w:val="00124784"/>
    <w:rsid w:val="00124A5E"/>
    <w:rsid w:val="00124B67"/>
    <w:rsid w:val="00124FAF"/>
    <w:rsid w:val="00125257"/>
    <w:rsid w:val="001252B3"/>
    <w:rsid w:val="001258BE"/>
    <w:rsid w:val="001258CA"/>
    <w:rsid w:val="00126392"/>
    <w:rsid w:val="001267C9"/>
    <w:rsid w:val="001268C6"/>
    <w:rsid w:val="00126943"/>
    <w:rsid w:val="00126973"/>
    <w:rsid w:val="00126A60"/>
    <w:rsid w:val="00127434"/>
    <w:rsid w:val="001274A6"/>
    <w:rsid w:val="001276E9"/>
    <w:rsid w:val="00127D3A"/>
    <w:rsid w:val="0013044E"/>
    <w:rsid w:val="00130525"/>
    <w:rsid w:val="00130B14"/>
    <w:rsid w:val="00130BF7"/>
    <w:rsid w:val="00130F54"/>
    <w:rsid w:val="00130FE1"/>
    <w:rsid w:val="00130FF3"/>
    <w:rsid w:val="001311CA"/>
    <w:rsid w:val="001311FF"/>
    <w:rsid w:val="00131368"/>
    <w:rsid w:val="001318CA"/>
    <w:rsid w:val="001319AB"/>
    <w:rsid w:val="00131C1D"/>
    <w:rsid w:val="001320DB"/>
    <w:rsid w:val="00132479"/>
    <w:rsid w:val="00132534"/>
    <w:rsid w:val="001326EA"/>
    <w:rsid w:val="00132A03"/>
    <w:rsid w:val="00132AC7"/>
    <w:rsid w:val="00132BD3"/>
    <w:rsid w:val="00132EC3"/>
    <w:rsid w:val="00132ECF"/>
    <w:rsid w:val="0013312C"/>
    <w:rsid w:val="0013378D"/>
    <w:rsid w:val="00133865"/>
    <w:rsid w:val="00133C57"/>
    <w:rsid w:val="00133C65"/>
    <w:rsid w:val="00133C76"/>
    <w:rsid w:val="00133CEB"/>
    <w:rsid w:val="00133CF2"/>
    <w:rsid w:val="0013424F"/>
    <w:rsid w:val="00134274"/>
    <w:rsid w:val="00134456"/>
    <w:rsid w:val="00134C14"/>
    <w:rsid w:val="00134EFD"/>
    <w:rsid w:val="00135067"/>
    <w:rsid w:val="00135087"/>
    <w:rsid w:val="00135A21"/>
    <w:rsid w:val="00135A26"/>
    <w:rsid w:val="0013609B"/>
    <w:rsid w:val="001364D9"/>
    <w:rsid w:val="00136756"/>
    <w:rsid w:val="00136AAC"/>
    <w:rsid w:val="00136CE6"/>
    <w:rsid w:val="00136E09"/>
    <w:rsid w:val="0013703C"/>
    <w:rsid w:val="0013715D"/>
    <w:rsid w:val="00137318"/>
    <w:rsid w:val="00137A24"/>
    <w:rsid w:val="001406CA"/>
    <w:rsid w:val="001407F3"/>
    <w:rsid w:val="00140B76"/>
    <w:rsid w:val="00140C11"/>
    <w:rsid w:val="001417FF"/>
    <w:rsid w:val="0014216D"/>
    <w:rsid w:val="001425F6"/>
    <w:rsid w:val="001426FE"/>
    <w:rsid w:val="00142974"/>
    <w:rsid w:val="00142AE1"/>
    <w:rsid w:val="00143499"/>
    <w:rsid w:val="0014362D"/>
    <w:rsid w:val="00143909"/>
    <w:rsid w:val="00143B58"/>
    <w:rsid w:val="00143C2C"/>
    <w:rsid w:val="00143C6A"/>
    <w:rsid w:val="00144086"/>
    <w:rsid w:val="00144787"/>
    <w:rsid w:val="0014483B"/>
    <w:rsid w:val="00144B0D"/>
    <w:rsid w:val="00144C97"/>
    <w:rsid w:val="00145168"/>
    <w:rsid w:val="00145175"/>
    <w:rsid w:val="0014538B"/>
    <w:rsid w:val="00145607"/>
    <w:rsid w:val="001458D3"/>
    <w:rsid w:val="00145C18"/>
    <w:rsid w:val="00145CF3"/>
    <w:rsid w:val="00145F74"/>
    <w:rsid w:val="001463B9"/>
    <w:rsid w:val="001464A2"/>
    <w:rsid w:val="00146947"/>
    <w:rsid w:val="00146B4D"/>
    <w:rsid w:val="00147141"/>
    <w:rsid w:val="0014722D"/>
    <w:rsid w:val="00147481"/>
    <w:rsid w:val="0014763D"/>
    <w:rsid w:val="00147DD7"/>
    <w:rsid w:val="00147F61"/>
    <w:rsid w:val="00150100"/>
    <w:rsid w:val="00150162"/>
    <w:rsid w:val="00150C00"/>
    <w:rsid w:val="001517BE"/>
    <w:rsid w:val="00151963"/>
    <w:rsid w:val="00151B09"/>
    <w:rsid w:val="0015221D"/>
    <w:rsid w:val="001525B6"/>
    <w:rsid w:val="0015260F"/>
    <w:rsid w:val="001526A2"/>
    <w:rsid w:val="00152762"/>
    <w:rsid w:val="00152BF1"/>
    <w:rsid w:val="00152F9A"/>
    <w:rsid w:val="001531E1"/>
    <w:rsid w:val="001536B2"/>
    <w:rsid w:val="001537C3"/>
    <w:rsid w:val="00153E15"/>
    <w:rsid w:val="0015426B"/>
    <w:rsid w:val="0015436A"/>
    <w:rsid w:val="00154446"/>
    <w:rsid w:val="00154724"/>
    <w:rsid w:val="00154C02"/>
    <w:rsid w:val="00154F39"/>
    <w:rsid w:val="00154F98"/>
    <w:rsid w:val="00154FE4"/>
    <w:rsid w:val="00155192"/>
    <w:rsid w:val="001554E6"/>
    <w:rsid w:val="0015588F"/>
    <w:rsid w:val="00155B41"/>
    <w:rsid w:val="00155B79"/>
    <w:rsid w:val="00156160"/>
    <w:rsid w:val="00156406"/>
    <w:rsid w:val="00156417"/>
    <w:rsid w:val="0015669A"/>
    <w:rsid w:val="001567DC"/>
    <w:rsid w:val="00156BC1"/>
    <w:rsid w:val="00156D2A"/>
    <w:rsid w:val="00156EB3"/>
    <w:rsid w:val="001571C1"/>
    <w:rsid w:val="001573D4"/>
    <w:rsid w:val="0015755F"/>
    <w:rsid w:val="00157EFC"/>
    <w:rsid w:val="00157F04"/>
    <w:rsid w:val="00160434"/>
    <w:rsid w:val="0016045A"/>
    <w:rsid w:val="001607B6"/>
    <w:rsid w:val="00160970"/>
    <w:rsid w:val="00160C09"/>
    <w:rsid w:val="00160D21"/>
    <w:rsid w:val="00160E2A"/>
    <w:rsid w:val="00160E8B"/>
    <w:rsid w:val="00160EA5"/>
    <w:rsid w:val="00161164"/>
    <w:rsid w:val="00161183"/>
    <w:rsid w:val="001612C0"/>
    <w:rsid w:val="001614B8"/>
    <w:rsid w:val="001616E7"/>
    <w:rsid w:val="00162508"/>
    <w:rsid w:val="0016271B"/>
    <w:rsid w:val="00162922"/>
    <w:rsid w:val="00162EBC"/>
    <w:rsid w:val="00162EE9"/>
    <w:rsid w:val="00163147"/>
    <w:rsid w:val="0016336A"/>
    <w:rsid w:val="0016358D"/>
    <w:rsid w:val="00163A5B"/>
    <w:rsid w:val="00164012"/>
    <w:rsid w:val="0016465E"/>
    <w:rsid w:val="001646D1"/>
    <w:rsid w:val="00164716"/>
    <w:rsid w:val="00164B24"/>
    <w:rsid w:val="00165AEF"/>
    <w:rsid w:val="00166097"/>
    <w:rsid w:val="001660BD"/>
    <w:rsid w:val="00166154"/>
    <w:rsid w:val="001664B2"/>
    <w:rsid w:val="001668AC"/>
    <w:rsid w:val="00166C05"/>
    <w:rsid w:val="00166CE9"/>
    <w:rsid w:val="00166E6D"/>
    <w:rsid w:val="00167022"/>
    <w:rsid w:val="0016750A"/>
    <w:rsid w:val="00167657"/>
    <w:rsid w:val="001679C7"/>
    <w:rsid w:val="00167D19"/>
    <w:rsid w:val="00167F4D"/>
    <w:rsid w:val="00167F69"/>
    <w:rsid w:val="00170217"/>
    <w:rsid w:val="00170313"/>
    <w:rsid w:val="001705F3"/>
    <w:rsid w:val="00170701"/>
    <w:rsid w:val="0017090B"/>
    <w:rsid w:val="0017094D"/>
    <w:rsid w:val="00170A9A"/>
    <w:rsid w:val="00170F5B"/>
    <w:rsid w:val="0017104A"/>
    <w:rsid w:val="00171428"/>
    <w:rsid w:val="00171D90"/>
    <w:rsid w:val="0017226E"/>
    <w:rsid w:val="001726D4"/>
    <w:rsid w:val="00172889"/>
    <w:rsid w:val="001728B5"/>
    <w:rsid w:val="00172942"/>
    <w:rsid w:val="00172BDF"/>
    <w:rsid w:val="00172F81"/>
    <w:rsid w:val="00173044"/>
    <w:rsid w:val="00174052"/>
    <w:rsid w:val="00174412"/>
    <w:rsid w:val="00174460"/>
    <w:rsid w:val="001745CE"/>
    <w:rsid w:val="0017475D"/>
    <w:rsid w:val="00174877"/>
    <w:rsid w:val="00174AF6"/>
    <w:rsid w:val="00174BFF"/>
    <w:rsid w:val="00175097"/>
    <w:rsid w:val="001750A0"/>
    <w:rsid w:val="00175584"/>
    <w:rsid w:val="001756AC"/>
    <w:rsid w:val="00175B01"/>
    <w:rsid w:val="00175C40"/>
    <w:rsid w:val="00175F40"/>
    <w:rsid w:val="00176023"/>
    <w:rsid w:val="0017602D"/>
    <w:rsid w:val="00176428"/>
    <w:rsid w:val="001766D2"/>
    <w:rsid w:val="00176783"/>
    <w:rsid w:val="001767AD"/>
    <w:rsid w:val="001768FA"/>
    <w:rsid w:val="00176A38"/>
    <w:rsid w:val="0017749D"/>
    <w:rsid w:val="001774D1"/>
    <w:rsid w:val="0017778B"/>
    <w:rsid w:val="001778A7"/>
    <w:rsid w:val="00177E35"/>
    <w:rsid w:val="00177E49"/>
    <w:rsid w:val="001801FF"/>
    <w:rsid w:val="001802D5"/>
    <w:rsid w:val="00180471"/>
    <w:rsid w:val="00180A5A"/>
    <w:rsid w:val="00180D27"/>
    <w:rsid w:val="00180E40"/>
    <w:rsid w:val="00180E8D"/>
    <w:rsid w:val="001813B0"/>
    <w:rsid w:val="001813FF"/>
    <w:rsid w:val="00181720"/>
    <w:rsid w:val="001818D8"/>
    <w:rsid w:val="00181AFE"/>
    <w:rsid w:val="00181C3F"/>
    <w:rsid w:val="00181DED"/>
    <w:rsid w:val="00181FB9"/>
    <w:rsid w:val="00181FF1"/>
    <w:rsid w:val="00182337"/>
    <w:rsid w:val="0018239D"/>
    <w:rsid w:val="001825CC"/>
    <w:rsid w:val="001826C4"/>
    <w:rsid w:val="001827CC"/>
    <w:rsid w:val="00183063"/>
    <w:rsid w:val="001835D5"/>
    <w:rsid w:val="0018375A"/>
    <w:rsid w:val="00183F66"/>
    <w:rsid w:val="0018411D"/>
    <w:rsid w:val="0018426D"/>
    <w:rsid w:val="00184490"/>
    <w:rsid w:val="001844C6"/>
    <w:rsid w:val="001845EF"/>
    <w:rsid w:val="00184B03"/>
    <w:rsid w:val="00184F37"/>
    <w:rsid w:val="001859DD"/>
    <w:rsid w:val="00185A59"/>
    <w:rsid w:val="00185A70"/>
    <w:rsid w:val="00185F9D"/>
    <w:rsid w:val="00186186"/>
    <w:rsid w:val="001864C2"/>
    <w:rsid w:val="001874D7"/>
    <w:rsid w:val="00187AD1"/>
    <w:rsid w:val="00187B5A"/>
    <w:rsid w:val="00187B9E"/>
    <w:rsid w:val="00187CE4"/>
    <w:rsid w:val="0019029C"/>
    <w:rsid w:val="001903C6"/>
    <w:rsid w:val="001904FD"/>
    <w:rsid w:val="00190A9D"/>
    <w:rsid w:val="00190D7B"/>
    <w:rsid w:val="00190F09"/>
    <w:rsid w:val="001910A0"/>
    <w:rsid w:val="001910A2"/>
    <w:rsid w:val="00191188"/>
    <w:rsid w:val="001911BB"/>
    <w:rsid w:val="00191308"/>
    <w:rsid w:val="0019142E"/>
    <w:rsid w:val="00191515"/>
    <w:rsid w:val="0019193F"/>
    <w:rsid w:val="001919AC"/>
    <w:rsid w:val="00191DC0"/>
    <w:rsid w:val="00191E4A"/>
    <w:rsid w:val="0019213C"/>
    <w:rsid w:val="001927C1"/>
    <w:rsid w:val="00192905"/>
    <w:rsid w:val="00192D5D"/>
    <w:rsid w:val="00192F5C"/>
    <w:rsid w:val="00193789"/>
    <w:rsid w:val="00193C0F"/>
    <w:rsid w:val="00193DBB"/>
    <w:rsid w:val="00194013"/>
    <w:rsid w:val="0019420B"/>
    <w:rsid w:val="001942C1"/>
    <w:rsid w:val="001942E7"/>
    <w:rsid w:val="001945C8"/>
    <w:rsid w:val="00194810"/>
    <w:rsid w:val="00194AAE"/>
    <w:rsid w:val="00194B60"/>
    <w:rsid w:val="00195199"/>
    <w:rsid w:val="001956D7"/>
    <w:rsid w:val="00195924"/>
    <w:rsid w:val="001959C9"/>
    <w:rsid w:val="00195AB7"/>
    <w:rsid w:val="00195D19"/>
    <w:rsid w:val="001962D9"/>
    <w:rsid w:val="0019677E"/>
    <w:rsid w:val="00196830"/>
    <w:rsid w:val="00196C4C"/>
    <w:rsid w:val="00196F98"/>
    <w:rsid w:val="001973AA"/>
    <w:rsid w:val="0019756C"/>
    <w:rsid w:val="001978D9"/>
    <w:rsid w:val="001978DC"/>
    <w:rsid w:val="00197D54"/>
    <w:rsid w:val="001A0350"/>
    <w:rsid w:val="001A08DE"/>
    <w:rsid w:val="001A0FC3"/>
    <w:rsid w:val="001A1C96"/>
    <w:rsid w:val="001A1F04"/>
    <w:rsid w:val="001A20CC"/>
    <w:rsid w:val="001A21C0"/>
    <w:rsid w:val="001A2629"/>
    <w:rsid w:val="001A26B9"/>
    <w:rsid w:val="001A26F4"/>
    <w:rsid w:val="001A2BD0"/>
    <w:rsid w:val="001A2D7A"/>
    <w:rsid w:val="001A31EE"/>
    <w:rsid w:val="001A3352"/>
    <w:rsid w:val="001A3695"/>
    <w:rsid w:val="001A36D8"/>
    <w:rsid w:val="001A3AE0"/>
    <w:rsid w:val="001A3AFB"/>
    <w:rsid w:val="001A3B27"/>
    <w:rsid w:val="001A3C02"/>
    <w:rsid w:val="001A3F22"/>
    <w:rsid w:val="001A4367"/>
    <w:rsid w:val="001A485D"/>
    <w:rsid w:val="001A49C1"/>
    <w:rsid w:val="001A59BB"/>
    <w:rsid w:val="001A5AD0"/>
    <w:rsid w:val="001A5B54"/>
    <w:rsid w:val="001A5BCF"/>
    <w:rsid w:val="001A5E8D"/>
    <w:rsid w:val="001A631C"/>
    <w:rsid w:val="001A63B0"/>
    <w:rsid w:val="001A6B09"/>
    <w:rsid w:val="001A6D7C"/>
    <w:rsid w:val="001A6F7A"/>
    <w:rsid w:val="001A752F"/>
    <w:rsid w:val="001A775B"/>
    <w:rsid w:val="001A7A02"/>
    <w:rsid w:val="001A7A98"/>
    <w:rsid w:val="001A7B45"/>
    <w:rsid w:val="001A7B6C"/>
    <w:rsid w:val="001A7D2C"/>
    <w:rsid w:val="001B006E"/>
    <w:rsid w:val="001B017B"/>
    <w:rsid w:val="001B08FF"/>
    <w:rsid w:val="001B0BA9"/>
    <w:rsid w:val="001B10DF"/>
    <w:rsid w:val="001B11BD"/>
    <w:rsid w:val="001B120F"/>
    <w:rsid w:val="001B1992"/>
    <w:rsid w:val="001B1B2B"/>
    <w:rsid w:val="001B22CD"/>
    <w:rsid w:val="001B2AD7"/>
    <w:rsid w:val="001B2B1D"/>
    <w:rsid w:val="001B2BF1"/>
    <w:rsid w:val="001B2D38"/>
    <w:rsid w:val="001B2D49"/>
    <w:rsid w:val="001B2D7C"/>
    <w:rsid w:val="001B2DE5"/>
    <w:rsid w:val="001B2E04"/>
    <w:rsid w:val="001B2F0F"/>
    <w:rsid w:val="001B32D1"/>
    <w:rsid w:val="001B330C"/>
    <w:rsid w:val="001B39C6"/>
    <w:rsid w:val="001B3E2F"/>
    <w:rsid w:val="001B453F"/>
    <w:rsid w:val="001B54DE"/>
    <w:rsid w:val="001B554D"/>
    <w:rsid w:val="001B58CA"/>
    <w:rsid w:val="001B5A0F"/>
    <w:rsid w:val="001B6186"/>
    <w:rsid w:val="001B6321"/>
    <w:rsid w:val="001B63F4"/>
    <w:rsid w:val="001B64D9"/>
    <w:rsid w:val="001B6D41"/>
    <w:rsid w:val="001B6E7E"/>
    <w:rsid w:val="001B6E9A"/>
    <w:rsid w:val="001B772F"/>
    <w:rsid w:val="001B7E65"/>
    <w:rsid w:val="001C038E"/>
    <w:rsid w:val="001C0432"/>
    <w:rsid w:val="001C06D6"/>
    <w:rsid w:val="001C0E16"/>
    <w:rsid w:val="001C145F"/>
    <w:rsid w:val="001C1565"/>
    <w:rsid w:val="001C158E"/>
    <w:rsid w:val="001C1A26"/>
    <w:rsid w:val="001C1A2D"/>
    <w:rsid w:val="001C1C32"/>
    <w:rsid w:val="001C1CFB"/>
    <w:rsid w:val="001C1D82"/>
    <w:rsid w:val="001C1E63"/>
    <w:rsid w:val="001C2253"/>
    <w:rsid w:val="001C230C"/>
    <w:rsid w:val="001C2489"/>
    <w:rsid w:val="001C2510"/>
    <w:rsid w:val="001C2788"/>
    <w:rsid w:val="001C2CB2"/>
    <w:rsid w:val="001C2DBC"/>
    <w:rsid w:val="001C2F13"/>
    <w:rsid w:val="001C2FF7"/>
    <w:rsid w:val="001C31C0"/>
    <w:rsid w:val="001C349A"/>
    <w:rsid w:val="001C3987"/>
    <w:rsid w:val="001C3BA3"/>
    <w:rsid w:val="001C4048"/>
    <w:rsid w:val="001C40E3"/>
    <w:rsid w:val="001C448E"/>
    <w:rsid w:val="001C4657"/>
    <w:rsid w:val="001C5700"/>
    <w:rsid w:val="001C64B7"/>
    <w:rsid w:val="001C6748"/>
    <w:rsid w:val="001C6ADF"/>
    <w:rsid w:val="001C6C14"/>
    <w:rsid w:val="001C6F5B"/>
    <w:rsid w:val="001C6FE6"/>
    <w:rsid w:val="001C74EC"/>
    <w:rsid w:val="001C7C33"/>
    <w:rsid w:val="001C7F40"/>
    <w:rsid w:val="001D012F"/>
    <w:rsid w:val="001D04C3"/>
    <w:rsid w:val="001D082A"/>
    <w:rsid w:val="001D08C1"/>
    <w:rsid w:val="001D09BF"/>
    <w:rsid w:val="001D09E8"/>
    <w:rsid w:val="001D1388"/>
    <w:rsid w:val="001D151C"/>
    <w:rsid w:val="001D1652"/>
    <w:rsid w:val="001D1D77"/>
    <w:rsid w:val="001D2001"/>
    <w:rsid w:val="001D223D"/>
    <w:rsid w:val="001D266F"/>
    <w:rsid w:val="001D280D"/>
    <w:rsid w:val="001D2D53"/>
    <w:rsid w:val="001D3334"/>
    <w:rsid w:val="001D34E3"/>
    <w:rsid w:val="001D36B5"/>
    <w:rsid w:val="001D39F8"/>
    <w:rsid w:val="001D3B02"/>
    <w:rsid w:val="001D42C8"/>
    <w:rsid w:val="001D5516"/>
    <w:rsid w:val="001D55D2"/>
    <w:rsid w:val="001D5CBC"/>
    <w:rsid w:val="001D5D1A"/>
    <w:rsid w:val="001D5FC7"/>
    <w:rsid w:val="001D6139"/>
    <w:rsid w:val="001D63D0"/>
    <w:rsid w:val="001D69CC"/>
    <w:rsid w:val="001D6A8C"/>
    <w:rsid w:val="001D7238"/>
    <w:rsid w:val="001D74E3"/>
    <w:rsid w:val="001D770B"/>
    <w:rsid w:val="001D77CA"/>
    <w:rsid w:val="001D785D"/>
    <w:rsid w:val="001D78C3"/>
    <w:rsid w:val="001D7A8D"/>
    <w:rsid w:val="001E015F"/>
    <w:rsid w:val="001E02E3"/>
    <w:rsid w:val="001E04BC"/>
    <w:rsid w:val="001E06F0"/>
    <w:rsid w:val="001E0F0D"/>
    <w:rsid w:val="001E1455"/>
    <w:rsid w:val="001E15FF"/>
    <w:rsid w:val="001E1DB7"/>
    <w:rsid w:val="001E1E00"/>
    <w:rsid w:val="001E2214"/>
    <w:rsid w:val="001E2412"/>
    <w:rsid w:val="001E245D"/>
    <w:rsid w:val="001E28EF"/>
    <w:rsid w:val="001E2E62"/>
    <w:rsid w:val="001E3000"/>
    <w:rsid w:val="001E3027"/>
    <w:rsid w:val="001E3098"/>
    <w:rsid w:val="001E3224"/>
    <w:rsid w:val="001E350E"/>
    <w:rsid w:val="001E3629"/>
    <w:rsid w:val="001E382F"/>
    <w:rsid w:val="001E38F4"/>
    <w:rsid w:val="001E3D17"/>
    <w:rsid w:val="001E3E6C"/>
    <w:rsid w:val="001E40B8"/>
    <w:rsid w:val="001E4331"/>
    <w:rsid w:val="001E439E"/>
    <w:rsid w:val="001E43CC"/>
    <w:rsid w:val="001E4400"/>
    <w:rsid w:val="001E454B"/>
    <w:rsid w:val="001E4800"/>
    <w:rsid w:val="001E48EA"/>
    <w:rsid w:val="001E490D"/>
    <w:rsid w:val="001E4F73"/>
    <w:rsid w:val="001E5069"/>
    <w:rsid w:val="001E5183"/>
    <w:rsid w:val="001E51A2"/>
    <w:rsid w:val="001E55C8"/>
    <w:rsid w:val="001E57DE"/>
    <w:rsid w:val="001E5FA4"/>
    <w:rsid w:val="001E5FC7"/>
    <w:rsid w:val="001E602C"/>
    <w:rsid w:val="001E61E8"/>
    <w:rsid w:val="001E6421"/>
    <w:rsid w:val="001E6425"/>
    <w:rsid w:val="001E6674"/>
    <w:rsid w:val="001E6D92"/>
    <w:rsid w:val="001E6E1D"/>
    <w:rsid w:val="001E70EA"/>
    <w:rsid w:val="001E729D"/>
    <w:rsid w:val="001E7CE2"/>
    <w:rsid w:val="001F0361"/>
    <w:rsid w:val="001F0427"/>
    <w:rsid w:val="001F0A72"/>
    <w:rsid w:val="001F0B17"/>
    <w:rsid w:val="001F0E56"/>
    <w:rsid w:val="001F171B"/>
    <w:rsid w:val="001F175E"/>
    <w:rsid w:val="001F1E60"/>
    <w:rsid w:val="001F1FCE"/>
    <w:rsid w:val="001F222F"/>
    <w:rsid w:val="001F2273"/>
    <w:rsid w:val="001F22AC"/>
    <w:rsid w:val="001F302E"/>
    <w:rsid w:val="001F3048"/>
    <w:rsid w:val="001F3563"/>
    <w:rsid w:val="001F35E0"/>
    <w:rsid w:val="001F383A"/>
    <w:rsid w:val="001F3A47"/>
    <w:rsid w:val="001F40AD"/>
    <w:rsid w:val="001F42A7"/>
    <w:rsid w:val="001F42BE"/>
    <w:rsid w:val="001F4460"/>
    <w:rsid w:val="001F44D3"/>
    <w:rsid w:val="001F4765"/>
    <w:rsid w:val="001F5040"/>
    <w:rsid w:val="001F5799"/>
    <w:rsid w:val="001F5993"/>
    <w:rsid w:val="001F5A66"/>
    <w:rsid w:val="001F5BF9"/>
    <w:rsid w:val="001F60DD"/>
    <w:rsid w:val="001F618A"/>
    <w:rsid w:val="001F629B"/>
    <w:rsid w:val="001F6460"/>
    <w:rsid w:val="001F6826"/>
    <w:rsid w:val="001F7074"/>
    <w:rsid w:val="001F71B7"/>
    <w:rsid w:val="001F7523"/>
    <w:rsid w:val="001F78DF"/>
    <w:rsid w:val="001F797E"/>
    <w:rsid w:val="001F79AF"/>
    <w:rsid w:val="001F79DC"/>
    <w:rsid w:val="001F7AFB"/>
    <w:rsid w:val="001F7D90"/>
    <w:rsid w:val="001F7F47"/>
    <w:rsid w:val="00200D2C"/>
    <w:rsid w:val="00201766"/>
    <w:rsid w:val="0020200F"/>
    <w:rsid w:val="0020206C"/>
    <w:rsid w:val="0020269C"/>
    <w:rsid w:val="0020272B"/>
    <w:rsid w:val="002027CC"/>
    <w:rsid w:val="00202D57"/>
    <w:rsid w:val="0020336D"/>
    <w:rsid w:val="002034AF"/>
    <w:rsid w:val="00203D72"/>
    <w:rsid w:val="0020438C"/>
    <w:rsid w:val="002046EC"/>
    <w:rsid w:val="002047B7"/>
    <w:rsid w:val="002048EC"/>
    <w:rsid w:val="00204A78"/>
    <w:rsid w:val="00204B40"/>
    <w:rsid w:val="002059C9"/>
    <w:rsid w:val="00206575"/>
    <w:rsid w:val="002068B4"/>
    <w:rsid w:val="00206BD7"/>
    <w:rsid w:val="00206CB6"/>
    <w:rsid w:val="00206FCC"/>
    <w:rsid w:val="002071C2"/>
    <w:rsid w:val="00207596"/>
    <w:rsid w:val="002075E7"/>
    <w:rsid w:val="00207841"/>
    <w:rsid w:val="00207DFD"/>
    <w:rsid w:val="00207E74"/>
    <w:rsid w:val="0020DF2D"/>
    <w:rsid w:val="00210540"/>
    <w:rsid w:val="00210B5C"/>
    <w:rsid w:val="00210C96"/>
    <w:rsid w:val="00210F14"/>
    <w:rsid w:val="00211075"/>
    <w:rsid w:val="002110BD"/>
    <w:rsid w:val="002114D4"/>
    <w:rsid w:val="0021154B"/>
    <w:rsid w:val="00211691"/>
    <w:rsid w:val="0021171F"/>
    <w:rsid w:val="0021186D"/>
    <w:rsid w:val="00211C15"/>
    <w:rsid w:val="00211FBC"/>
    <w:rsid w:val="00212101"/>
    <w:rsid w:val="0021255A"/>
    <w:rsid w:val="00212AA1"/>
    <w:rsid w:val="00213177"/>
    <w:rsid w:val="002131B8"/>
    <w:rsid w:val="0021363C"/>
    <w:rsid w:val="0021392D"/>
    <w:rsid w:val="00213B2D"/>
    <w:rsid w:val="00214042"/>
    <w:rsid w:val="002140B4"/>
    <w:rsid w:val="00214138"/>
    <w:rsid w:val="002144BB"/>
    <w:rsid w:val="002145AD"/>
    <w:rsid w:val="002146AD"/>
    <w:rsid w:val="002146FB"/>
    <w:rsid w:val="002147FE"/>
    <w:rsid w:val="00214DA6"/>
    <w:rsid w:val="002155D1"/>
    <w:rsid w:val="00215B03"/>
    <w:rsid w:val="00215D95"/>
    <w:rsid w:val="00215E28"/>
    <w:rsid w:val="00216347"/>
    <w:rsid w:val="00216468"/>
    <w:rsid w:val="002167E2"/>
    <w:rsid w:val="0021698E"/>
    <w:rsid w:val="00216DE2"/>
    <w:rsid w:val="0021736F"/>
    <w:rsid w:val="00217507"/>
    <w:rsid w:val="002179CA"/>
    <w:rsid w:val="00220509"/>
    <w:rsid w:val="00220560"/>
    <w:rsid w:val="0022093B"/>
    <w:rsid w:val="00221285"/>
    <w:rsid w:val="00221660"/>
    <w:rsid w:val="002217C2"/>
    <w:rsid w:val="002219AD"/>
    <w:rsid w:val="00221DB6"/>
    <w:rsid w:val="00222093"/>
    <w:rsid w:val="002221A1"/>
    <w:rsid w:val="002221CE"/>
    <w:rsid w:val="00222437"/>
    <w:rsid w:val="00222629"/>
    <w:rsid w:val="002227F3"/>
    <w:rsid w:val="002229DB"/>
    <w:rsid w:val="00222BCC"/>
    <w:rsid w:val="00222CC7"/>
    <w:rsid w:val="002230B5"/>
    <w:rsid w:val="002232B7"/>
    <w:rsid w:val="00223713"/>
    <w:rsid w:val="00223759"/>
    <w:rsid w:val="0022391C"/>
    <w:rsid w:val="00223A31"/>
    <w:rsid w:val="0022475A"/>
    <w:rsid w:val="002247B9"/>
    <w:rsid w:val="00224DF7"/>
    <w:rsid w:val="00224ED1"/>
    <w:rsid w:val="0022504A"/>
    <w:rsid w:val="00225743"/>
    <w:rsid w:val="00225747"/>
    <w:rsid w:val="002257DA"/>
    <w:rsid w:val="00225817"/>
    <w:rsid w:val="00226225"/>
    <w:rsid w:val="002265DE"/>
    <w:rsid w:val="002267D6"/>
    <w:rsid w:val="002268D9"/>
    <w:rsid w:val="00226A73"/>
    <w:rsid w:val="00226BF6"/>
    <w:rsid w:val="00226CB9"/>
    <w:rsid w:val="00226D92"/>
    <w:rsid w:val="00226E62"/>
    <w:rsid w:val="002272A9"/>
    <w:rsid w:val="00227AF0"/>
    <w:rsid w:val="00227C3C"/>
    <w:rsid w:val="002300D4"/>
    <w:rsid w:val="0023023E"/>
    <w:rsid w:val="00230259"/>
    <w:rsid w:val="00230392"/>
    <w:rsid w:val="00230BB1"/>
    <w:rsid w:val="00230C3A"/>
    <w:rsid w:val="0023113D"/>
    <w:rsid w:val="0023193F"/>
    <w:rsid w:val="0023243A"/>
    <w:rsid w:val="0023294F"/>
    <w:rsid w:val="00232D3E"/>
    <w:rsid w:val="00233520"/>
    <w:rsid w:val="002337CC"/>
    <w:rsid w:val="00233A76"/>
    <w:rsid w:val="00233B50"/>
    <w:rsid w:val="00233EBA"/>
    <w:rsid w:val="0023431F"/>
    <w:rsid w:val="002347D0"/>
    <w:rsid w:val="00234A3F"/>
    <w:rsid w:val="00234BE0"/>
    <w:rsid w:val="002350DE"/>
    <w:rsid w:val="002353F9"/>
    <w:rsid w:val="0023567F"/>
    <w:rsid w:val="00235C2A"/>
    <w:rsid w:val="00235F67"/>
    <w:rsid w:val="00236247"/>
    <w:rsid w:val="0023624D"/>
    <w:rsid w:val="0023676B"/>
    <w:rsid w:val="002371BA"/>
    <w:rsid w:val="00237572"/>
    <w:rsid w:val="0023797D"/>
    <w:rsid w:val="00237A47"/>
    <w:rsid w:val="00237F6B"/>
    <w:rsid w:val="0024017B"/>
    <w:rsid w:val="0024024E"/>
    <w:rsid w:val="002402BC"/>
    <w:rsid w:val="002404DE"/>
    <w:rsid w:val="00240884"/>
    <w:rsid w:val="00240BD4"/>
    <w:rsid w:val="002412A0"/>
    <w:rsid w:val="002412FD"/>
    <w:rsid w:val="002417CE"/>
    <w:rsid w:val="00241801"/>
    <w:rsid w:val="00241887"/>
    <w:rsid w:val="002418FA"/>
    <w:rsid w:val="00241AC9"/>
    <w:rsid w:val="00241BFE"/>
    <w:rsid w:val="002421F5"/>
    <w:rsid w:val="00242536"/>
    <w:rsid w:val="00242538"/>
    <w:rsid w:val="00242651"/>
    <w:rsid w:val="002427AD"/>
    <w:rsid w:val="00242A38"/>
    <w:rsid w:val="00242EB3"/>
    <w:rsid w:val="00243145"/>
    <w:rsid w:val="0024329C"/>
    <w:rsid w:val="00243399"/>
    <w:rsid w:val="00243583"/>
    <w:rsid w:val="0024378F"/>
    <w:rsid w:val="00243A45"/>
    <w:rsid w:val="00243B3D"/>
    <w:rsid w:val="00243BC4"/>
    <w:rsid w:val="00243C5F"/>
    <w:rsid w:val="00243D85"/>
    <w:rsid w:val="00244235"/>
    <w:rsid w:val="002444FF"/>
    <w:rsid w:val="002448C8"/>
    <w:rsid w:val="002448CB"/>
    <w:rsid w:val="00244C54"/>
    <w:rsid w:val="0024569A"/>
    <w:rsid w:val="002458B9"/>
    <w:rsid w:val="002458FF"/>
    <w:rsid w:val="00245E3A"/>
    <w:rsid w:val="00246066"/>
    <w:rsid w:val="002461CD"/>
    <w:rsid w:val="00246304"/>
    <w:rsid w:val="002463E2"/>
    <w:rsid w:val="002464BA"/>
    <w:rsid w:val="0024666D"/>
    <w:rsid w:val="00246A6D"/>
    <w:rsid w:val="00246EE5"/>
    <w:rsid w:val="00247468"/>
    <w:rsid w:val="00247DAF"/>
    <w:rsid w:val="00250356"/>
    <w:rsid w:val="0025067B"/>
    <w:rsid w:val="00250A1D"/>
    <w:rsid w:val="00250AF2"/>
    <w:rsid w:val="00250CF8"/>
    <w:rsid w:val="00250D3D"/>
    <w:rsid w:val="00251326"/>
    <w:rsid w:val="00251794"/>
    <w:rsid w:val="00251AD4"/>
    <w:rsid w:val="00251F07"/>
    <w:rsid w:val="0025205E"/>
    <w:rsid w:val="002520F7"/>
    <w:rsid w:val="002526D8"/>
    <w:rsid w:val="00252830"/>
    <w:rsid w:val="00252B2D"/>
    <w:rsid w:val="00252DEC"/>
    <w:rsid w:val="002533C2"/>
    <w:rsid w:val="00253574"/>
    <w:rsid w:val="00253867"/>
    <w:rsid w:val="00253904"/>
    <w:rsid w:val="00253C6D"/>
    <w:rsid w:val="00253D03"/>
    <w:rsid w:val="00253D24"/>
    <w:rsid w:val="00253D63"/>
    <w:rsid w:val="0025402C"/>
    <w:rsid w:val="0025404B"/>
    <w:rsid w:val="00254190"/>
    <w:rsid w:val="00254829"/>
    <w:rsid w:val="002551B1"/>
    <w:rsid w:val="00255261"/>
    <w:rsid w:val="0025562D"/>
    <w:rsid w:val="00255942"/>
    <w:rsid w:val="00255A9A"/>
    <w:rsid w:val="0025624C"/>
    <w:rsid w:val="0025626D"/>
    <w:rsid w:val="00256560"/>
    <w:rsid w:val="002565A0"/>
    <w:rsid w:val="00256624"/>
    <w:rsid w:val="0025669A"/>
    <w:rsid w:val="00256B85"/>
    <w:rsid w:val="00256BD6"/>
    <w:rsid w:val="00256D98"/>
    <w:rsid w:val="0025755B"/>
    <w:rsid w:val="0025777E"/>
    <w:rsid w:val="00257BE9"/>
    <w:rsid w:val="00257C38"/>
    <w:rsid w:val="00257F30"/>
    <w:rsid w:val="00257FB1"/>
    <w:rsid w:val="00260020"/>
    <w:rsid w:val="00260062"/>
    <w:rsid w:val="002600A1"/>
    <w:rsid w:val="0026075A"/>
    <w:rsid w:val="00260C4E"/>
    <w:rsid w:val="00260CB3"/>
    <w:rsid w:val="00260FD4"/>
    <w:rsid w:val="002610F6"/>
    <w:rsid w:val="00261268"/>
    <w:rsid w:val="002614DC"/>
    <w:rsid w:val="0026181D"/>
    <w:rsid w:val="002618C5"/>
    <w:rsid w:val="00261C7F"/>
    <w:rsid w:val="0026258F"/>
    <w:rsid w:val="002627FC"/>
    <w:rsid w:val="00262ACE"/>
    <w:rsid w:val="00262B8D"/>
    <w:rsid w:val="00263708"/>
    <w:rsid w:val="00263A79"/>
    <w:rsid w:val="00263A97"/>
    <w:rsid w:val="00264209"/>
    <w:rsid w:val="002644CE"/>
    <w:rsid w:val="002644E1"/>
    <w:rsid w:val="00264559"/>
    <w:rsid w:val="00264CDA"/>
    <w:rsid w:val="00264DF9"/>
    <w:rsid w:val="0026525F"/>
    <w:rsid w:val="00265A3B"/>
    <w:rsid w:val="00265C0D"/>
    <w:rsid w:val="00265C39"/>
    <w:rsid w:val="00266229"/>
    <w:rsid w:val="00266261"/>
    <w:rsid w:val="00266390"/>
    <w:rsid w:val="0026655E"/>
    <w:rsid w:val="0026693D"/>
    <w:rsid w:val="00266EAB"/>
    <w:rsid w:val="00266EBB"/>
    <w:rsid w:val="00267166"/>
    <w:rsid w:val="002671CE"/>
    <w:rsid w:val="002673EB"/>
    <w:rsid w:val="00267526"/>
    <w:rsid w:val="0026756C"/>
    <w:rsid w:val="002676DE"/>
    <w:rsid w:val="00267B5E"/>
    <w:rsid w:val="0027004B"/>
    <w:rsid w:val="0027011C"/>
    <w:rsid w:val="00270239"/>
    <w:rsid w:val="00270483"/>
    <w:rsid w:val="00270523"/>
    <w:rsid w:val="002706EF"/>
    <w:rsid w:val="00270817"/>
    <w:rsid w:val="00270ACD"/>
    <w:rsid w:val="00270D67"/>
    <w:rsid w:val="00270FBC"/>
    <w:rsid w:val="002710A5"/>
    <w:rsid w:val="00271217"/>
    <w:rsid w:val="002715E9"/>
    <w:rsid w:val="0027163A"/>
    <w:rsid w:val="0027194F"/>
    <w:rsid w:val="00271B17"/>
    <w:rsid w:val="00271BCD"/>
    <w:rsid w:val="00271DA7"/>
    <w:rsid w:val="00272046"/>
    <w:rsid w:val="00272242"/>
    <w:rsid w:val="0027240B"/>
    <w:rsid w:val="00272449"/>
    <w:rsid w:val="0027250A"/>
    <w:rsid w:val="002725C1"/>
    <w:rsid w:val="00272952"/>
    <w:rsid w:val="00272A50"/>
    <w:rsid w:val="00272FFE"/>
    <w:rsid w:val="00273071"/>
    <w:rsid w:val="002730C4"/>
    <w:rsid w:val="0027331F"/>
    <w:rsid w:val="00273424"/>
    <w:rsid w:val="002735D5"/>
    <w:rsid w:val="0027394E"/>
    <w:rsid w:val="00273AEF"/>
    <w:rsid w:val="002743CC"/>
    <w:rsid w:val="00274469"/>
    <w:rsid w:val="00274A52"/>
    <w:rsid w:val="00274C38"/>
    <w:rsid w:val="00274DDD"/>
    <w:rsid w:val="00274DED"/>
    <w:rsid w:val="00275369"/>
    <w:rsid w:val="00275582"/>
    <w:rsid w:val="00275585"/>
    <w:rsid w:val="002755D2"/>
    <w:rsid w:val="0027561E"/>
    <w:rsid w:val="002756AB"/>
    <w:rsid w:val="002765C5"/>
    <w:rsid w:val="0027689E"/>
    <w:rsid w:val="00276D0C"/>
    <w:rsid w:val="00276EC7"/>
    <w:rsid w:val="00276F4E"/>
    <w:rsid w:val="00276FD2"/>
    <w:rsid w:val="0027759D"/>
    <w:rsid w:val="002776C0"/>
    <w:rsid w:val="00277904"/>
    <w:rsid w:val="0027796D"/>
    <w:rsid w:val="00277CC4"/>
    <w:rsid w:val="00277DF2"/>
    <w:rsid w:val="00277F2F"/>
    <w:rsid w:val="002800EB"/>
    <w:rsid w:val="0028041D"/>
    <w:rsid w:val="00280529"/>
    <w:rsid w:val="00280A36"/>
    <w:rsid w:val="00280F0B"/>
    <w:rsid w:val="00280F3B"/>
    <w:rsid w:val="002814ED"/>
    <w:rsid w:val="00281C53"/>
    <w:rsid w:val="00281EDA"/>
    <w:rsid w:val="00281F43"/>
    <w:rsid w:val="00281FC4"/>
    <w:rsid w:val="00282451"/>
    <w:rsid w:val="002824EC"/>
    <w:rsid w:val="002826F3"/>
    <w:rsid w:val="00283408"/>
    <w:rsid w:val="00283606"/>
    <w:rsid w:val="0028366B"/>
    <w:rsid w:val="002837F1"/>
    <w:rsid w:val="00283B76"/>
    <w:rsid w:val="00283D0C"/>
    <w:rsid w:val="00283EA9"/>
    <w:rsid w:val="00283F74"/>
    <w:rsid w:val="00284456"/>
    <w:rsid w:val="002849F1"/>
    <w:rsid w:val="00284B9E"/>
    <w:rsid w:val="0028513C"/>
    <w:rsid w:val="00285238"/>
    <w:rsid w:val="00285385"/>
    <w:rsid w:val="002857D1"/>
    <w:rsid w:val="0028581F"/>
    <w:rsid w:val="002858F5"/>
    <w:rsid w:val="0028612D"/>
    <w:rsid w:val="0028615C"/>
    <w:rsid w:val="00286516"/>
    <w:rsid w:val="00286644"/>
    <w:rsid w:val="00286BBD"/>
    <w:rsid w:val="0028764D"/>
    <w:rsid w:val="002879B4"/>
    <w:rsid w:val="002879F8"/>
    <w:rsid w:val="00287EC9"/>
    <w:rsid w:val="00287F32"/>
    <w:rsid w:val="002900A4"/>
    <w:rsid w:val="00290374"/>
    <w:rsid w:val="0029093D"/>
    <w:rsid w:val="00291000"/>
    <w:rsid w:val="002910D0"/>
    <w:rsid w:val="002913B5"/>
    <w:rsid w:val="00291509"/>
    <w:rsid w:val="0029192B"/>
    <w:rsid w:val="00292284"/>
    <w:rsid w:val="00292442"/>
    <w:rsid w:val="0029279C"/>
    <w:rsid w:val="00292912"/>
    <w:rsid w:val="00292BA1"/>
    <w:rsid w:val="00293350"/>
    <w:rsid w:val="0029337F"/>
    <w:rsid w:val="002933C6"/>
    <w:rsid w:val="0029352D"/>
    <w:rsid w:val="002935D3"/>
    <w:rsid w:val="002937BA"/>
    <w:rsid w:val="00293D77"/>
    <w:rsid w:val="00293D87"/>
    <w:rsid w:val="00294A5A"/>
    <w:rsid w:val="00294B5F"/>
    <w:rsid w:val="00294DEA"/>
    <w:rsid w:val="00295293"/>
    <w:rsid w:val="00295344"/>
    <w:rsid w:val="002953E2"/>
    <w:rsid w:val="0029569F"/>
    <w:rsid w:val="00295782"/>
    <w:rsid w:val="0029589D"/>
    <w:rsid w:val="00295B3C"/>
    <w:rsid w:val="002961EC"/>
    <w:rsid w:val="002967C0"/>
    <w:rsid w:val="002968A7"/>
    <w:rsid w:val="002969F7"/>
    <w:rsid w:val="00296ABF"/>
    <w:rsid w:val="00296C8A"/>
    <w:rsid w:val="0029787B"/>
    <w:rsid w:val="00297C2D"/>
    <w:rsid w:val="00297DCD"/>
    <w:rsid w:val="00297DEF"/>
    <w:rsid w:val="002A0A44"/>
    <w:rsid w:val="002A101F"/>
    <w:rsid w:val="002A11B8"/>
    <w:rsid w:val="002A143D"/>
    <w:rsid w:val="002A175E"/>
    <w:rsid w:val="002A1929"/>
    <w:rsid w:val="002A1ACC"/>
    <w:rsid w:val="002A1B28"/>
    <w:rsid w:val="002A20ED"/>
    <w:rsid w:val="002A2306"/>
    <w:rsid w:val="002A2863"/>
    <w:rsid w:val="002A289A"/>
    <w:rsid w:val="002A28F6"/>
    <w:rsid w:val="002A2A7D"/>
    <w:rsid w:val="002A2B2E"/>
    <w:rsid w:val="002A32B7"/>
    <w:rsid w:val="002A32EC"/>
    <w:rsid w:val="002A3790"/>
    <w:rsid w:val="002A3B79"/>
    <w:rsid w:val="002A3D38"/>
    <w:rsid w:val="002A3D3F"/>
    <w:rsid w:val="002A4079"/>
    <w:rsid w:val="002A4849"/>
    <w:rsid w:val="002A48F8"/>
    <w:rsid w:val="002A4E2C"/>
    <w:rsid w:val="002A4E64"/>
    <w:rsid w:val="002A51F5"/>
    <w:rsid w:val="002A56DC"/>
    <w:rsid w:val="002A583F"/>
    <w:rsid w:val="002A5B64"/>
    <w:rsid w:val="002A5F79"/>
    <w:rsid w:val="002A663F"/>
    <w:rsid w:val="002A6741"/>
    <w:rsid w:val="002A6753"/>
    <w:rsid w:val="002A6793"/>
    <w:rsid w:val="002A693E"/>
    <w:rsid w:val="002A6B35"/>
    <w:rsid w:val="002A6E81"/>
    <w:rsid w:val="002A6ED3"/>
    <w:rsid w:val="002A7192"/>
    <w:rsid w:val="002A7358"/>
    <w:rsid w:val="002A73A1"/>
    <w:rsid w:val="002A75ED"/>
    <w:rsid w:val="002A7A38"/>
    <w:rsid w:val="002A7C4F"/>
    <w:rsid w:val="002A7D81"/>
    <w:rsid w:val="002B0258"/>
    <w:rsid w:val="002B0410"/>
    <w:rsid w:val="002B0E48"/>
    <w:rsid w:val="002B118F"/>
    <w:rsid w:val="002B169A"/>
    <w:rsid w:val="002B1929"/>
    <w:rsid w:val="002B226C"/>
    <w:rsid w:val="002B23F8"/>
    <w:rsid w:val="002B2486"/>
    <w:rsid w:val="002B3898"/>
    <w:rsid w:val="002B3A31"/>
    <w:rsid w:val="002B3B47"/>
    <w:rsid w:val="002B3D9E"/>
    <w:rsid w:val="002B3DE3"/>
    <w:rsid w:val="002B3EDC"/>
    <w:rsid w:val="002B3FAD"/>
    <w:rsid w:val="002B3FC5"/>
    <w:rsid w:val="002B4097"/>
    <w:rsid w:val="002B4A7C"/>
    <w:rsid w:val="002B50E8"/>
    <w:rsid w:val="002B5155"/>
    <w:rsid w:val="002B516B"/>
    <w:rsid w:val="002B5289"/>
    <w:rsid w:val="002B5309"/>
    <w:rsid w:val="002B548C"/>
    <w:rsid w:val="002B57CB"/>
    <w:rsid w:val="002B59DF"/>
    <w:rsid w:val="002B5FA4"/>
    <w:rsid w:val="002B63F7"/>
    <w:rsid w:val="002B6519"/>
    <w:rsid w:val="002B672A"/>
    <w:rsid w:val="002B67B5"/>
    <w:rsid w:val="002B6AB7"/>
    <w:rsid w:val="002B6B22"/>
    <w:rsid w:val="002B6B84"/>
    <w:rsid w:val="002B6CB7"/>
    <w:rsid w:val="002B7185"/>
    <w:rsid w:val="002B742D"/>
    <w:rsid w:val="002B7560"/>
    <w:rsid w:val="002B789C"/>
    <w:rsid w:val="002B78E8"/>
    <w:rsid w:val="002B790E"/>
    <w:rsid w:val="002B79CD"/>
    <w:rsid w:val="002B7A13"/>
    <w:rsid w:val="002B7A53"/>
    <w:rsid w:val="002B7B5A"/>
    <w:rsid w:val="002B7C6A"/>
    <w:rsid w:val="002C02B3"/>
    <w:rsid w:val="002C0506"/>
    <w:rsid w:val="002C089E"/>
    <w:rsid w:val="002C0AAE"/>
    <w:rsid w:val="002C0F06"/>
    <w:rsid w:val="002C111D"/>
    <w:rsid w:val="002C16AA"/>
    <w:rsid w:val="002C192A"/>
    <w:rsid w:val="002C19FC"/>
    <w:rsid w:val="002C1B8D"/>
    <w:rsid w:val="002C1C1E"/>
    <w:rsid w:val="002C1C66"/>
    <w:rsid w:val="002C26A6"/>
    <w:rsid w:val="002C2A75"/>
    <w:rsid w:val="002C2A9D"/>
    <w:rsid w:val="002C2AF8"/>
    <w:rsid w:val="002C2D67"/>
    <w:rsid w:val="002C2FA6"/>
    <w:rsid w:val="002C32ED"/>
    <w:rsid w:val="002C34D4"/>
    <w:rsid w:val="002C351F"/>
    <w:rsid w:val="002C37A5"/>
    <w:rsid w:val="002C3D04"/>
    <w:rsid w:val="002C3F18"/>
    <w:rsid w:val="002C415F"/>
    <w:rsid w:val="002C43C1"/>
    <w:rsid w:val="002C451B"/>
    <w:rsid w:val="002C497D"/>
    <w:rsid w:val="002C4A16"/>
    <w:rsid w:val="002C5224"/>
    <w:rsid w:val="002C537E"/>
    <w:rsid w:val="002C55A7"/>
    <w:rsid w:val="002C562E"/>
    <w:rsid w:val="002C5958"/>
    <w:rsid w:val="002C5977"/>
    <w:rsid w:val="002C5B24"/>
    <w:rsid w:val="002C5D9A"/>
    <w:rsid w:val="002C6753"/>
    <w:rsid w:val="002C6858"/>
    <w:rsid w:val="002C687F"/>
    <w:rsid w:val="002C6A8A"/>
    <w:rsid w:val="002C71C2"/>
    <w:rsid w:val="002C7622"/>
    <w:rsid w:val="002C76FE"/>
    <w:rsid w:val="002D0287"/>
    <w:rsid w:val="002D07E4"/>
    <w:rsid w:val="002D0ACB"/>
    <w:rsid w:val="002D0C0F"/>
    <w:rsid w:val="002D0E6A"/>
    <w:rsid w:val="002D1071"/>
    <w:rsid w:val="002D10C1"/>
    <w:rsid w:val="002D11F9"/>
    <w:rsid w:val="002D13C4"/>
    <w:rsid w:val="002D1666"/>
    <w:rsid w:val="002D1895"/>
    <w:rsid w:val="002D1950"/>
    <w:rsid w:val="002D1BB5"/>
    <w:rsid w:val="002D1E63"/>
    <w:rsid w:val="002D21C9"/>
    <w:rsid w:val="002D2299"/>
    <w:rsid w:val="002D2577"/>
    <w:rsid w:val="002D28BC"/>
    <w:rsid w:val="002D2A80"/>
    <w:rsid w:val="002D2AB4"/>
    <w:rsid w:val="002D2D1D"/>
    <w:rsid w:val="002D36D8"/>
    <w:rsid w:val="002D37CF"/>
    <w:rsid w:val="002D3849"/>
    <w:rsid w:val="002D39A6"/>
    <w:rsid w:val="002D3FCF"/>
    <w:rsid w:val="002D43E9"/>
    <w:rsid w:val="002D465A"/>
    <w:rsid w:val="002D46FC"/>
    <w:rsid w:val="002D4B23"/>
    <w:rsid w:val="002D4B84"/>
    <w:rsid w:val="002D51F5"/>
    <w:rsid w:val="002D56C3"/>
    <w:rsid w:val="002D570E"/>
    <w:rsid w:val="002D57C3"/>
    <w:rsid w:val="002D58C0"/>
    <w:rsid w:val="002D63E5"/>
    <w:rsid w:val="002D66AE"/>
    <w:rsid w:val="002D6702"/>
    <w:rsid w:val="002D7264"/>
    <w:rsid w:val="002D74AE"/>
    <w:rsid w:val="002D76E1"/>
    <w:rsid w:val="002D7715"/>
    <w:rsid w:val="002D7AA5"/>
    <w:rsid w:val="002D7AE2"/>
    <w:rsid w:val="002D7C20"/>
    <w:rsid w:val="002D7C91"/>
    <w:rsid w:val="002D7E9D"/>
    <w:rsid w:val="002E03B0"/>
    <w:rsid w:val="002E082E"/>
    <w:rsid w:val="002E0969"/>
    <w:rsid w:val="002E0AEB"/>
    <w:rsid w:val="002E0E9D"/>
    <w:rsid w:val="002E0ED2"/>
    <w:rsid w:val="002E1116"/>
    <w:rsid w:val="002E150D"/>
    <w:rsid w:val="002E175E"/>
    <w:rsid w:val="002E1811"/>
    <w:rsid w:val="002E1912"/>
    <w:rsid w:val="002E1F11"/>
    <w:rsid w:val="002E208C"/>
    <w:rsid w:val="002E22BE"/>
    <w:rsid w:val="002E2971"/>
    <w:rsid w:val="002E2CAE"/>
    <w:rsid w:val="002E2E94"/>
    <w:rsid w:val="002E3000"/>
    <w:rsid w:val="002E30D0"/>
    <w:rsid w:val="002E32D6"/>
    <w:rsid w:val="002E34C5"/>
    <w:rsid w:val="002E3779"/>
    <w:rsid w:val="002E3829"/>
    <w:rsid w:val="002E38D4"/>
    <w:rsid w:val="002E390E"/>
    <w:rsid w:val="002E398C"/>
    <w:rsid w:val="002E3B71"/>
    <w:rsid w:val="002E4055"/>
    <w:rsid w:val="002E442F"/>
    <w:rsid w:val="002E4435"/>
    <w:rsid w:val="002E48F9"/>
    <w:rsid w:val="002E4B59"/>
    <w:rsid w:val="002E4B6A"/>
    <w:rsid w:val="002E4BB9"/>
    <w:rsid w:val="002E4D2E"/>
    <w:rsid w:val="002E4E4D"/>
    <w:rsid w:val="002E5070"/>
    <w:rsid w:val="002E5117"/>
    <w:rsid w:val="002E5133"/>
    <w:rsid w:val="002E5553"/>
    <w:rsid w:val="002E563E"/>
    <w:rsid w:val="002E5D33"/>
    <w:rsid w:val="002E5E0C"/>
    <w:rsid w:val="002E5E64"/>
    <w:rsid w:val="002E5F4C"/>
    <w:rsid w:val="002E6010"/>
    <w:rsid w:val="002E6243"/>
    <w:rsid w:val="002E6414"/>
    <w:rsid w:val="002E6528"/>
    <w:rsid w:val="002E687B"/>
    <w:rsid w:val="002E6966"/>
    <w:rsid w:val="002E6A86"/>
    <w:rsid w:val="002E6B56"/>
    <w:rsid w:val="002E6E99"/>
    <w:rsid w:val="002E6EBA"/>
    <w:rsid w:val="002E71F0"/>
    <w:rsid w:val="002E721A"/>
    <w:rsid w:val="002E7557"/>
    <w:rsid w:val="002E758E"/>
    <w:rsid w:val="002E7D3A"/>
    <w:rsid w:val="002E7DAC"/>
    <w:rsid w:val="002E7E91"/>
    <w:rsid w:val="002F0221"/>
    <w:rsid w:val="002F07A6"/>
    <w:rsid w:val="002F083A"/>
    <w:rsid w:val="002F08F7"/>
    <w:rsid w:val="002F0C54"/>
    <w:rsid w:val="002F1086"/>
    <w:rsid w:val="002F12F6"/>
    <w:rsid w:val="002F172C"/>
    <w:rsid w:val="002F1827"/>
    <w:rsid w:val="002F18BC"/>
    <w:rsid w:val="002F1C48"/>
    <w:rsid w:val="002F1E3D"/>
    <w:rsid w:val="002F1EE5"/>
    <w:rsid w:val="002F1F39"/>
    <w:rsid w:val="002F28CA"/>
    <w:rsid w:val="002F2BF3"/>
    <w:rsid w:val="002F2CC0"/>
    <w:rsid w:val="002F2F30"/>
    <w:rsid w:val="002F34FF"/>
    <w:rsid w:val="002F3557"/>
    <w:rsid w:val="002F3700"/>
    <w:rsid w:val="002F3731"/>
    <w:rsid w:val="002F394E"/>
    <w:rsid w:val="002F3A06"/>
    <w:rsid w:val="002F3C31"/>
    <w:rsid w:val="002F3E0E"/>
    <w:rsid w:val="002F41ED"/>
    <w:rsid w:val="002F46F6"/>
    <w:rsid w:val="002F4BF6"/>
    <w:rsid w:val="002F4D96"/>
    <w:rsid w:val="002F57CF"/>
    <w:rsid w:val="002F5DBA"/>
    <w:rsid w:val="002F647B"/>
    <w:rsid w:val="002F64BD"/>
    <w:rsid w:val="002F6842"/>
    <w:rsid w:val="002F6F06"/>
    <w:rsid w:val="002F6FC1"/>
    <w:rsid w:val="002F7A09"/>
    <w:rsid w:val="002F7D0A"/>
    <w:rsid w:val="0030042B"/>
    <w:rsid w:val="00300A07"/>
    <w:rsid w:val="00300BB3"/>
    <w:rsid w:val="00300EF3"/>
    <w:rsid w:val="00300F87"/>
    <w:rsid w:val="00301010"/>
    <w:rsid w:val="0030113D"/>
    <w:rsid w:val="003011C0"/>
    <w:rsid w:val="003013E3"/>
    <w:rsid w:val="0030147B"/>
    <w:rsid w:val="003014E0"/>
    <w:rsid w:val="00301647"/>
    <w:rsid w:val="0030192B"/>
    <w:rsid w:val="0030210B"/>
    <w:rsid w:val="0030259D"/>
    <w:rsid w:val="003025D9"/>
    <w:rsid w:val="003027B9"/>
    <w:rsid w:val="003027FB"/>
    <w:rsid w:val="00302862"/>
    <w:rsid w:val="00302A0C"/>
    <w:rsid w:val="00302AC0"/>
    <w:rsid w:val="00302E37"/>
    <w:rsid w:val="003032E8"/>
    <w:rsid w:val="00303416"/>
    <w:rsid w:val="003034A7"/>
    <w:rsid w:val="0030382B"/>
    <w:rsid w:val="0030427C"/>
    <w:rsid w:val="00304755"/>
    <w:rsid w:val="0030480D"/>
    <w:rsid w:val="00304BA0"/>
    <w:rsid w:val="00304C2F"/>
    <w:rsid w:val="00304D73"/>
    <w:rsid w:val="00304E09"/>
    <w:rsid w:val="00304F92"/>
    <w:rsid w:val="0030520A"/>
    <w:rsid w:val="003053AB"/>
    <w:rsid w:val="003053F1"/>
    <w:rsid w:val="0030541D"/>
    <w:rsid w:val="00305425"/>
    <w:rsid w:val="0030557B"/>
    <w:rsid w:val="00305A38"/>
    <w:rsid w:val="00305A48"/>
    <w:rsid w:val="00305B14"/>
    <w:rsid w:val="00305BBD"/>
    <w:rsid w:val="00305CCA"/>
    <w:rsid w:val="003060A8"/>
    <w:rsid w:val="003068C6"/>
    <w:rsid w:val="00306FAA"/>
    <w:rsid w:val="00307495"/>
    <w:rsid w:val="0030765F"/>
    <w:rsid w:val="00307CB4"/>
    <w:rsid w:val="00307DA5"/>
    <w:rsid w:val="003103D6"/>
    <w:rsid w:val="0031041C"/>
    <w:rsid w:val="00310ACC"/>
    <w:rsid w:val="00310C7E"/>
    <w:rsid w:val="003112D0"/>
    <w:rsid w:val="00311305"/>
    <w:rsid w:val="0031139D"/>
    <w:rsid w:val="003116EA"/>
    <w:rsid w:val="00311875"/>
    <w:rsid w:val="00311957"/>
    <w:rsid w:val="003119EB"/>
    <w:rsid w:val="00311AF6"/>
    <w:rsid w:val="00311BEF"/>
    <w:rsid w:val="0031211F"/>
    <w:rsid w:val="00312311"/>
    <w:rsid w:val="003125C4"/>
    <w:rsid w:val="0031265E"/>
    <w:rsid w:val="0031266F"/>
    <w:rsid w:val="00312705"/>
    <w:rsid w:val="00312D06"/>
    <w:rsid w:val="00312D6D"/>
    <w:rsid w:val="00312D8A"/>
    <w:rsid w:val="00312E6E"/>
    <w:rsid w:val="00313193"/>
    <w:rsid w:val="003133E2"/>
    <w:rsid w:val="003134AD"/>
    <w:rsid w:val="003134B9"/>
    <w:rsid w:val="003135C6"/>
    <w:rsid w:val="00313F8A"/>
    <w:rsid w:val="00314462"/>
    <w:rsid w:val="00314932"/>
    <w:rsid w:val="00314A41"/>
    <w:rsid w:val="00314D7E"/>
    <w:rsid w:val="00314EFD"/>
    <w:rsid w:val="00315198"/>
    <w:rsid w:val="00315A38"/>
    <w:rsid w:val="00315B1B"/>
    <w:rsid w:val="00315DC5"/>
    <w:rsid w:val="003161A7"/>
    <w:rsid w:val="00316359"/>
    <w:rsid w:val="003163EC"/>
    <w:rsid w:val="003164DF"/>
    <w:rsid w:val="0031696C"/>
    <w:rsid w:val="00316DFD"/>
    <w:rsid w:val="00316E1B"/>
    <w:rsid w:val="00316EE4"/>
    <w:rsid w:val="003172A7"/>
    <w:rsid w:val="00317666"/>
    <w:rsid w:val="00317896"/>
    <w:rsid w:val="00317D2D"/>
    <w:rsid w:val="00317F8A"/>
    <w:rsid w:val="003202E1"/>
    <w:rsid w:val="003203CF"/>
    <w:rsid w:val="003206A6"/>
    <w:rsid w:val="003209D0"/>
    <w:rsid w:val="00320BBE"/>
    <w:rsid w:val="00321173"/>
    <w:rsid w:val="00321A79"/>
    <w:rsid w:val="00321E34"/>
    <w:rsid w:val="00321EFF"/>
    <w:rsid w:val="00322212"/>
    <w:rsid w:val="0032241C"/>
    <w:rsid w:val="00322709"/>
    <w:rsid w:val="00322719"/>
    <w:rsid w:val="003232AE"/>
    <w:rsid w:val="00323544"/>
    <w:rsid w:val="0032379C"/>
    <w:rsid w:val="00323AE8"/>
    <w:rsid w:val="00323DCF"/>
    <w:rsid w:val="00323FCF"/>
    <w:rsid w:val="00324524"/>
    <w:rsid w:val="003246B7"/>
    <w:rsid w:val="00324CE9"/>
    <w:rsid w:val="00325018"/>
    <w:rsid w:val="00325069"/>
    <w:rsid w:val="003255AE"/>
    <w:rsid w:val="00325A9E"/>
    <w:rsid w:val="00325D1E"/>
    <w:rsid w:val="00325D42"/>
    <w:rsid w:val="00325E0A"/>
    <w:rsid w:val="00325EAD"/>
    <w:rsid w:val="003261B0"/>
    <w:rsid w:val="003261C8"/>
    <w:rsid w:val="00326486"/>
    <w:rsid w:val="0032688E"/>
    <w:rsid w:val="00326BA2"/>
    <w:rsid w:val="00326E64"/>
    <w:rsid w:val="00326E73"/>
    <w:rsid w:val="00327025"/>
    <w:rsid w:val="00327185"/>
    <w:rsid w:val="003272E2"/>
    <w:rsid w:val="00327350"/>
    <w:rsid w:val="003273AB"/>
    <w:rsid w:val="003274A3"/>
    <w:rsid w:val="003275BC"/>
    <w:rsid w:val="00327882"/>
    <w:rsid w:val="003301E3"/>
    <w:rsid w:val="00330212"/>
    <w:rsid w:val="00330374"/>
    <w:rsid w:val="003303E8"/>
    <w:rsid w:val="0033066A"/>
    <w:rsid w:val="003306A2"/>
    <w:rsid w:val="003306D5"/>
    <w:rsid w:val="0033075A"/>
    <w:rsid w:val="003307A5"/>
    <w:rsid w:val="0033086A"/>
    <w:rsid w:val="003308FA"/>
    <w:rsid w:val="00330A26"/>
    <w:rsid w:val="00330D46"/>
    <w:rsid w:val="00330FB0"/>
    <w:rsid w:val="003311D1"/>
    <w:rsid w:val="00331625"/>
    <w:rsid w:val="003317BC"/>
    <w:rsid w:val="003318C2"/>
    <w:rsid w:val="0033192C"/>
    <w:rsid w:val="00331930"/>
    <w:rsid w:val="00331931"/>
    <w:rsid w:val="00331B78"/>
    <w:rsid w:val="003320A8"/>
    <w:rsid w:val="00332259"/>
    <w:rsid w:val="0033228D"/>
    <w:rsid w:val="00332444"/>
    <w:rsid w:val="00332BAF"/>
    <w:rsid w:val="00332E42"/>
    <w:rsid w:val="003337C6"/>
    <w:rsid w:val="0033392D"/>
    <w:rsid w:val="00333AD2"/>
    <w:rsid w:val="00333E0A"/>
    <w:rsid w:val="00333FC7"/>
    <w:rsid w:val="0033438A"/>
    <w:rsid w:val="0033440F"/>
    <w:rsid w:val="003345B8"/>
    <w:rsid w:val="003347F7"/>
    <w:rsid w:val="003349D0"/>
    <w:rsid w:val="00334FE8"/>
    <w:rsid w:val="003350EF"/>
    <w:rsid w:val="0033531D"/>
    <w:rsid w:val="00335535"/>
    <w:rsid w:val="00335638"/>
    <w:rsid w:val="00335B06"/>
    <w:rsid w:val="0033628F"/>
    <w:rsid w:val="00336EC4"/>
    <w:rsid w:val="003376A6"/>
    <w:rsid w:val="00337728"/>
    <w:rsid w:val="00337868"/>
    <w:rsid w:val="00337CC2"/>
    <w:rsid w:val="0034001C"/>
    <w:rsid w:val="00340180"/>
    <w:rsid w:val="003408F0"/>
    <w:rsid w:val="00340F60"/>
    <w:rsid w:val="00340F88"/>
    <w:rsid w:val="00341248"/>
    <w:rsid w:val="003413E3"/>
    <w:rsid w:val="00341554"/>
    <w:rsid w:val="003416B7"/>
    <w:rsid w:val="00341BEB"/>
    <w:rsid w:val="00341D4C"/>
    <w:rsid w:val="00341DF0"/>
    <w:rsid w:val="00341E60"/>
    <w:rsid w:val="00341F59"/>
    <w:rsid w:val="0034207F"/>
    <w:rsid w:val="003421B3"/>
    <w:rsid w:val="0034225D"/>
    <w:rsid w:val="00342297"/>
    <w:rsid w:val="003423B9"/>
    <w:rsid w:val="003425C3"/>
    <w:rsid w:val="00343100"/>
    <w:rsid w:val="0034334C"/>
    <w:rsid w:val="00343CDB"/>
    <w:rsid w:val="00343DDD"/>
    <w:rsid w:val="00343F93"/>
    <w:rsid w:val="003444BC"/>
    <w:rsid w:val="003448B3"/>
    <w:rsid w:val="00344913"/>
    <w:rsid w:val="0034494D"/>
    <w:rsid w:val="00344BA4"/>
    <w:rsid w:val="0034513A"/>
    <w:rsid w:val="003451DE"/>
    <w:rsid w:val="003455B8"/>
    <w:rsid w:val="0034583F"/>
    <w:rsid w:val="00345DC6"/>
    <w:rsid w:val="00345F0C"/>
    <w:rsid w:val="003468A8"/>
    <w:rsid w:val="00346ADF"/>
    <w:rsid w:val="00347812"/>
    <w:rsid w:val="00347903"/>
    <w:rsid w:val="00347969"/>
    <w:rsid w:val="00347A2D"/>
    <w:rsid w:val="00347D00"/>
    <w:rsid w:val="00347D85"/>
    <w:rsid w:val="00347F8F"/>
    <w:rsid w:val="00347FAD"/>
    <w:rsid w:val="003501F6"/>
    <w:rsid w:val="00350274"/>
    <w:rsid w:val="003503DE"/>
    <w:rsid w:val="00350439"/>
    <w:rsid w:val="0035068B"/>
    <w:rsid w:val="003506A8"/>
    <w:rsid w:val="00350A48"/>
    <w:rsid w:val="00350A77"/>
    <w:rsid w:val="00350F1C"/>
    <w:rsid w:val="003513EB"/>
    <w:rsid w:val="00351996"/>
    <w:rsid w:val="00351A85"/>
    <w:rsid w:val="00351C4F"/>
    <w:rsid w:val="00351E91"/>
    <w:rsid w:val="0035206E"/>
    <w:rsid w:val="003524AE"/>
    <w:rsid w:val="003525CD"/>
    <w:rsid w:val="0035271A"/>
    <w:rsid w:val="003527DA"/>
    <w:rsid w:val="00352A57"/>
    <w:rsid w:val="00352C19"/>
    <w:rsid w:val="00353062"/>
    <w:rsid w:val="00353087"/>
    <w:rsid w:val="00353263"/>
    <w:rsid w:val="00353451"/>
    <w:rsid w:val="003534AD"/>
    <w:rsid w:val="003535AF"/>
    <w:rsid w:val="003536B6"/>
    <w:rsid w:val="00353849"/>
    <w:rsid w:val="00353B92"/>
    <w:rsid w:val="00353C63"/>
    <w:rsid w:val="00353EAF"/>
    <w:rsid w:val="00354113"/>
    <w:rsid w:val="00354248"/>
    <w:rsid w:val="00354896"/>
    <w:rsid w:val="00354A7F"/>
    <w:rsid w:val="00354E99"/>
    <w:rsid w:val="003555BD"/>
    <w:rsid w:val="00355826"/>
    <w:rsid w:val="003558F6"/>
    <w:rsid w:val="00355954"/>
    <w:rsid w:val="00355B90"/>
    <w:rsid w:val="00355FB8"/>
    <w:rsid w:val="00356016"/>
    <w:rsid w:val="00356026"/>
    <w:rsid w:val="003560B8"/>
    <w:rsid w:val="00356189"/>
    <w:rsid w:val="003563B4"/>
    <w:rsid w:val="00356977"/>
    <w:rsid w:val="00356A1B"/>
    <w:rsid w:val="00356A79"/>
    <w:rsid w:val="00356B5E"/>
    <w:rsid w:val="00356DAD"/>
    <w:rsid w:val="00356EC2"/>
    <w:rsid w:val="0035772B"/>
    <w:rsid w:val="00357BBC"/>
    <w:rsid w:val="00360389"/>
    <w:rsid w:val="003609C1"/>
    <w:rsid w:val="00360B2D"/>
    <w:rsid w:val="00360CD8"/>
    <w:rsid w:val="0036126C"/>
    <w:rsid w:val="003613BE"/>
    <w:rsid w:val="003614B4"/>
    <w:rsid w:val="00361695"/>
    <w:rsid w:val="00361D93"/>
    <w:rsid w:val="00361ECA"/>
    <w:rsid w:val="0036200D"/>
    <w:rsid w:val="0036205E"/>
    <w:rsid w:val="0036258B"/>
    <w:rsid w:val="00362A66"/>
    <w:rsid w:val="00362CE9"/>
    <w:rsid w:val="00363225"/>
    <w:rsid w:val="0036377B"/>
    <w:rsid w:val="00363B65"/>
    <w:rsid w:val="00363BDB"/>
    <w:rsid w:val="00363FA4"/>
    <w:rsid w:val="003643EC"/>
    <w:rsid w:val="003643FD"/>
    <w:rsid w:val="00364559"/>
    <w:rsid w:val="00364712"/>
    <w:rsid w:val="003647D8"/>
    <w:rsid w:val="00364937"/>
    <w:rsid w:val="00364B62"/>
    <w:rsid w:val="00364EB2"/>
    <w:rsid w:val="003653CE"/>
    <w:rsid w:val="0036593D"/>
    <w:rsid w:val="003659E6"/>
    <w:rsid w:val="00365CA1"/>
    <w:rsid w:val="00366E1B"/>
    <w:rsid w:val="0036747C"/>
    <w:rsid w:val="003677EF"/>
    <w:rsid w:val="00367A78"/>
    <w:rsid w:val="00367BB4"/>
    <w:rsid w:val="00367CC9"/>
    <w:rsid w:val="00367FD9"/>
    <w:rsid w:val="00370000"/>
    <w:rsid w:val="00370039"/>
    <w:rsid w:val="003704DB"/>
    <w:rsid w:val="00370A41"/>
    <w:rsid w:val="00370B73"/>
    <w:rsid w:val="00370C5B"/>
    <w:rsid w:val="00370F0F"/>
    <w:rsid w:val="00370F26"/>
    <w:rsid w:val="003710F3"/>
    <w:rsid w:val="00371144"/>
    <w:rsid w:val="00371516"/>
    <w:rsid w:val="003718ED"/>
    <w:rsid w:val="00371AF1"/>
    <w:rsid w:val="00371F61"/>
    <w:rsid w:val="00372062"/>
    <w:rsid w:val="003721C2"/>
    <w:rsid w:val="003721C7"/>
    <w:rsid w:val="003723F7"/>
    <w:rsid w:val="003724A7"/>
    <w:rsid w:val="00372603"/>
    <w:rsid w:val="003727CD"/>
    <w:rsid w:val="0037282B"/>
    <w:rsid w:val="00372C21"/>
    <w:rsid w:val="00372EB8"/>
    <w:rsid w:val="003731E8"/>
    <w:rsid w:val="00373377"/>
    <w:rsid w:val="0037380D"/>
    <w:rsid w:val="003739E5"/>
    <w:rsid w:val="00373FDB"/>
    <w:rsid w:val="003741C4"/>
    <w:rsid w:val="00374517"/>
    <w:rsid w:val="00374AC2"/>
    <w:rsid w:val="00374C2B"/>
    <w:rsid w:val="00374E4C"/>
    <w:rsid w:val="0037500A"/>
    <w:rsid w:val="003751A7"/>
    <w:rsid w:val="003753F7"/>
    <w:rsid w:val="003756A1"/>
    <w:rsid w:val="00375A74"/>
    <w:rsid w:val="00375DE3"/>
    <w:rsid w:val="00376123"/>
    <w:rsid w:val="00376262"/>
    <w:rsid w:val="003763C4"/>
    <w:rsid w:val="0037671D"/>
    <w:rsid w:val="00376759"/>
    <w:rsid w:val="00376D76"/>
    <w:rsid w:val="00376F48"/>
    <w:rsid w:val="00376FAE"/>
    <w:rsid w:val="003771DD"/>
    <w:rsid w:val="0037727C"/>
    <w:rsid w:val="003772DD"/>
    <w:rsid w:val="003772E2"/>
    <w:rsid w:val="0037741B"/>
    <w:rsid w:val="00380227"/>
    <w:rsid w:val="00380315"/>
    <w:rsid w:val="003803CA"/>
    <w:rsid w:val="00380438"/>
    <w:rsid w:val="00380518"/>
    <w:rsid w:val="0038051D"/>
    <w:rsid w:val="00380EA8"/>
    <w:rsid w:val="00381C4C"/>
    <w:rsid w:val="00381F7A"/>
    <w:rsid w:val="00382014"/>
    <w:rsid w:val="00382374"/>
    <w:rsid w:val="003824AA"/>
    <w:rsid w:val="00382CE0"/>
    <w:rsid w:val="00383106"/>
    <w:rsid w:val="003835E5"/>
    <w:rsid w:val="00383FF6"/>
    <w:rsid w:val="00384ADF"/>
    <w:rsid w:val="00384C4C"/>
    <w:rsid w:val="00384DD2"/>
    <w:rsid w:val="003853F7"/>
    <w:rsid w:val="0038559E"/>
    <w:rsid w:val="003855C9"/>
    <w:rsid w:val="00385A6C"/>
    <w:rsid w:val="00385A9B"/>
    <w:rsid w:val="00385C14"/>
    <w:rsid w:val="00385F48"/>
    <w:rsid w:val="00386001"/>
    <w:rsid w:val="00386095"/>
    <w:rsid w:val="00386C9A"/>
    <w:rsid w:val="00387193"/>
    <w:rsid w:val="00387507"/>
    <w:rsid w:val="00387786"/>
    <w:rsid w:val="003877C3"/>
    <w:rsid w:val="00387E34"/>
    <w:rsid w:val="00387F3E"/>
    <w:rsid w:val="00390320"/>
    <w:rsid w:val="003906BF"/>
    <w:rsid w:val="0039100D"/>
    <w:rsid w:val="003913EE"/>
    <w:rsid w:val="00391437"/>
    <w:rsid w:val="00391594"/>
    <w:rsid w:val="00391670"/>
    <w:rsid w:val="003916FE"/>
    <w:rsid w:val="00391F87"/>
    <w:rsid w:val="003922D4"/>
    <w:rsid w:val="003922DB"/>
    <w:rsid w:val="0039268C"/>
    <w:rsid w:val="00392BCC"/>
    <w:rsid w:val="00392D56"/>
    <w:rsid w:val="0039324F"/>
    <w:rsid w:val="003932BA"/>
    <w:rsid w:val="0039343C"/>
    <w:rsid w:val="00393866"/>
    <w:rsid w:val="00393A64"/>
    <w:rsid w:val="00393C21"/>
    <w:rsid w:val="00393FAA"/>
    <w:rsid w:val="00393FEF"/>
    <w:rsid w:val="0039415F"/>
    <w:rsid w:val="00394611"/>
    <w:rsid w:val="0039477E"/>
    <w:rsid w:val="00394C30"/>
    <w:rsid w:val="00394FF5"/>
    <w:rsid w:val="003954A4"/>
    <w:rsid w:val="0039563E"/>
    <w:rsid w:val="003956D1"/>
    <w:rsid w:val="003957B2"/>
    <w:rsid w:val="00395B3A"/>
    <w:rsid w:val="00395FAB"/>
    <w:rsid w:val="00396067"/>
    <w:rsid w:val="003960F6"/>
    <w:rsid w:val="0039658A"/>
    <w:rsid w:val="003965D8"/>
    <w:rsid w:val="003967C8"/>
    <w:rsid w:val="003967DB"/>
    <w:rsid w:val="003968EF"/>
    <w:rsid w:val="00396A77"/>
    <w:rsid w:val="00396CD3"/>
    <w:rsid w:val="00396CE1"/>
    <w:rsid w:val="00396D03"/>
    <w:rsid w:val="00396E29"/>
    <w:rsid w:val="00396F77"/>
    <w:rsid w:val="003972BC"/>
    <w:rsid w:val="003972DF"/>
    <w:rsid w:val="003975DB"/>
    <w:rsid w:val="003975FB"/>
    <w:rsid w:val="00397855"/>
    <w:rsid w:val="00397986"/>
    <w:rsid w:val="003979C3"/>
    <w:rsid w:val="00397BC6"/>
    <w:rsid w:val="003A0E55"/>
    <w:rsid w:val="003A1533"/>
    <w:rsid w:val="003A1557"/>
    <w:rsid w:val="003A1569"/>
    <w:rsid w:val="003A18DD"/>
    <w:rsid w:val="003A2020"/>
    <w:rsid w:val="003A20BF"/>
    <w:rsid w:val="003A2303"/>
    <w:rsid w:val="003A28B9"/>
    <w:rsid w:val="003A2917"/>
    <w:rsid w:val="003A2BFF"/>
    <w:rsid w:val="003A2D81"/>
    <w:rsid w:val="003A2E76"/>
    <w:rsid w:val="003A2FE3"/>
    <w:rsid w:val="003A300D"/>
    <w:rsid w:val="003A3175"/>
    <w:rsid w:val="003A3301"/>
    <w:rsid w:val="003A33EC"/>
    <w:rsid w:val="003A3ACA"/>
    <w:rsid w:val="003A3CE0"/>
    <w:rsid w:val="003A3D8A"/>
    <w:rsid w:val="003A3E80"/>
    <w:rsid w:val="003A3F2F"/>
    <w:rsid w:val="003A414F"/>
    <w:rsid w:val="003A41AC"/>
    <w:rsid w:val="003A4509"/>
    <w:rsid w:val="003A4666"/>
    <w:rsid w:val="003A538F"/>
    <w:rsid w:val="003A547B"/>
    <w:rsid w:val="003A547E"/>
    <w:rsid w:val="003A5648"/>
    <w:rsid w:val="003A56CE"/>
    <w:rsid w:val="003A5874"/>
    <w:rsid w:val="003A59B4"/>
    <w:rsid w:val="003A607D"/>
    <w:rsid w:val="003A62DD"/>
    <w:rsid w:val="003A62F5"/>
    <w:rsid w:val="003A63BD"/>
    <w:rsid w:val="003A66BD"/>
    <w:rsid w:val="003A6CFF"/>
    <w:rsid w:val="003A6E01"/>
    <w:rsid w:val="003A7004"/>
    <w:rsid w:val="003A716B"/>
    <w:rsid w:val="003A718A"/>
    <w:rsid w:val="003A72A2"/>
    <w:rsid w:val="003A7302"/>
    <w:rsid w:val="003A757A"/>
    <w:rsid w:val="003A7627"/>
    <w:rsid w:val="003A7AFC"/>
    <w:rsid w:val="003A7D99"/>
    <w:rsid w:val="003A7E54"/>
    <w:rsid w:val="003A7E6D"/>
    <w:rsid w:val="003B01F2"/>
    <w:rsid w:val="003B01F7"/>
    <w:rsid w:val="003B048E"/>
    <w:rsid w:val="003B092E"/>
    <w:rsid w:val="003B0FCB"/>
    <w:rsid w:val="003B1A31"/>
    <w:rsid w:val="003B1B1A"/>
    <w:rsid w:val="003B1CE3"/>
    <w:rsid w:val="003B1D62"/>
    <w:rsid w:val="003B1E0A"/>
    <w:rsid w:val="003B2500"/>
    <w:rsid w:val="003B259C"/>
    <w:rsid w:val="003B2D8F"/>
    <w:rsid w:val="003B2E0D"/>
    <w:rsid w:val="003B2F4B"/>
    <w:rsid w:val="003B3211"/>
    <w:rsid w:val="003B35A8"/>
    <w:rsid w:val="003B3891"/>
    <w:rsid w:val="003B3A12"/>
    <w:rsid w:val="003B3E5C"/>
    <w:rsid w:val="003B443D"/>
    <w:rsid w:val="003B46F9"/>
    <w:rsid w:val="003B4713"/>
    <w:rsid w:val="003B4750"/>
    <w:rsid w:val="003B4989"/>
    <w:rsid w:val="003B4BD4"/>
    <w:rsid w:val="003B5365"/>
    <w:rsid w:val="003B53BD"/>
    <w:rsid w:val="003B59C6"/>
    <w:rsid w:val="003B5EAE"/>
    <w:rsid w:val="003B71A1"/>
    <w:rsid w:val="003B7298"/>
    <w:rsid w:val="003B74BE"/>
    <w:rsid w:val="003B75ED"/>
    <w:rsid w:val="003B7630"/>
    <w:rsid w:val="003B774C"/>
    <w:rsid w:val="003B7771"/>
    <w:rsid w:val="003B781C"/>
    <w:rsid w:val="003C0499"/>
    <w:rsid w:val="003C1250"/>
    <w:rsid w:val="003C1B07"/>
    <w:rsid w:val="003C1F69"/>
    <w:rsid w:val="003C2441"/>
    <w:rsid w:val="003C256E"/>
    <w:rsid w:val="003C25F9"/>
    <w:rsid w:val="003C27EC"/>
    <w:rsid w:val="003C2A9E"/>
    <w:rsid w:val="003C2BDA"/>
    <w:rsid w:val="003C2C0D"/>
    <w:rsid w:val="003C2C66"/>
    <w:rsid w:val="003C2E3E"/>
    <w:rsid w:val="003C2F0B"/>
    <w:rsid w:val="003C300B"/>
    <w:rsid w:val="003C303E"/>
    <w:rsid w:val="003C3922"/>
    <w:rsid w:val="003C3958"/>
    <w:rsid w:val="003C3A45"/>
    <w:rsid w:val="003C3B57"/>
    <w:rsid w:val="003C3F80"/>
    <w:rsid w:val="003C407D"/>
    <w:rsid w:val="003C4170"/>
    <w:rsid w:val="003C42B0"/>
    <w:rsid w:val="003C474B"/>
    <w:rsid w:val="003C4B89"/>
    <w:rsid w:val="003C5358"/>
    <w:rsid w:val="003C55DC"/>
    <w:rsid w:val="003C5DDF"/>
    <w:rsid w:val="003C5E7D"/>
    <w:rsid w:val="003C5FD9"/>
    <w:rsid w:val="003C607B"/>
    <w:rsid w:val="003C6259"/>
    <w:rsid w:val="003C65A3"/>
    <w:rsid w:val="003C67AA"/>
    <w:rsid w:val="003C6AFC"/>
    <w:rsid w:val="003C6B48"/>
    <w:rsid w:val="003C6C00"/>
    <w:rsid w:val="003C73A5"/>
    <w:rsid w:val="003C75D1"/>
    <w:rsid w:val="003C7D07"/>
    <w:rsid w:val="003D00C0"/>
    <w:rsid w:val="003D033F"/>
    <w:rsid w:val="003D04CD"/>
    <w:rsid w:val="003D0860"/>
    <w:rsid w:val="003D0991"/>
    <w:rsid w:val="003D0E3C"/>
    <w:rsid w:val="003D0EF9"/>
    <w:rsid w:val="003D10E8"/>
    <w:rsid w:val="003D1185"/>
    <w:rsid w:val="003D1216"/>
    <w:rsid w:val="003D150C"/>
    <w:rsid w:val="003D163B"/>
    <w:rsid w:val="003D17EA"/>
    <w:rsid w:val="003D1B95"/>
    <w:rsid w:val="003D1F85"/>
    <w:rsid w:val="003D2175"/>
    <w:rsid w:val="003D23FB"/>
    <w:rsid w:val="003D2616"/>
    <w:rsid w:val="003D2BEB"/>
    <w:rsid w:val="003D30C1"/>
    <w:rsid w:val="003D354F"/>
    <w:rsid w:val="003D396C"/>
    <w:rsid w:val="003D399C"/>
    <w:rsid w:val="003D39ED"/>
    <w:rsid w:val="003D3DE3"/>
    <w:rsid w:val="003D3EEE"/>
    <w:rsid w:val="003D4029"/>
    <w:rsid w:val="003D40AE"/>
    <w:rsid w:val="003D40CD"/>
    <w:rsid w:val="003D44E0"/>
    <w:rsid w:val="003D44EC"/>
    <w:rsid w:val="003D460A"/>
    <w:rsid w:val="003D4F8B"/>
    <w:rsid w:val="003D505B"/>
    <w:rsid w:val="003D513E"/>
    <w:rsid w:val="003D5307"/>
    <w:rsid w:val="003D5409"/>
    <w:rsid w:val="003D59EC"/>
    <w:rsid w:val="003D5C26"/>
    <w:rsid w:val="003D6471"/>
    <w:rsid w:val="003D65CD"/>
    <w:rsid w:val="003D66C9"/>
    <w:rsid w:val="003D6860"/>
    <w:rsid w:val="003D6902"/>
    <w:rsid w:val="003D6976"/>
    <w:rsid w:val="003D70B4"/>
    <w:rsid w:val="003D70C8"/>
    <w:rsid w:val="003D7344"/>
    <w:rsid w:val="003D76A3"/>
    <w:rsid w:val="003D770C"/>
    <w:rsid w:val="003D7C38"/>
    <w:rsid w:val="003D7F2F"/>
    <w:rsid w:val="003E0349"/>
    <w:rsid w:val="003E07D5"/>
    <w:rsid w:val="003E07EC"/>
    <w:rsid w:val="003E0F79"/>
    <w:rsid w:val="003E1279"/>
    <w:rsid w:val="003E14F3"/>
    <w:rsid w:val="003E16C9"/>
    <w:rsid w:val="003E19B3"/>
    <w:rsid w:val="003E1B66"/>
    <w:rsid w:val="003E1BAD"/>
    <w:rsid w:val="003E1C74"/>
    <w:rsid w:val="003E26E7"/>
    <w:rsid w:val="003E26EF"/>
    <w:rsid w:val="003E270E"/>
    <w:rsid w:val="003E2972"/>
    <w:rsid w:val="003E2B1D"/>
    <w:rsid w:val="003E2C45"/>
    <w:rsid w:val="003E329B"/>
    <w:rsid w:val="003E362A"/>
    <w:rsid w:val="003E389D"/>
    <w:rsid w:val="003E395E"/>
    <w:rsid w:val="003E3979"/>
    <w:rsid w:val="003E3B16"/>
    <w:rsid w:val="003E3C64"/>
    <w:rsid w:val="003E3CB4"/>
    <w:rsid w:val="003E44CB"/>
    <w:rsid w:val="003E44D9"/>
    <w:rsid w:val="003E4809"/>
    <w:rsid w:val="003E48F1"/>
    <w:rsid w:val="003E5011"/>
    <w:rsid w:val="003E55A4"/>
    <w:rsid w:val="003E55EA"/>
    <w:rsid w:val="003E577E"/>
    <w:rsid w:val="003E5A2D"/>
    <w:rsid w:val="003E5D36"/>
    <w:rsid w:val="003E6C16"/>
    <w:rsid w:val="003E70D8"/>
    <w:rsid w:val="003E721D"/>
    <w:rsid w:val="003E7911"/>
    <w:rsid w:val="003E7C13"/>
    <w:rsid w:val="003E7C5F"/>
    <w:rsid w:val="003F009A"/>
    <w:rsid w:val="003F03A0"/>
    <w:rsid w:val="003F0519"/>
    <w:rsid w:val="003F08CE"/>
    <w:rsid w:val="003F0B27"/>
    <w:rsid w:val="003F0BE8"/>
    <w:rsid w:val="003F0C6C"/>
    <w:rsid w:val="003F0EEA"/>
    <w:rsid w:val="003F1129"/>
    <w:rsid w:val="003F11F7"/>
    <w:rsid w:val="003F128F"/>
    <w:rsid w:val="003F139C"/>
    <w:rsid w:val="003F165C"/>
    <w:rsid w:val="003F1A32"/>
    <w:rsid w:val="003F1D1C"/>
    <w:rsid w:val="003F1DFD"/>
    <w:rsid w:val="003F1ED4"/>
    <w:rsid w:val="003F1F72"/>
    <w:rsid w:val="003F2B38"/>
    <w:rsid w:val="003F2E43"/>
    <w:rsid w:val="003F33A5"/>
    <w:rsid w:val="003F3506"/>
    <w:rsid w:val="003F37B1"/>
    <w:rsid w:val="003F38A2"/>
    <w:rsid w:val="003F39DC"/>
    <w:rsid w:val="003F3A15"/>
    <w:rsid w:val="003F3EA5"/>
    <w:rsid w:val="003F3FCF"/>
    <w:rsid w:val="003F41FE"/>
    <w:rsid w:val="003F492F"/>
    <w:rsid w:val="003F4A34"/>
    <w:rsid w:val="003F5238"/>
    <w:rsid w:val="003F57BF"/>
    <w:rsid w:val="003F5A35"/>
    <w:rsid w:val="003F6157"/>
    <w:rsid w:val="003F6180"/>
    <w:rsid w:val="003F6637"/>
    <w:rsid w:val="003F6BDD"/>
    <w:rsid w:val="003F6BE0"/>
    <w:rsid w:val="003F6DD1"/>
    <w:rsid w:val="003F7046"/>
    <w:rsid w:val="003F70B2"/>
    <w:rsid w:val="003F7155"/>
    <w:rsid w:val="003F733C"/>
    <w:rsid w:val="003F74D1"/>
    <w:rsid w:val="003F782D"/>
    <w:rsid w:val="003F7C1A"/>
    <w:rsid w:val="003F7EFB"/>
    <w:rsid w:val="004003A3"/>
    <w:rsid w:val="0040074D"/>
    <w:rsid w:val="004007D9"/>
    <w:rsid w:val="00400B73"/>
    <w:rsid w:val="00400DEE"/>
    <w:rsid w:val="0040124E"/>
    <w:rsid w:val="004012A4"/>
    <w:rsid w:val="004014F7"/>
    <w:rsid w:val="00401961"/>
    <w:rsid w:val="004020A3"/>
    <w:rsid w:val="004024A9"/>
    <w:rsid w:val="00402675"/>
    <w:rsid w:val="004028D1"/>
    <w:rsid w:val="0040292D"/>
    <w:rsid w:val="00402A47"/>
    <w:rsid w:val="00402AE8"/>
    <w:rsid w:val="00402CE5"/>
    <w:rsid w:val="00402EAF"/>
    <w:rsid w:val="004030D9"/>
    <w:rsid w:val="00403318"/>
    <w:rsid w:val="0040337A"/>
    <w:rsid w:val="004034E3"/>
    <w:rsid w:val="00403759"/>
    <w:rsid w:val="00403BA9"/>
    <w:rsid w:val="00403D9C"/>
    <w:rsid w:val="00404188"/>
    <w:rsid w:val="0040443C"/>
    <w:rsid w:val="0040447B"/>
    <w:rsid w:val="004044EE"/>
    <w:rsid w:val="0040451D"/>
    <w:rsid w:val="00404DEE"/>
    <w:rsid w:val="004058AD"/>
    <w:rsid w:val="00405DAB"/>
    <w:rsid w:val="00405E8F"/>
    <w:rsid w:val="00405EDB"/>
    <w:rsid w:val="00406393"/>
    <w:rsid w:val="004065AA"/>
    <w:rsid w:val="00406B0B"/>
    <w:rsid w:val="00406E7C"/>
    <w:rsid w:val="0040743E"/>
    <w:rsid w:val="00407556"/>
    <w:rsid w:val="004075FA"/>
    <w:rsid w:val="0040777B"/>
    <w:rsid w:val="00407797"/>
    <w:rsid w:val="00407885"/>
    <w:rsid w:val="004078B2"/>
    <w:rsid w:val="00407C66"/>
    <w:rsid w:val="00407D31"/>
    <w:rsid w:val="00407E4E"/>
    <w:rsid w:val="00407FAF"/>
    <w:rsid w:val="004100F3"/>
    <w:rsid w:val="00410155"/>
    <w:rsid w:val="0041128D"/>
    <w:rsid w:val="00411391"/>
    <w:rsid w:val="0041172C"/>
    <w:rsid w:val="0041196B"/>
    <w:rsid w:val="004119D2"/>
    <w:rsid w:val="00411F88"/>
    <w:rsid w:val="0041227A"/>
    <w:rsid w:val="00412C21"/>
    <w:rsid w:val="0041304B"/>
    <w:rsid w:val="004130AC"/>
    <w:rsid w:val="00413341"/>
    <w:rsid w:val="00413377"/>
    <w:rsid w:val="0041351C"/>
    <w:rsid w:val="00413569"/>
    <w:rsid w:val="00413C15"/>
    <w:rsid w:val="00413C6A"/>
    <w:rsid w:val="00414660"/>
    <w:rsid w:val="00414C7D"/>
    <w:rsid w:val="00414F4F"/>
    <w:rsid w:val="004150D5"/>
    <w:rsid w:val="00415D09"/>
    <w:rsid w:val="00416180"/>
    <w:rsid w:val="004167D1"/>
    <w:rsid w:val="00417039"/>
    <w:rsid w:val="00417333"/>
    <w:rsid w:val="004176EC"/>
    <w:rsid w:val="0041774B"/>
    <w:rsid w:val="004177ED"/>
    <w:rsid w:val="004178B0"/>
    <w:rsid w:val="00417942"/>
    <w:rsid w:val="00417BD6"/>
    <w:rsid w:val="00417C30"/>
    <w:rsid w:val="00417DBF"/>
    <w:rsid w:val="00417EB9"/>
    <w:rsid w:val="00417EBE"/>
    <w:rsid w:val="00417F5B"/>
    <w:rsid w:val="00420661"/>
    <w:rsid w:val="00420685"/>
    <w:rsid w:val="00420898"/>
    <w:rsid w:val="00420A2D"/>
    <w:rsid w:val="00420D0D"/>
    <w:rsid w:val="00421247"/>
    <w:rsid w:val="004217F8"/>
    <w:rsid w:val="00421874"/>
    <w:rsid w:val="00421A13"/>
    <w:rsid w:val="00421E70"/>
    <w:rsid w:val="00421F6A"/>
    <w:rsid w:val="004222BA"/>
    <w:rsid w:val="0042235F"/>
    <w:rsid w:val="004223DD"/>
    <w:rsid w:val="0042274A"/>
    <w:rsid w:val="004229AD"/>
    <w:rsid w:val="00422CBB"/>
    <w:rsid w:val="00422D86"/>
    <w:rsid w:val="00422EEB"/>
    <w:rsid w:val="004235FA"/>
    <w:rsid w:val="0042380F"/>
    <w:rsid w:val="00423B7B"/>
    <w:rsid w:val="00423BC4"/>
    <w:rsid w:val="00423F1F"/>
    <w:rsid w:val="0042404A"/>
    <w:rsid w:val="0042473E"/>
    <w:rsid w:val="004247A7"/>
    <w:rsid w:val="00424E7D"/>
    <w:rsid w:val="0042507C"/>
    <w:rsid w:val="004253CE"/>
    <w:rsid w:val="0042583F"/>
    <w:rsid w:val="004258C8"/>
    <w:rsid w:val="0042596B"/>
    <w:rsid w:val="00425B38"/>
    <w:rsid w:val="00425DF0"/>
    <w:rsid w:val="00425FE5"/>
    <w:rsid w:val="00426153"/>
    <w:rsid w:val="00426363"/>
    <w:rsid w:val="004266DD"/>
    <w:rsid w:val="004268A1"/>
    <w:rsid w:val="00427229"/>
    <w:rsid w:val="00427C15"/>
    <w:rsid w:val="00427E8E"/>
    <w:rsid w:val="0043052D"/>
    <w:rsid w:val="00430536"/>
    <w:rsid w:val="0043076C"/>
    <w:rsid w:val="00431B70"/>
    <w:rsid w:val="00431B82"/>
    <w:rsid w:val="00431B86"/>
    <w:rsid w:val="0043293F"/>
    <w:rsid w:val="00432C1E"/>
    <w:rsid w:val="00432FA6"/>
    <w:rsid w:val="0043338A"/>
    <w:rsid w:val="00433425"/>
    <w:rsid w:val="0043353A"/>
    <w:rsid w:val="0043357E"/>
    <w:rsid w:val="004335DB"/>
    <w:rsid w:val="00433D18"/>
    <w:rsid w:val="00433F43"/>
    <w:rsid w:val="00434269"/>
    <w:rsid w:val="004342DF"/>
    <w:rsid w:val="004343B1"/>
    <w:rsid w:val="0043464B"/>
    <w:rsid w:val="00436175"/>
    <w:rsid w:val="004364CA"/>
    <w:rsid w:val="00437284"/>
    <w:rsid w:val="004372CF"/>
    <w:rsid w:val="004372ED"/>
    <w:rsid w:val="00437528"/>
    <w:rsid w:val="00437842"/>
    <w:rsid w:val="00437B83"/>
    <w:rsid w:val="00437C19"/>
    <w:rsid w:val="00437C9B"/>
    <w:rsid w:val="00437EE4"/>
    <w:rsid w:val="00437F62"/>
    <w:rsid w:val="00437F6B"/>
    <w:rsid w:val="00440050"/>
    <w:rsid w:val="0044037B"/>
    <w:rsid w:val="00440730"/>
    <w:rsid w:val="004408CC"/>
    <w:rsid w:val="004409AB"/>
    <w:rsid w:val="00440AC7"/>
    <w:rsid w:val="00440DB1"/>
    <w:rsid w:val="00440E72"/>
    <w:rsid w:val="004413D3"/>
    <w:rsid w:val="0044145F"/>
    <w:rsid w:val="0044148B"/>
    <w:rsid w:val="00441AF4"/>
    <w:rsid w:val="00441CAE"/>
    <w:rsid w:val="00442594"/>
    <w:rsid w:val="00442AE1"/>
    <w:rsid w:val="00443100"/>
    <w:rsid w:val="004434F0"/>
    <w:rsid w:val="004435BE"/>
    <w:rsid w:val="004436EF"/>
    <w:rsid w:val="0044391D"/>
    <w:rsid w:val="00443968"/>
    <w:rsid w:val="00443EA6"/>
    <w:rsid w:val="004443FE"/>
    <w:rsid w:val="0044441F"/>
    <w:rsid w:val="0044446A"/>
    <w:rsid w:val="0044479A"/>
    <w:rsid w:val="004449CB"/>
    <w:rsid w:val="00444D80"/>
    <w:rsid w:val="00444F56"/>
    <w:rsid w:val="004458AB"/>
    <w:rsid w:val="0044609F"/>
    <w:rsid w:val="0044611A"/>
    <w:rsid w:val="004464C4"/>
    <w:rsid w:val="0044674B"/>
    <w:rsid w:val="0044690F"/>
    <w:rsid w:val="00446AE1"/>
    <w:rsid w:val="00446B9A"/>
    <w:rsid w:val="00446FAC"/>
    <w:rsid w:val="00447799"/>
    <w:rsid w:val="004478CC"/>
    <w:rsid w:val="00447E90"/>
    <w:rsid w:val="004506DC"/>
    <w:rsid w:val="00450714"/>
    <w:rsid w:val="0045073D"/>
    <w:rsid w:val="004508C4"/>
    <w:rsid w:val="00450CD6"/>
    <w:rsid w:val="00450E48"/>
    <w:rsid w:val="004510BF"/>
    <w:rsid w:val="004514E8"/>
    <w:rsid w:val="00451555"/>
    <w:rsid w:val="00451583"/>
    <w:rsid w:val="00451944"/>
    <w:rsid w:val="004519F8"/>
    <w:rsid w:val="00451A72"/>
    <w:rsid w:val="004521BF"/>
    <w:rsid w:val="00452258"/>
    <w:rsid w:val="00452294"/>
    <w:rsid w:val="0045232B"/>
    <w:rsid w:val="00452568"/>
    <w:rsid w:val="00452710"/>
    <w:rsid w:val="00452AEA"/>
    <w:rsid w:val="00452D57"/>
    <w:rsid w:val="00452FF2"/>
    <w:rsid w:val="0045327C"/>
    <w:rsid w:val="0045338A"/>
    <w:rsid w:val="00453399"/>
    <w:rsid w:val="0045376B"/>
    <w:rsid w:val="004537AF"/>
    <w:rsid w:val="00453D69"/>
    <w:rsid w:val="00454266"/>
    <w:rsid w:val="0045435A"/>
    <w:rsid w:val="004546C8"/>
    <w:rsid w:val="00454778"/>
    <w:rsid w:val="004547DD"/>
    <w:rsid w:val="00454C4D"/>
    <w:rsid w:val="004551B7"/>
    <w:rsid w:val="00455443"/>
    <w:rsid w:val="00455994"/>
    <w:rsid w:val="00455ADE"/>
    <w:rsid w:val="00455BE9"/>
    <w:rsid w:val="00455DEE"/>
    <w:rsid w:val="00455E9C"/>
    <w:rsid w:val="00455F67"/>
    <w:rsid w:val="004562C7"/>
    <w:rsid w:val="004567F0"/>
    <w:rsid w:val="00456CD3"/>
    <w:rsid w:val="00456F3C"/>
    <w:rsid w:val="00456F58"/>
    <w:rsid w:val="00456FC8"/>
    <w:rsid w:val="00457898"/>
    <w:rsid w:val="00457963"/>
    <w:rsid w:val="0045796F"/>
    <w:rsid w:val="00460AAD"/>
    <w:rsid w:val="00460B70"/>
    <w:rsid w:val="00460EB8"/>
    <w:rsid w:val="00460F1B"/>
    <w:rsid w:val="00461781"/>
    <w:rsid w:val="00461991"/>
    <w:rsid w:val="00461A31"/>
    <w:rsid w:val="00461CDB"/>
    <w:rsid w:val="00461D0D"/>
    <w:rsid w:val="00461EDC"/>
    <w:rsid w:val="004620B8"/>
    <w:rsid w:val="004620C7"/>
    <w:rsid w:val="004633D3"/>
    <w:rsid w:val="00463B02"/>
    <w:rsid w:val="00463E1E"/>
    <w:rsid w:val="00463FDB"/>
    <w:rsid w:val="0046413C"/>
    <w:rsid w:val="00464256"/>
    <w:rsid w:val="00464371"/>
    <w:rsid w:val="0046450A"/>
    <w:rsid w:val="004646F8"/>
    <w:rsid w:val="0046477D"/>
    <w:rsid w:val="00464803"/>
    <w:rsid w:val="00464A44"/>
    <w:rsid w:val="00464B7E"/>
    <w:rsid w:val="00464BC3"/>
    <w:rsid w:val="0046505F"/>
    <w:rsid w:val="004653ED"/>
    <w:rsid w:val="00465844"/>
    <w:rsid w:val="004659A2"/>
    <w:rsid w:val="00465D0C"/>
    <w:rsid w:val="00466199"/>
    <w:rsid w:val="0046642D"/>
    <w:rsid w:val="004664E9"/>
    <w:rsid w:val="004664F8"/>
    <w:rsid w:val="00466597"/>
    <w:rsid w:val="0046663C"/>
    <w:rsid w:val="004666C4"/>
    <w:rsid w:val="004674C9"/>
    <w:rsid w:val="00467742"/>
    <w:rsid w:val="0046795C"/>
    <w:rsid w:val="00467BF7"/>
    <w:rsid w:val="00467EF8"/>
    <w:rsid w:val="004702C6"/>
    <w:rsid w:val="00470AB1"/>
    <w:rsid w:val="00470D0E"/>
    <w:rsid w:val="00471037"/>
    <w:rsid w:val="0047142C"/>
    <w:rsid w:val="00471446"/>
    <w:rsid w:val="00471462"/>
    <w:rsid w:val="00471640"/>
    <w:rsid w:val="00471C8C"/>
    <w:rsid w:val="00471E1C"/>
    <w:rsid w:val="00471F51"/>
    <w:rsid w:val="00472303"/>
    <w:rsid w:val="004725D5"/>
    <w:rsid w:val="00472EC8"/>
    <w:rsid w:val="00472F05"/>
    <w:rsid w:val="00472F53"/>
    <w:rsid w:val="004733E9"/>
    <w:rsid w:val="0047398A"/>
    <w:rsid w:val="00473A38"/>
    <w:rsid w:val="00473C08"/>
    <w:rsid w:val="00473E4D"/>
    <w:rsid w:val="00473E66"/>
    <w:rsid w:val="00473EBE"/>
    <w:rsid w:val="00473FEF"/>
    <w:rsid w:val="0047401C"/>
    <w:rsid w:val="00474176"/>
    <w:rsid w:val="004744DC"/>
    <w:rsid w:val="00474CA4"/>
    <w:rsid w:val="00475145"/>
    <w:rsid w:val="004751CC"/>
    <w:rsid w:val="00475624"/>
    <w:rsid w:val="00475C60"/>
    <w:rsid w:val="00475E36"/>
    <w:rsid w:val="00475E4C"/>
    <w:rsid w:val="00475EE1"/>
    <w:rsid w:val="00475F2F"/>
    <w:rsid w:val="00476141"/>
    <w:rsid w:val="004763C9"/>
    <w:rsid w:val="00476715"/>
    <w:rsid w:val="00476935"/>
    <w:rsid w:val="004769E9"/>
    <w:rsid w:val="0047724B"/>
    <w:rsid w:val="0047768A"/>
    <w:rsid w:val="00477737"/>
    <w:rsid w:val="00477898"/>
    <w:rsid w:val="00477996"/>
    <w:rsid w:val="00480072"/>
    <w:rsid w:val="004800BC"/>
    <w:rsid w:val="0048013A"/>
    <w:rsid w:val="004802B8"/>
    <w:rsid w:val="00480460"/>
    <w:rsid w:val="004805F9"/>
    <w:rsid w:val="004806F0"/>
    <w:rsid w:val="00480E6D"/>
    <w:rsid w:val="00481185"/>
    <w:rsid w:val="00481609"/>
    <w:rsid w:val="00481819"/>
    <w:rsid w:val="00481A08"/>
    <w:rsid w:val="00481A96"/>
    <w:rsid w:val="00481FB8"/>
    <w:rsid w:val="00482114"/>
    <w:rsid w:val="004821CD"/>
    <w:rsid w:val="0048263F"/>
    <w:rsid w:val="004829A2"/>
    <w:rsid w:val="00482C91"/>
    <w:rsid w:val="00482D14"/>
    <w:rsid w:val="00483389"/>
    <w:rsid w:val="00483602"/>
    <w:rsid w:val="0048370C"/>
    <w:rsid w:val="00483979"/>
    <w:rsid w:val="004839FC"/>
    <w:rsid w:val="00483BD6"/>
    <w:rsid w:val="00483DE7"/>
    <w:rsid w:val="0048426F"/>
    <w:rsid w:val="00484B00"/>
    <w:rsid w:val="00484C3B"/>
    <w:rsid w:val="00484EAA"/>
    <w:rsid w:val="00484F7A"/>
    <w:rsid w:val="00484FAF"/>
    <w:rsid w:val="004853C7"/>
    <w:rsid w:val="00485885"/>
    <w:rsid w:val="004859A9"/>
    <w:rsid w:val="00485AC5"/>
    <w:rsid w:val="00485BC4"/>
    <w:rsid w:val="00485BD7"/>
    <w:rsid w:val="0048627E"/>
    <w:rsid w:val="0048634C"/>
    <w:rsid w:val="0048664A"/>
    <w:rsid w:val="0048667B"/>
    <w:rsid w:val="004868B9"/>
    <w:rsid w:val="00486A8C"/>
    <w:rsid w:val="00486ACA"/>
    <w:rsid w:val="00486D36"/>
    <w:rsid w:val="00487233"/>
    <w:rsid w:val="0048775B"/>
    <w:rsid w:val="0048775E"/>
    <w:rsid w:val="00487817"/>
    <w:rsid w:val="0048793C"/>
    <w:rsid w:val="00487A9B"/>
    <w:rsid w:val="00487AE7"/>
    <w:rsid w:val="00487AF5"/>
    <w:rsid w:val="00487B44"/>
    <w:rsid w:val="00487F4B"/>
    <w:rsid w:val="004902CA"/>
    <w:rsid w:val="00490510"/>
    <w:rsid w:val="0049053B"/>
    <w:rsid w:val="004909FC"/>
    <w:rsid w:val="00490C19"/>
    <w:rsid w:val="00490E21"/>
    <w:rsid w:val="004918EE"/>
    <w:rsid w:val="00491ADE"/>
    <w:rsid w:val="00492564"/>
    <w:rsid w:val="0049284E"/>
    <w:rsid w:val="0049331C"/>
    <w:rsid w:val="00494963"/>
    <w:rsid w:val="00494A32"/>
    <w:rsid w:val="00494D37"/>
    <w:rsid w:val="00494ECF"/>
    <w:rsid w:val="0049559B"/>
    <w:rsid w:val="00495686"/>
    <w:rsid w:val="00495709"/>
    <w:rsid w:val="00495CA7"/>
    <w:rsid w:val="00495CEB"/>
    <w:rsid w:val="00495FD9"/>
    <w:rsid w:val="00496166"/>
    <w:rsid w:val="004962DB"/>
    <w:rsid w:val="00496326"/>
    <w:rsid w:val="0049646B"/>
    <w:rsid w:val="004967B3"/>
    <w:rsid w:val="004968A0"/>
    <w:rsid w:val="004968DD"/>
    <w:rsid w:val="00496D1F"/>
    <w:rsid w:val="004A0EB5"/>
    <w:rsid w:val="004A0F91"/>
    <w:rsid w:val="004A12BC"/>
    <w:rsid w:val="004A1B13"/>
    <w:rsid w:val="004A1C1F"/>
    <w:rsid w:val="004A2AD0"/>
    <w:rsid w:val="004A32CD"/>
    <w:rsid w:val="004A3BB6"/>
    <w:rsid w:val="004A4A49"/>
    <w:rsid w:val="004A4BD9"/>
    <w:rsid w:val="004A4D43"/>
    <w:rsid w:val="004A5381"/>
    <w:rsid w:val="004A53B5"/>
    <w:rsid w:val="004A5BC2"/>
    <w:rsid w:val="004A5BCA"/>
    <w:rsid w:val="004A5CAA"/>
    <w:rsid w:val="004A5D4C"/>
    <w:rsid w:val="004A62C6"/>
    <w:rsid w:val="004A67C0"/>
    <w:rsid w:val="004A69F0"/>
    <w:rsid w:val="004A7370"/>
    <w:rsid w:val="004A76EF"/>
    <w:rsid w:val="004A78AD"/>
    <w:rsid w:val="004A7B42"/>
    <w:rsid w:val="004A7DBA"/>
    <w:rsid w:val="004A7DC4"/>
    <w:rsid w:val="004B0157"/>
    <w:rsid w:val="004B01F4"/>
    <w:rsid w:val="004B070B"/>
    <w:rsid w:val="004B0888"/>
    <w:rsid w:val="004B146F"/>
    <w:rsid w:val="004B1E72"/>
    <w:rsid w:val="004B1E98"/>
    <w:rsid w:val="004B244E"/>
    <w:rsid w:val="004B26FF"/>
    <w:rsid w:val="004B2721"/>
    <w:rsid w:val="004B2751"/>
    <w:rsid w:val="004B283C"/>
    <w:rsid w:val="004B2A47"/>
    <w:rsid w:val="004B2A74"/>
    <w:rsid w:val="004B2B8C"/>
    <w:rsid w:val="004B2C50"/>
    <w:rsid w:val="004B30AC"/>
    <w:rsid w:val="004B3119"/>
    <w:rsid w:val="004B314F"/>
    <w:rsid w:val="004B366B"/>
    <w:rsid w:val="004B4069"/>
    <w:rsid w:val="004B40AB"/>
    <w:rsid w:val="004B44C6"/>
    <w:rsid w:val="004B45E5"/>
    <w:rsid w:val="004B487F"/>
    <w:rsid w:val="004B4C55"/>
    <w:rsid w:val="004B4CE1"/>
    <w:rsid w:val="004B4E7F"/>
    <w:rsid w:val="004B4F67"/>
    <w:rsid w:val="004B4FA5"/>
    <w:rsid w:val="004B5423"/>
    <w:rsid w:val="004B5875"/>
    <w:rsid w:val="004B5C1A"/>
    <w:rsid w:val="004B5E18"/>
    <w:rsid w:val="004B6586"/>
    <w:rsid w:val="004B66AE"/>
    <w:rsid w:val="004B6F5D"/>
    <w:rsid w:val="004B70CC"/>
    <w:rsid w:val="004B7707"/>
    <w:rsid w:val="004B77DA"/>
    <w:rsid w:val="004B7AC8"/>
    <w:rsid w:val="004B7AF3"/>
    <w:rsid w:val="004C011E"/>
    <w:rsid w:val="004C03EA"/>
    <w:rsid w:val="004C04E3"/>
    <w:rsid w:val="004C06BB"/>
    <w:rsid w:val="004C06E9"/>
    <w:rsid w:val="004C076D"/>
    <w:rsid w:val="004C0AD9"/>
    <w:rsid w:val="004C0B60"/>
    <w:rsid w:val="004C0C5F"/>
    <w:rsid w:val="004C107F"/>
    <w:rsid w:val="004C118A"/>
    <w:rsid w:val="004C121C"/>
    <w:rsid w:val="004C167A"/>
    <w:rsid w:val="004C1D62"/>
    <w:rsid w:val="004C1F77"/>
    <w:rsid w:val="004C2048"/>
    <w:rsid w:val="004C2263"/>
    <w:rsid w:val="004C2276"/>
    <w:rsid w:val="004C280F"/>
    <w:rsid w:val="004C2833"/>
    <w:rsid w:val="004C2AC5"/>
    <w:rsid w:val="004C2DDE"/>
    <w:rsid w:val="004C2DF8"/>
    <w:rsid w:val="004C2EC4"/>
    <w:rsid w:val="004C300E"/>
    <w:rsid w:val="004C3163"/>
    <w:rsid w:val="004C3689"/>
    <w:rsid w:val="004C42B0"/>
    <w:rsid w:val="004C4381"/>
    <w:rsid w:val="004C43AB"/>
    <w:rsid w:val="004C440A"/>
    <w:rsid w:val="004C4632"/>
    <w:rsid w:val="004C533C"/>
    <w:rsid w:val="004C5480"/>
    <w:rsid w:val="004C578A"/>
    <w:rsid w:val="004C5BE7"/>
    <w:rsid w:val="004C5F17"/>
    <w:rsid w:val="004C630B"/>
    <w:rsid w:val="004C6494"/>
    <w:rsid w:val="004C66EB"/>
    <w:rsid w:val="004C6B29"/>
    <w:rsid w:val="004C6BD5"/>
    <w:rsid w:val="004C6C83"/>
    <w:rsid w:val="004C6E0D"/>
    <w:rsid w:val="004C708D"/>
    <w:rsid w:val="004C70ED"/>
    <w:rsid w:val="004C7146"/>
    <w:rsid w:val="004C72DA"/>
    <w:rsid w:val="004C72E4"/>
    <w:rsid w:val="004C74F2"/>
    <w:rsid w:val="004C7530"/>
    <w:rsid w:val="004C780A"/>
    <w:rsid w:val="004C7AE0"/>
    <w:rsid w:val="004C7F94"/>
    <w:rsid w:val="004D012F"/>
    <w:rsid w:val="004D0362"/>
    <w:rsid w:val="004D05E5"/>
    <w:rsid w:val="004D085E"/>
    <w:rsid w:val="004D09C4"/>
    <w:rsid w:val="004D0BB6"/>
    <w:rsid w:val="004D0D1A"/>
    <w:rsid w:val="004D0D2A"/>
    <w:rsid w:val="004D0E4E"/>
    <w:rsid w:val="004D129F"/>
    <w:rsid w:val="004D1391"/>
    <w:rsid w:val="004D17F8"/>
    <w:rsid w:val="004D220C"/>
    <w:rsid w:val="004D23F8"/>
    <w:rsid w:val="004D2C9A"/>
    <w:rsid w:val="004D304D"/>
    <w:rsid w:val="004D3492"/>
    <w:rsid w:val="004D370B"/>
    <w:rsid w:val="004D386D"/>
    <w:rsid w:val="004D3ACE"/>
    <w:rsid w:val="004D3B2D"/>
    <w:rsid w:val="004D4288"/>
    <w:rsid w:val="004D43C8"/>
    <w:rsid w:val="004D4B88"/>
    <w:rsid w:val="004D4E40"/>
    <w:rsid w:val="004D577B"/>
    <w:rsid w:val="004D5882"/>
    <w:rsid w:val="004D58A5"/>
    <w:rsid w:val="004D58CF"/>
    <w:rsid w:val="004D597C"/>
    <w:rsid w:val="004D67E0"/>
    <w:rsid w:val="004D6821"/>
    <w:rsid w:val="004D726E"/>
    <w:rsid w:val="004D73B8"/>
    <w:rsid w:val="004D7D61"/>
    <w:rsid w:val="004E0209"/>
    <w:rsid w:val="004E0279"/>
    <w:rsid w:val="004E0399"/>
    <w:rsid w:val="004E08E2"/>
    <w:rsid w:val="004E0CC4"/>
    <w:rsid w:val="004E0E3E"/>
    <w:rsid w:val="004E10F2"/>
    <w:rsid w:val="004E12F4"/>
    <w:rsid w:val="004E13AD"/>
    <w:rsid w:val="004E1488"/>
    <w:rsid w:val="004E168D"/>
    <w:rsid w:val="004E16A3"/>
    <w:rsid w:val="004E1B55"/>
    <w:rsid w:val="004E22A8"/>
    <w:rsid w:val="004E267E"/>
    <w:rsid w:val="004E283A"/>
    <w:rsid w:val="004E2E7E"/>
    <w:rsid w:val="004E3282"/>
    <w:rsid w:val="004E3296"/>
    <w:rsid w:val="004E3308"/>
    <w:rsid w:val="004E3862"/>
    <w:rsid w:val="004E39FF"/>
    <w:rsid w:val="004E3C6C"/>
    <w:rsid w:val="004E4037"/>
    <w:rsid w:val="004E44BB"/>
    <w:rsid w:val="004E455B"/>
    <w:rsid w:val="004E46FE"/>
    <w:rsid w:val="004E500C"/>
    <w:rsid w:val="004E555A"/>
    <w:rsid w:val="004E55D1"/>
    <w:rsid w:val="004E60F4"/>
    <w:rsid w:val="004E68FC"/>
    <w:rsid w:val="004E6B07"/>
    <w:rsid w:val="004E6DAF"/>
    <w:rsid w:val="004E6EDB"/>
    <w:rsid w:val="004E70E8"/>
    <w:rsid w:val="004E73BC"/>
    <w:rsid w:val="004E73CD"/>
    <w:rsid w:val="004E76CD"/>
    <w:rsid w:val="004E78B5"/>
    <w:rsid w:val="004E7B8B"/>
    <w:rsid w:val="004E7D73"/>
    <w:rsid w:val="004F03F3"/>
    <w:rsid w:val="004F078B"/>
    <w:rsid w:val="004F0832"/>
    <w:rsid w:val="004F0918"/>
    <w:rsid w:val="004F0B71"/>
    <w:rsid w:val="004F0FB3"/>
    <w:rsid w:val="004F1951"/>
    <w:rsid w:val="004F1C43"/>
    <w:rsid w:val="004F1EBA"/>
    <w:rsid w:val="004F22C7"/>
    <w:rsid w:val="004F22E4"/>
    <w:rsid w:val="004F2685"/>
    <w:rsid w:val="004F26F3"/>
    <w:rsid w:val="004F285E"/>
    <w:rsid w:val="004F2C37"/>
    <w:rsid w:val="004F3084"/>
    <w:rsid w:val="004F35F8"/>
    <w:rsid w:val="004F3BCC"/>
    <w:rsid w:val="004F3C2E"/>
    <w:rsid w:val="004F3D1A"/>
    <w:rsid w:val="004F5089"/>
    <w:rsid w:val="004F5CA6"/>
    <w:rsid w:val="004F5D20"/>
    <w:rsid w:val="004F61CA"/>
    <w:rsid w:val="004F636F"/>
    <w:rsid w:val="004F6916"/>
    <w:rsid w:val="004F6A7D"/>
    <w:rsid w:val="004F6B8D"/>
    <w:rsid w:val="004F6C72"/>
    <w:rsid w:val="004F7107"/>
    <w:rsid w:val="004F759A"/>
    <w:rsid w:val="004F7BAE"/>
    <w:rsid w:val="005000D8"/>
    <w:rsid w:val="005003F5"/>
    <w:rsid w:val="00500C6B"/>
    <w:rsid w:val="0050140F"/>
    <w:rsid w:val="005016DC"/>
    <w:rsid w:val="00501E5A"/>
    <w:rsid w:val="0050214D"/>
    <w:rsid w:val="005021BD"/>
    <w:rsid w:val="005023C7"/>
    <w:rsid w:val="005023F2"/>
    <w:rsid w:val="005024CE"/>
    <w:rsid w:val="00502925"/>
    <w:rsid w:val="00502B9A"/>
    <w:rsid w:val="005032AB"/>
    <w:rsid w:val="005038DE"/>
    <w:rsid w:val="00503CD1"/>
    <w:rsid w:val="00503F05"/>
    <w:rsid w:val="00504037"/>
    <w:rsid w:val="005040D3"/>
    <w:rsid w:val="00504302"/>
    <w:rsid w:val="005047D7"/>
    <w:rsid w:val="00504A3C"/>
    <w:rsid w:val="00505569"/>
    <w:rsid w:val="00505800"/>
    <w:rsid w:val="00505DB1"/>
    <w:rsid w:val="00505E4F"/>
    <w:rsid w:val="005063EF"/>
    <w:rsid w:val="005067A8"/>
    <w:rsid w:val="00506964"/>
    <w:rsid w:val="00506B38"/>
    <w:rsid w:val="005070D1"/>
    <w:rsid w:val="005075F5"/>
    <w:rsid w:val="00507966"/>
    <w:rsid w:val="00507B7B"/>
    <w:rsid w:val="00507C29"/>
    <w:rsid w:val="00507F8E"/>
    <w:rsid w:val="00510998"/>
    <w:rsid w:val="00510B11"/>
    <w:rsid w:val="00510C8A"/>
    <w:rsid w:val="00510E09"/>
    <w:rsid w:val="005111D0"/>
    <w:rsid w:val="0051137E"/>
    <w:rsid w:val="00511507"/>
    <w:rsid w:val="00511636"/>
    <w:rsid w:val="0051166C"/>
    <w:rsid w:val="005119D8"/>
    <w:rsid w:val="00511D09"/>
    <w:rsid w:val="00511DD3"/>
    <w:rsid w:val="00511FDB"/>
    <w:rsid w:val="005120E8"/>
    <w:rsid w:val="005121EE"/>
    <w:rsid w:val="005122C0"/>
    <w:rsid w:val="005124A8"/>
    <w:rsid w:val="00512797"/>
    <w:rsid w:val="00512CF6"/>
    <w:rsid w:val="00512EE2"/>
    <w:rsid w:val="00512FA7"/>
    <w:rsid w:val="00512FEB"/>
    <w:rsid w:val="00513D22"/>
    <w:rsid w:val="0051500C"/>
    <w:rsid w:val="00515667"/>
    <w:rsid w:val="00515DE1"/>
    <w:rsid w:val="00515FB1"/>
    <w:rsid w:val="005161B6"/>
    <w:rsid w:val="00516397"/>
    <w:rsid w:val="005165D8"/>
    <w:rsid w:val="00516604"/>
    <w:rsid w:val="00516BA7"/>
    <w:rsid w:val="00516E41"/>
    <w:rsid w:val="005170CA"/>
    <w:rsid w:val="00517156"/>
    <w:rsid w:val="00517239"/>
    <w:rsid w:val="005172CF"/>
    <w:rsid w:val="005177C9"/>
    <w:rsid w:val="00517E27"/>
    <w:rsid w:val="00517E4C"/>
    <w:rsid w:val="0052014C"/>
    <w:rsid w:val="00520763"/>
    <w:rsid w:val="00520849"/>
    <w:rsid w:val="00520AF7"/>
    <w:rsid w:val="00520CD5"/>
    <w:rsid w:val="00521B28"/>
    <w:rsid w:val="00521C3B"/>
    <w:rsid w:val="0052216C"/>
    <w:rsid w:val="005222DD"/>
    <w:rsid w:val="005222FB"/>
    <w:rsid w:val="00522706"/>
    <w:rsid w:val="00522D70"/>
    <w:rsid w:val="00522F49"/>
    <w:rsid w:val="0052326C"/>
    <w:rsid w:val="00523560"/>
    <w:rsid w:val="005235AA"/>
    <w:rsid w:val="0052383B"/>
    <w:rsid w:val="00523A9D"/>
    <w:rsid w:val="00523D35"/>
    <w:rsid w:val="00523DBE"/>
    <w:rsid w:val="00524576"/>
    <w:rsid w:val="005245B8"/>
    <w:rsid w:val="00524EFB"/>
    <w:rsid w:val="00525264"/>
    <w:rsid w:val="005253EF"/>
    <w:rsid w:val="005254C7"/>
    <w:rsid w:val="005254D3"/>
    <w:rsid w:val="00525739"/>
    <w:rsid w:val="005258D0"/>
    <w:rsid w:val="005258F0"/>
    <w:rsid w:val="00525BD0"/>
    <w:rsid w:val="00525BDD"/>
    <w:rsid w:val="00525BFF"/>
    <w:rsid w:val="005261A1"/>
    <w:rsid w:val="005264A8"/>
    <w:rsid w:val="005264AA"/>
    <w:rsid w:val="0052654C"/>
    <w:rsid w:val="00526581"/>
    <w:rsid w:val="0052659D"/>
    <w:rsid w:val="005265B9"/>
    <w:rsid w:val="005269A1"/>
    <w:rsid w:val="00526B3D"/>
    <w:rsid w:val="00526C0A"/>
    <w:rsid w:val="00526F35"/>
    <w:rsid w:val="00526FB4"/>
    <w:rsid w:val="005270FE"/>
    <w:rsid w:val="005276D7"/>
    <w:rsid w:val="00527743"/>
    <w:rsid w:val="00527931"/>
    <w:rsid w:val="00527ADD"/>
    <w:rsid w:val="00527F86"/>
    <w:rsid w:val="00530022"/>
    <w:rsid w:val="005310D1"/>
    <w:rsid w:val="00531132"/>
    <w:rsid w:val="0053192C"/>
    <w:rsid w:val="00531952"/>
    <w:rsid w:val="005319AC"/>
    <w:rsid w:val="00531B1C"/>
    <w:rsid w:val="00531BE4"/>
    <w:rsid w:val="00531C6F"/>
    <w:rsid w:val="00531F39"/>
    <w:rsid w:val="00531FB0"/>
    <w:rsid w:val="00532360"/>
    <w:rsid w:val="005324F5"/>
    <w:rsid w:val="0053274D"/>
    <w:rsid w:val="005327B9"/>
    <w:rsid w:val="0053282B"/>
    <w:rsid w:val="0053292A"/>
    <w:rsid w:val="00532D1B"/>
    <w:rsid w:val="00532D71"/>
    <w:rsid w:val="005333F1"/>
    <w:rsid w:val="005338AC"/>
    <w:rsid w:val="00533AA9"/>
    <w:rsid w:val="00533F48"/>
    <w:rsid w:val="0053443A"/>
    <w:rsid w:val="005344D7"/>
    <w:rsid w:val="00534547"/>
    <w:rsid w:val="00534744"/>
    <w:rsid w:val="00534756"/>
    <w:rsid w:val="00534BFE"/>
    <w:rsid w:val="00534DA9"/>
    <w:rsid w:val="00535B2E"/>
    <w:rsid w:val="00535FFC"/>
    <w:rsid w:val="0053610B"/>
    <w:rsid w:val="0053646E"/>
    <w:rsid w:val="00536755"/>
    <w:rsid w:val="00536A98"/>
    <w:rsid w:val="00536BEE"/>
    <w:rsid w:val="0053703D"/>
    <w:rsid w:val="005370D3"/>
    <w:rsid w:val="0053725B"/>
    <w:rsid w:val="005372CD"/>
    <w:rsid w:val="005374BF"/>
    <w:rsid w:val="00537616"/>
    <w:rsid w:val="00537C89"/>
    <w:rsid w:val="005401F1"/>
    <w:rsid w:val="00540490"/>
    <w:rsid w:val="00540554"/>
    <w:rsid w:val="00540C05"/>
    <w:rsid w:val="00540D96"/>
    <w:rsid w:val="0054114E"/>
    <w:rsid w:val="00541204"/>
    <w:rsid w:val="0054218C"/>
    <w:rsid w:val="005422A5"/>
    <w:rsid w:val="00542301"/>
    <w:rsid w:val="005423F5"/>
    <w:rsid w:val="00542828"/>
    <w:rsid w:val="005429D0"/>
    <w:rsid w:val="00542AB1"/>
    <w:rsid w:val="00542C00"/>
    <w:rsid w:val="00542C02"/>
    <w:rsid w:val="00543087"/>
    <w:rsid w:val="00543135"/>
    <w:rsid w:val="00543DF9"/>
    <w:rsid w:val="00543E32"/>
    <w:rsid w:val="005443E6"/>
    <w:rsid w:val="00544720"/>
    <w:rsid w:val="0054480A"/>
    <w:rsid w:val="005448C0"/>
    <w:rsid w:val="00544CAA"/>
    <w:rsid w:val="00544D97"/>
    <w:rsid w:val="005456E4"/>
    <w:rsid w:val="0054595D"/>
    <w:rsid w:val="00545BC5"/>
    <w:rsid w:val="00546234"/>
    <w:rsid w:val="00546A55"/>
    <w:rsid w:val="00546BB4"/>
    <w:rsid w:val="00546BD8"/>
    <w:rsid w:val="00546E6B"/>
    <w:rsid w:val="00546EE4"/>
    <w:rsid w:val="005471ED"/>
    <w:rsid w:val="005479F3"/>
    <w:rsid w:val="00547B43"/>
    <w:rsid w:val="005509C1"/>
    <w:rsid w:val="00550BDF"/>
    <w:rsid w:val="00550FB1"/>
    <w:rsid w:val="0055141A"/>
    <w:rsid w:val="00551476"/>
    <w:rsid w:val="005516A4"/>
    <w:rsid w:val="00552071"/>
    <w:rsid w:val="0055219C"/>
    <w:rsid w:val="005526B0"/>
    <w:rsid w:val="005527DC"/>
    <w:rsid w:val="0055296E"/>
    <w:rsid w:val="00552F91"/>
    <w:rsid w:val="005539C6"/>
    <w:rsid w:val="0055401F"/>
    <w:rsid w:val="00554069"/>
    <w:rsid w:val="005542F9"/>
    <w:rsid w:val="005548A1"/>
    <w:rsid w:val="005548BD"/>
    <w:rsid w:val="00554A12"/>
    <w:rsid w:val="00554AB6"/>
    <w:rsid w:val="00554DF4"/>
    <w:rsid w:val="00554E81"/>
    <w:rsid w:val="00554EA2"/>
    <w:rsid w:val="00555090"/>
    <w:rsid w:val="00555230"/>
    <w:rsid w:val="005553B3"/>
    <w:rsid w:val="00555750"/>
    <w:rsid w:val="005558DF"/>
    <w:rsid w:val="0055593E"/>
    <w:rsid w:val="00555BDA"/>
    <w:rsid w:val="00555F73"/>
    <w:rsid w:val="00556110"/>
    <w:rsid w:val="00556287"/>
    <w:rsid w:val="005564A4"/>
    <w:rsid w:val="005567D1"/>
    <w:rsid w:val="00556DEB"/>
    <w:rsid w:val="00556EBA"/>
    <w:rsid w:val="00557435"/>
    <w:rsid w:val="005575FE"/>
    <w:rsid w:val="00557CF6"/>
    <w:rsid w:val="005601B8"/>
    <w:rsid w:val="005602D3"/>
    <w:rsid w:val="005606C9"/>
    <w:rsid w:val="0056088E"/>
    <w:rsid w:val="00560948"/>
    <w:rsid w:val="00560B95"/>
    <w:rsid w:val="00560C34"/>
    <w:rsid w:val="00561244"/>
    <w:rsid w:val="00561506"/>
    <w:rsid w:val="0056175B"/>
    <w:rsid w:val="00561B79"/>
    <w:rsid w:val="00561BE4"/>
    <w:rsid w:val="0056277B"/>
    <w:rsid w:val="00562927"/>
    <w:rsid w:val="00562C57"/>
    <w:rsid w:val="00562C8E"/>
    <w:rsid w:val="00563006"/>
    <w:rsid w:val="0056307E"/>
    <w:rsid w:val="005630B8"/>
    <w:rsid w:val="005630D7"/>
    <w:rsid w:val="00563610"/>
    <w:rsid w:val="005638EE"/>
    <w:rsid w:val="005640B8"/>
    <w:rsid w:val="00564630"/>
    <w:rsid w:val="0056463E"/>
    <w:rsid w:val="00564F77"/>
    <w:rsid w:val="00565168"/>
    <w:rsid w:val="005651C6"/>
    <w:rsid w:val="005654D3"/>
    <w:rsid w:val="005656BD"/>
    <w:rsid w:val="00565908"/>
    <w:rsid w:val="00565B9D"/>
    <w:rsid w:val="00565C16"/>
    <w:rsid w:val="00565FA5"/>
    <w:rsid w:val="00565FB1"/>
    <w:rsid w:val="005661CD"/>
    <w:rsid w:val="005663B9"/>
    <w:rsid w:val="005664B7"/>
    <w:rsid w:val="00566527"/>
    <w:rsid w:val="00566536"/>
    <w:rsid w:val="00566D20"/>
    <w:rsid w:val="00566E04"/>
    <w:rsid w:val="00566E8C"/>
    <w:rsid w:val="00567500"/>
    <w:rsid w:val="00567685"/>
    <w:rsid w:val="00567707"/>
    <w:rsid w:val="005679F7"/>
    <w:rsid w:val="00567C61"/>
    <w:rsid w:val="00567CEA"/>
    <w:rsid w:val="00570062"/>
    <w:rsid w:val="00570257"/>
    <w:rsid w:val="0057028C"/>
    <w:rsid w:val="00570726"/>
    <w:rsid w:val="00570849"/>
    <w:rsid w:val="00570DAC"/>
    <w:rsid w:val="00570FEF"/>
    <w:rsid w:val="0057106D"/>
    <w:rsid w:val="0057118E"/>
    <w:rsid w:val="00571374"/>
    <w:rsid w:val="00571B72"/>
    <w:rsid w:val="00572076"/>
    <w:rsid w:val="00572249"/>
    <w:rsid w:val="005724C2"/>
    <w:rsid w:val="00572810"/>
    <w:rsid w:val="00572938"/>
    <w:rsid w:val="00572C8B"/>
    <w:rsid w:val="00572CED"/>
    <w:rsid w:val="00573212"/>
    <w:rsid w:val="0057333B"/>
    <w:rsid w:val="005736CD"/>
    <w:rsid w:val="005736FE"/>
    <w:rsid w:val="00573E71"/>
    <w:rsid w:val="00574893"/>
    <w:rsid w:val="00574B24"/>
    <w:rsid w:val="00574BBE"/>
    <w:rsid w:val="0057530F"/>
    <w:rsid w:val="00575444"/>
    <w:rsid w:val="00575AEA"/>
    <w:rsid w:val="00575CCE"/>
    <w:rsid w:val="00575DAA"/>
    <w:rsid w:val="00575E7E"/>
    <w:rsid w:val="0057623E"/>
    <w:rsid w:val="005765F5"/>
    <w:rsid w:val="00576D00"/>
    <w:rsid w:val="0057712E"/>
    <w:rsid w:val="005772FD"/>
    <w:rsid w:val="005776BB"/>
    <w:rsid w:val="005778C2"/>
    <w:rsid w:val="00577A46"/>
    <w:rsid w:val="00580036"/>
    <w:rsid w:val="00580341"/>
    <w:rsid w:val="00580675"/>
    <w:rsid w:val="00580762"/>
    <w:rsid w:val="005808C1"/>
    <w:rsid w:val="00580B1E"/>
    <w:rsid w:val="00580D1B"/>
    <w:rsid w:val="00581A27"/>
    <w:rsid w:val="0058223A"/>
    <w:rsid w:val="005822D3"/>
    <w:rsid w:val="00582406"/>
    <w:rsid w:val="005824BF"/>
    <w:rsid w:val="0058299F"/>
    <w:rsid w:val="005829CB"/>
    <w:rsid w:val="00582B69"/>
    <w:rsid w:val="0058381B"/>
    <w:rsid w:val="00583B6C"/>
    <w:rsid w:val="00584273"/>
    <w:rsid w:val="005843D3"/>
    <w:rsid w:val="005846E6"/>
    <w:rsid w:val="00584752"/>
    <w:rsid w:val="00584A2D"/>
    <w:rsid w:val="00584C06"/>
    <w:rsid w:val="00584EF9"/>
    <w:rsid w:val="00585462"/>
    <w:rsid w:val="00585691"/>
    <w:rsid w:val="0058596E"/>
    <w:rsid w:val="0058612C"/>
    <w:rsid w:val="0058629F"/>
    <w:rsid w:val="00586303"/>
    <w:rsid w:val="005867AC"/>
    <w:rsid w:val="00586999"/>
    <w:rsid w:val="00587684"/>
    <w:rsid w:val="00587C91"/>
    <w:rsid w:val="00590173"/>
    <w:rsid w:val="0059065D"/>
    <w:rsid w:val="00591167"/>
    <w:rsid w:val="00591195"/>
    <w:rsid w:val="005911DD"/>
    <w:rsid w:val="005912DC"/>
    <w:rsid w:val="0059139B"/>
    <w:rsid w:val="005916BF"/>
    <w:rsid w:val="005916D0"/>
    <w:rsid w:val="005916FB"/>
    <w:rsid w:val="00591BB6"/>
    <w:rsid w:val="00591CCF"/>
    <w:rsid w:val="005922FF"/>
    <w:rsid w:val="00592443"/>
    <w:rsid w:val="00592672"/>
    <w:rsid w:val="00592C65"/>
    <w:rsid w:val="00592D42"/>
    <w:rsid w:val="00592E3C"/>
    <w:rsid w:val="00593334"/>
    <w:rsid w:val="0059378B"/>
    <w:rsid w:val="00593AB4"/>
    <w:rsid w:val="00593D5D"/>
    <w:rsid w:val="00593EF8"/>
    <w:rsid w:val="00594079"/>
    <w:rsid w:val="00594157"/>
    <w:rsid w:val="0059415D"/>
    <w:rsid w:val="0059429F"/>
    <w:rsid w:val="005944F2"/>
    <w:rsid w:val="005945F6"/>
    <w:rsid w:val="0059493A"/>
    <w:rsid w:val="00594B88"/>
    <w:rsid w:val="00594DF7"/>
    <w:rsid w:val="00594EDC"/>
    <w:rsid w:val="00594F7D"/>
    <w:rsid w:val="0059548C"/>
    <w:rsid w:val="0059563D"/>
    <w:rsid w:val="00595D1D"/>
    <w:rsid w:val="00595F38"/>
    <w:rsid w:val="00596003"/>
    <w:rsid w:val="005968FF"/>
    <w:rsid w:val="00596CF7"/>
    <w:rsid w:val="00596F6F"/>
    <w:rsid w:val="0059706F"/>
    <w:rsid w:val="005971B7"/>
    <w:rsid w:val="00597270"/>
    <w:rsid w:val="00597959"/>
    <w:rsid w:val="00597BA1"/>
    <w:rsid w:val="00597C60"/>
    <w:rsid w:val="005A004E"/>
    <w:rsid w:val="005A018A"/>
    <w:rsid w:val="005A0377"/>
    <w:rsid w:val="005A0415"/>
    <w:rsid w:val="005A07A1"/>
    <w:rsid w:val="005A09FD"/>
    <w:rsid w:val="005A0FFD"/>
    <w:rsid w:val="005A135A"/>
    <w:rsid w:val="005A187B"/>
    <w:rsid w:val="005A1B25"/>
    <w:rsid w:val="005A1DDE"/>
    <w:rsid w:val="005A232B"/>
    <w:rsid w:val="005A2523"/>
    <w:rsid w:val="005A2773"/>
    <w:rsid w:val="005A295A"/>
    <w:rsid w:val="005A2B11"/>
    <w:rsid w:val="005A2FCF"/>
    <w:rsid w:val="005A3065"/>
    <w:rsid w:val="005A3317"/>
    <w:rsid w:val="005A3C2F"/>
    <w:rsid w:val="005A3CE4"/>
    <w:rsid w:val="005A3D4D"/>
    <w:rsid w:val="005A3EA2"/>
    <w:rsid w:val="005A4658"/>
    <w:rsid w:val="005A46E2"/>
    <w:rsid w:val="005A4783"/>
    <w:rsid w:val="005A48FD"/>
    <w:rsid w:val="005A4D7A"/>
    <w:rsid w:val="005A5696"/>
    <w:rsid w:val="005A570E"/>
    <w:rsid w:val="005A5A12"/>
    <w:rsid w:val="005A5C23"/>
    <w:rsid w:val="005A6464"/>
    <w:rsid w:val="005A67D7"/>
    <w:rsid w:val="005A6ADD"/>
    <w:rsid w:val="005A6D74"/>
    <w:rsid w:val="005A727A"/>
    <w:rsid w:val="005A727F"/>
    <w:rsid w:val="005A72F6"/>
    <w:rsid w:val="005A73B1"/>
    <w:rsid w:val="005A742D"/>
    <w:rsid w:val="005A756A"/>
    <w:rsid w:val="005A7A80"/>
    <w:rsid w:val="005A7E86"/>
    <w:rsid w:val="005B075E"/>
    <w:rsid w:val="005B0918"/>
    <w:rsid w:val="005B096F"/>
    <w:rsid w:val="005B0A7E"/>
    <w:rsid w:val="005B0D09"/>
    <w:rsid w:val="005B11F8"/>
    <w:rsid w:val="005B1381"/>
    <w:rsid w:val="005B14E3"/>
    <w:rsid w:val="005B1D8D"/>
    <w:rsid w:val="005B2065"/>
    <w:rsid w:val="005B2270"/>
    <w:rsid w:val="005B26DA"/>
    <w:rsid w:val="005B293E"/>
    <w:rsid w:val="005B2C3C"/>
    <w:rsid w:val="005B31B6"/>
    <w:rsid w:val="005B3534"/>
    <w:rsid w:val="005B3BB1"/>
    <w:rsid w:val="005B3C44"/>
    <w:rsid w:val="005B3F42"/>
    <w:rsid w:val="005B42A5"/>
    <w:rsid w:val="005B4325"/>
    <w:rsid w:val="005B4BB4"/>
    <w:rsid w:val="005B51B5"/>
    <w:rsid w:val="005B587B"/>
    <w:rsid w:val="005B597F"/>
    <w:rsid w:val="005B5A50"/>
    <w:rsid w:val="005B5DA0"/>
    <w:rsid w:val="005B5EF6"/>
    <w:rsid w:val="005B5F0E"/>
    <w:rsid w:val="005B62D1"/>
    <w:rsid w:val="005B6842"/>
    <w:rsid w:val="005B6B22"/>
    <w:rsid w:val="005B70FB"/>
    <w:rsid w:val="005B710D"/>
    <w:rsid w:val="005B742B"/>
    <w:rsid w:val="005B7933"/>
    <w:rsid w:val="005B7A64"/>
    <w:rsid w:val="005B7EBD"/>
    <w:rsid w:val="005C03F4"/>
    <w:rsid w:val="005C04AB"/>
    <w:rsid w:val="005C07A5"/>
    <w:rsid w:val="005C0C91"/>
    <w:rsid w:val="005C0DAF"/>
    <w:rsid w:val="005C0FE4"/>
    <w:rsid w:val="005C17AD"/>
    <w:rsid w:val="005C186A"/>
    <w:rsid w:val="005C1E38"/>
    <w:rsid w:val="005C218E"/>
    <w:rsid w:val="005C2245"/>
    <w:rsid w:val="005C2933"/>
    <w:rsid w:val="005C30AB"/>
    <w:rsid w:val="005C30E4"/>
    <w:rsid w:val="005C31B8"/>
    <w:rsid w:val="005C35B1"/>
    <w:rsid w:val="005C3732"/>
    <w:rsid w:val="005C3AFE"/>
    <w:rsid w:val="005C3CB6"/>
    <w:rsid w:val="005C3EF5"/>
    <w:rsid w:val="005C428E"/>
    <w:rsid w:val="005C43CC"/>
    <w:rsid w:val="005C4873"/>
    <w:rsid w:val="005C48BC"/>
    <w:rsid w:val="005C4A6F"/>
    <w:rsid w:val="005C4B58"/>
    <w:rsid w:val="005C4CE9"/>
    <w:rsid w:val="005C4DCF"/>
    <w:rsid w:val="005C5266"/>
    <w:rsid w:val="005C578A"/>
    <w:rsid w:val="005C5EE1"/>
    <w:rsid w:val="005C67B0"/>
    <w:rsid w:val="005C6DE0"/>
    <w:rsid w:val="005C72C3"/>
    <w:rsid w:val="005C73E1"/>
    <w:rsid w:val="005C75F3"/>
    <w:rsid w:val="005C765C"/>
    <w:rsid w:val="005C7D80"/>
    <w:rsid w:val="005C7EE8"/>
    <w:rsid w:val="005D0079"/>
    <w:rsid w:val="005D0130"/>
    <w:rsid w:val="005D024F"/>
    <w:rsid w:val="005D0285"/>
    <w:rsid w:val="005D031C"/>
    <w:rsid w:val="005D038B"/>
    <w:rsid w:val="005D03FF"/>
    <w:rsid w:val="005D04E0"/>
    <w:rsid w:val="005D0533"/>
    <w:rsid w:val="005D0930"/>
    <w:rsid w:val="005D0B1B"/>
    <w:rsid w:val="005D0C6D"/>
    <w:rsid w:val="005D12A5"/>
    <w:rsid w:val="005D1545"/>
    <w:rsid w:val="005D15E7"/>
    <w:rsid w:val="005D16A1"/>
    <w:rsid w:val="005D1A69"/>
    <w:rsid w:val="005D1C68"/>
    <w:rsid w:val="005D1C84"/>
    <w:rsid w:val="005D1F3C"/>
    <w:rsid w:val="005D2120"/>
    <w:rsid w:val="005D21B8"/>
    <w:rsid w:val="005D2392"/>
    <w:rsid w:val="005D2752"/>
    <w:rsid w:val="005D284C"/>
    <w:rsid w:val="005D2DB3"/>
    <w:rsid w:val="005D304E"/>
    <w:rsid w:val="005D3726"/>
    <w:rsid w:val="005D3A7F"/>
    <w:rsid w:val="005D3AAA"/>
    <w:rsid w:val="005D3BC3"/>
    <w:rsid w:val="005D3C73"/>
    <w:rsid w:val="005D3DAA"/>
    <w:rsid w:val="005D3ED3"/>
    <w:rsid w:val="005D41B0"/>
    <w:rsid w:val="005D4571"/>
    <w:rsid w:val="005D4799"/>
    <w:rsid w:val="005D4B28"/>
    <w:rsid w:val="005D4C7E"/>
    <w:rsid w:val="005D4CE6"/>
    <w:rsid w:val="005D54DC"/>
    <w:rsid w:val="005D5519"/>
    <w:rsid w:val="005D556C"/>
    <w:rsid w:val="005D602F"/>
    <w:rsid w:val="005D6340"/>
    <w:rsid w:val="005D6559"/>
    <w:rsid w:val="005D66B3"/>
    <w:rsid w:val="005D6763"/>
    <w:rsid w:val="005D68BE"/>
    <w:rsid w:val="005D71C3"/>
    <w:rsid w:val="005D72DA"/>
    <w:rsid w:val="005D755F"/>
    <w:rsid w:val="005D7B8D"/>
    <w:rsid w:val="005D7F05"/>
    <w:rsid w:val="005E01E4"/>
    <w:rsid w:val="005E050A"/>
    <w:rsid w:val="005E0AED"/>
    <w:rsid w:val="005E0CCE"/>
    <w:rsid w:val="005E1294"/>
    <w:rsid w:val="005E18CF"/>
    <w:rsid w:val="005E1D8B"/>
    <w:rsid w:val="005E2073"/>
    <w:rsid w:val="005E22F3"/>
    <w:rsid w:val="005E2679"/>
    <w:rsid w:val="005E2D0F"/>
    <w:rsid w:val="005E3193"/>
    <w:rsid w:val="005E3421"/>
    <w:rsid w:val="005E3437"/>
    <w:rsid w:val="005E3820"/>
    <w:rsid w:val="005E3A77"/>
    <w:rsid w:val="005E3C28"/>
    <w:rsid w:val="005E3F15"/>
    <w:rsid w:val="005E3F3A"/>
    <w:rsid w:val="005E4370"/>
    <w:rsid w:val="005E4831"/>
    <w:rsid w:val="005E4AD9"/>
    <w:rsid w:val="005E4D05"/>
    <w:rsid w:val="005E4F0D"/>
    <w:rsid w:val="005E5674"/>
    <w:rsid w:val="005E56B6"/>
    <w:rsid w:val="005E57D1"/>
    <w:rsid w:val="005E588D"/>
    <w:rsid w:val="005E5A50"/>
    <w:rsid w:val="005E5BA3"/>
    <w:rsid w:val="005E69D4"/>
    <w:rsid w:val="005E6AAA"/>
    <w:rsid w:val="005E6C46"/>
    <w:rsid w:val="005E6E60"/>
    <w:rsid w:val="005E7417"/>
    <w:rsid w:val="005E7D9C"/>
    <w:rsid w:val="005E7E9A"/>
    <w:rsid w:val="005F051E"/>
    <w:rsid w:val="005F0950"/>
    <w:rsid w:val="005F0E92"/>
    <w:rsid w:val="005F0EE1"/>
    <w:rsid w:val="005F15E0"/>
    <w:rsid w:val="005F1607"/>
    <w:rsid w:val="005F1870"/>
    <w:rsid w:val="005F18FA"/>
    <w:rsid w:val="005F1C4D"/>
    <w:rsid w:val="005F1F99"/>
    <w:rsid w:val="005F206F"/>
    <w:rsid w:val="005F22A8"/>
    <w:rsid w:val="005F277D"/>
    <w:rsid w:val="005F29E4"/>
    <w:rsid w:val="005F2FD2"/>
    <w:rsid w:val="005F30FE"/>
    <w:rsid w:val="005F3701"/>
    <w:rsid w:val="005F3877"/>
    <w:rsid w:val="005F395E"/>
    <w:rsid w:val="005F3995"/>
    <w:rsid w:val="005F39A5"/>
    <w:rsid w:val="005F3BFD"/>
    <w:rsid w:val="005F3DB9"/>
    <w:rsid w:val="005F42EB"/>
    <w:rsid w:val="005F4338"/>
    <w:rsid w:val="005F475B"/>
    <w:rsid w:val="005F4997"/>
    <w:rsid w:val="005F4F76"/>
    <w:rsid w:val="005F5375"/>
    <w:rsid w:val="005F56AF"/>
    <w:rsid w:val="005F586B"/>
    <w:rsid w:val="005F59A7"/>
    <w:rsid w:val="005F5C1B"/>
    <w:rsid w:val="005F5F7C"/>
    <w:rsid w:val="005F6051"/>
    <w:rsid w:val="005F60C4"/>
    <w:rsid w:val="005F63AF"/>
    <w:rsid w:val="005F66E7"/>
    <w:rsid w:val="005F70A7"/>
    <w:rsid w:val="005F71FE"/>
    <w:rsid w:val="005F74F6"/>
    <w:rsid w:val="005F7D12"/>
    <w:rsid w:val="006001BE"/>
    <w:rsid w:val="00600373"/>
    <w:rsid w:val="006004A8"/>
    <w:rsid w:val="00600873"/>
    <w:rsid w:val="00600BC9"/>
    <w:rsid w:val="00600E74"/>
    <w:rsid w:val="00601006"/>
    <w:rsid w:val="00601290"/>
    <w:rsid w:val="00601341"/>
    <w:rsid w:val="00601491"/>
    <w:rsid w:val="00601E8B"/>
    <w:rsid w:val="00601EDC"/>
    <w:rsid w:val="006022F3"/>
    <w:rsid w:val="00602693"/>
    <w:rsid w:val="00602831"/>
    <w:rsid w:val="00602B7B"/>
    <w:rsid w:val="00602DF9"/>
    <w:rsid w:val="00603035"/>
    <w:rsid w:val="006030AA"/>
    <w:rsid w:val="006031BC"/>
    <w:rsid w:val="006035AB"/>
    <w:rsid w:val="0060377B"/>
    <w:rsid w:val="006037A6"/>
    <w:rsid w:val="006039DD"/>
    <w:rsid w:val="00603AFA"/>
    <w:rsid w:val="00603CE8"/>
    <w:rsid w:val="00603F35"/>
    <w:rsid w:val="00604466"/>
    <w:rsid w:val="0060486A"/>
    <w:rsid w:val="00604B4C"/>
    <w:rsid w:val="00604EDF"/>
    <w:rsid w:val="00605037"/>
    <w:rsid w:val="0060529F"/>
    <w:rsid w:val="006058BB"/>
    <w:rsid w:val="00605DB0"/>
    <w:rsid w:val="00605ECF"/>
    <w:rsid w:val="00605F58"/>
    <w:rsid w:val="00606177"/>
    <w:rsid w:val="0060668A"/>
    <w:rsid w:val="006068DB"/>
    <w:rsid w:val="00606AB0"/>
    <w:rsid w:val="00606BC9"/>
    <w:rsid w:val="006070D7"/>
    <w:rsid w:val="0060713C"/>
    <w:rsid w:val="00607178"/>
    <w:rsid w:val="00607267"/>
    <w:rsid w:val="006079FD"/>
    <w:rsid w:val="00607EFF"/>
    <w:rsid w:val="00607F66"/>
    <w:rsid w:val="00610636"/>
    <w:rsid w:val="00610861"/>
    <w:rsid w:val="006108FF"/>
    <w:rsid w:val="00610980"/>
    <w:rsid w:val="00611314"/>
    <w:rsid w:val="006116F7"/>
    <w:rsid w:val="00611F00"/>
    <w:rsid w:val="00611FB8"/>
    <w:rsid w:val="0061214E"/>
    <w:rsid w:val="00612169"/>
    <w:rsid w:val="006122D4"/>
    <w:rsid w:val="006125C8"/>
    <w:rsid w:val="00612937"/>
    <w:rsid w:val="00612BA9"/>
    <w:rsid w:val="00612D6C"/>
    <w:rsid w:val="006130FF"/>
    <w:rsid w:val="006131BC"/>
    <w:rsid w:val="006132FB"/>
    <w:rsid w:val="0061387D"/>
    <w:rsid w:val="006138AF"/>
    <w:rsid w:val="0061394B"/>
    <w:rsid w:val="00613B03"/>
    <w:rsid w:val="00613BBC"/>
    <w:rsid w:val="00613DD0"/>
    <w:rsid w:val="00613F93"/>
    <w:rsid w:val="006140B6"/>
    <w:rsid w:val="00614283"/>
    <w:rsid w:val="006143BB"/>
    <w:rsid w:val="006147F8"/>
    <w:rsid w:val="006151A5"/>
    <w:rsid w:val="0061535D"/>
    <w:rsid w:val="006153AD"/>
    <w:rsid w:val="0061545F"/>
    <w:rsid w:val="00615673"/>
    <w:rsid w:val="00615D67"/>
    <w:rsid w:val="00615F2F"/>
    <w:rsid w:val="00615F3C"/>
    <w:rsid w:val="00616561"/>
    <w:rsid w:val="006166D7"/>
    <w:rsid w:val="006167EF"/>
    <w:rsid w:val="00616BE7"/>
    <w:rsid w:val="00616D97"/>
    <w:rsid w:val="0061753A"/>
    <w:rsid w:val="006177A9"/>
    <w:rsid w:val="00620059"/>
    <w:rsid w:val="00620295"/>
    <w:rsid w:val="00620556"/>
    <w:rsid w:val="00620776"/>
    <w:rsid w:val="006207AC"/>
    <w:rsid w:val="0062093F"/>
    <w:rsid w:val="00620B13"/>
    <w:rsid w:val="00620B20"/>
    <w:rsid w:val="00620CEE"/>
    <w:rsid w:val="00620D3A"/>
    <w:rsid w:val="00621497"/>
    <w:rsid w:val="00621940"/>
    <w:rsid w:val="00621A37"/>
    <w:rsid w:val="0062261A"/>
    <w:rsid w:val="00622C6A"/>
    <w:rsid w:val="00622CE8"/>
    <w:rsid w:val="00622D4B"/>
    <w:rsid w:val="00623492"/>
    <w:rsid w:val="0062350D"/>
    <w:rsid w:val="006239AC"/>
    <w:rsid w:val="00623AB0"/>
    <w:rsid w:val="00623AB2"/>
    <w:rsid w:val="00623E0E"/>
    <w:rsid w:val="0062413C"/>
    <w:rsid w:val="00624360"/>
    <w:rsid w:val="006243C4"/>
    <w:rsid w:val="0062453E"/>
    <w:rsid w:val="00624AD2"/>
    <w:rsid w:val="00624B95"/>
    <w:rsid w:val="00624DD5"/>
    <w:rsid w:val="00625023"/>
    <w:rsid w:val="00625065"/>
    <w:rsid w:val="0062552B"/>
    <w:rsid w:val="00625CC9"/>
    <w:rsid w:val="00625EF4"/>
    <w:rsid w:val="00625F4C"/>
    <w:rsid w:val="00626063"/>
    <w:rsid w:val="006260C0"/>
    <w:rsid w:val="0062617D"/>
    <w:rsid w:val="00626725"/>
    <w:rsid w:val="006268B0"/>
    <w:rsid w:val="00626A70"/>
    <w:rsid w:val="006272D9"/>
    <w:rsid w:val="006276EA"/>
    <w:rsid w:val="006279B0"/>
    <w:rsid w:val="00627FF3"/>
    <w:rsid w:val="0063016C"/>
    <w:rsid w:val="00630393"/>
    <w:rsid w:val="0063072D"/>
    <w:rsid w:val="00630A19"/>
    <w:rsid w:val="006310C1"/>
    <w:rsid w:val="006312A3"/>
    <w:rsid w:val="006313CB"/>
    <w:rsid w:val="006314B7"/>
    <w:rsid w:val="0063164E"/>
    <w:rsid w:val="00631E3B"/>
    <w:rsid w:val="00632211"/>
    <w:rsid w:val="00632245"/>
    <w:rsid w:val="00632600"/>
    <w:rsid w:val="00632748"/>
    <w:rsid w:val="00632B20"/>
    <w:rsid w:val="00632E67"/>
    <w:rsid w:val="00632F36"/>
    <w:rsid w:val="0063324E"/>
    <w:rsid w:val="006336D0"/>
    <w:rsid w:val="00633B48"/>
    <w:rsid w:val="00633B56"/>
    <w:rsid w:val="00633BAF"/>
    <w:rsid w:val="00633C62"/>
    <w:rsid w:val="00633CBF"/>
    <w:rsid w:val="00633FF0"/>
    <w:rsid w:val="00634DC0"/>
    <w:rsid w:val="00635868"/>
    <w:rsid w:val="006358A4"/>
    <w:rsid w:val="00635A94"/>
    <w:rsid w:val="00635AE5"/>
    <w:rsid w:val="006361DC"/>
    <w:rsid w:val="006363BF"/>
    <w:rsid w:val="006364F7"/>
    <w:rsid w:val="0063650A"/>
    <w:rsid w:val="00637104"/>
    <w:rsid w:val="006374F5"/>
    <w:rsid w:val="0063783B"/>
    <w:rsid w:val="0063799B"/>
    <w:rsid w:val="00637C3E"/>
    <w:rsid w:val="00637C68"/>
    <w:rsid w:val="00637D08"/>
    <w:rsid w:val="00637E93"/>
    <w:rsid w:val="00637F97"/>
    <w:rsid w:val="0064034E"/>
    <w:rsid w:val="00640675"/>
    <w:rsid w:val="00640D25"/>
    <w:rsid w:val="00640E60"/>
    <w:rsid w:val="00640F9E"/>
    <w:rsid w:val="00641275"/>
    <w:rsid w:val="00641366"/>
    <w:rsid w:val="0064143D"/>
    <w:rsid w:val="006414CD"/>
    <w:rsid w:val="006417CD"/>
    <w:rsid w:val="00641ED0"/>
    <w:rsid w:val="00642280"/>
    <w:rsid w:val="00642362"/>
    <w:rsid w:val="00642430"/>
    <w:rsid w:val="0064251E"/>
    <w:rsid w:val="00642BEF"/>
    <w:rsid w:val="00642DB9"/>
    <w:rsid w:val="00642FE9"/>
    <w:rsid w:val="00643065"/>
    <w:rsid w:val="006430EC"/>
    <w:rsid w:val="00643275"/>
    <w:rsid w:val="0064347A"/>
    <w:rsid w:val="00643689"/>
    <w:rsid w:val="006439E2"/>
    <w:rsid w:val="00643CB6"/>
    <w:rsid w:val="00643D4A"/>
    <w:rsid w:val="00643D7F"/>
    <w:rsid w:val="00643EBF"/>
    <w:rsid w:val="00643F97"/>
    <w:rsid w:val="00644024"/>
    <w:rsid w:val="00644406"/>
    <w:rsid w:val="00644A84"/>
    <w:rsid w:val="00644BF1"/>
    <w:rsid w:val="00644C01"/>
    <w:rsid w:val="00644F09"/>
    <w:rsid w:val="00644F13"/>
    <w:rsid w:val="006450B7"/>
    <w:rsid w:val="006451D0"/>
    <w:rsid w:val="006452A8"/>
    <w:rsid w:val="0064598E"/>
    <w:rsid w:val="00645D5A"/>
    <w:rsid w:val="00645F97"/>
    <w:rsid w:val="006468B1"/>
    <w:rsid w:val="006469A0"/>
    <w:rsid w:val="00646A80"/>
    <w:rsid w:val="00646B92"/>
    <w:rsid w:val="00647093"/>
    <w:rsid w:val="006471B1"/>
    <w:rsid w:val="006471EC"/>
    <w:rsid w:val="0064737D"/>
    <w:rsid w:val="006473C2"/>
    <w:rsid w:val="006475DD"/>
    <w:rsid w:val="0064791B"/>
    <w:rsid w:val="00647995"/>
    <w:rsid w:val="00647E6A"/>
    <w:rsid w:val="00647EA5"/>
    <w:rsid w:val="00647F32"/>
    <w:rsid w:val="006502A3"/>
    <w:rsid w:val="006502C2"/>
    <w:rsid w:val="006503E6"/>
    <w:rsid w:val="00650535"/>
    <w:rsid w:val="00650A56"/>
    <w:rsid w:val="00650AEC"/>
    <w:rsid w:val="00650F8A"/>
    <w:rsid w:val="006510E4"/>
    <w:rsid w:val="00651679"/>
    <w:rsid w:val="006518CA"/>
    <w:rsid w:val="00651926"/>
    <w:rsid w:val="00651E22"/>
    <w:rsid w:val="00651EAC"/>
    <w:rsid w:val="0065203B"/>
    <w:rsid w:val="00652B82"/>
    <w:rsid w:val="00652DDD"/>
    <w:rsid w:val="00652ED1"/>
    <w:rsid w:val="0065307F"/>
    <w:rsid w:val="006530A8"/>
    <w:rsid w:val="00653DBD"/>
    <w:rsid w:val="00653EB5"/>
    <w:rsid w:val="00653EB8"/>
    <w:rsid w:val="00653FDD"/>
    <w:rsid w:val="00654341"/>
    <w:rsid w:val="00654BFF"/>
    <w:rsid w:val="00655234"/>
    <w:rsid w:val="006556BA"/>
    <w:rsid w:val="00655715"/>
    <w:rsid w:val="0065575F"/>
    <w:rsid w:val="00655784"/>
    <w:rsid w:val="00655802"/>
    <w:rsid w:val="00655925"/>
    <w:rsid w:val="00655B92"/>
    <w:rsid w:val="00656CAF"/>
    <w:rsid w:val="00656D2F"/>
    <w:rsid w:val="00656E22"/>
    <w:rsid w:val="00656EBD"/>
    <w:rsid w:val="006572F0"/>
    <w:rsid w:val="0065751D"/>
    <w:rsid w:val="00657564"/>
    <w:rsid w:val="00657804"/>
    <w:rsid w:val="0065799B"/>
    <w:rsid w:val="006602C1"/>
    <w:rsid w:val="0066034F"/>
    <w:rsid w:val="006603B4"/>
    <w:rsid w:val="0066072A"/>
    <w:rsid w:val="00660A05"/>
    <w:rsid w:val="00660B71"/>
    <w:rsid w:val="006610E6"/>
    <w:rsid w:val="0066122F"/>
    <w:rsid w:val="006616BA"/>
    <w:rsid w:val="0066180C"/>
    <w:rsid w:val="00661D87"/>
    <w:rsid w:val="006620F8"/>
    <w:rsid w:val="00662691"/>
    <w:rsid w:val="00662A3F"/>
    <w:rsid w:val="00662D0B"/>
    <w:rsid w:val="00662D49"/>
    <w:rsid w:val="00663073"/>
    <w:rsid w:val="00663450"/>
    <w:rsid w:val="00663590"/>
    <w:rsid w:val="00663CDF"/>
    <w:rsid w:val="00663E18"/>
    <w:rsid w:val="00663F50"/>
    <w:rsid w:val="00664075"/>
    <w:rsid w:val="0066448A"/>
    <w:rsid w:val="00664531"/>
    <w:rsid w:val="00664787"/>
    <w:rsid w:val="00664B8B"/>
    <w:rsid w:val="00664BDE"/>
    <w:rsid w:val="006655F9"/>
    <w:rsid w:val="00665B44"/>
    <w:rsid w:val="00665BD9"/>
    <w:rsid w:val="00665D69"/>
    <w:rsid w:val="0066603E"/>
    <w:rsid w:val="00666086"/>
    <w:rsid w:val="00667207"/>
    <w:rsid w:val="0066725D"/>
    <w:rsid w:val="006673D2"/>
    <w:rsid w:val="00667891"/>
    <w:rsid w:val="00667922"/>
    <w:rsid w:val="00667A09"/>
    <w:rsid w:val="006701F9"/>
    <w:rsid w:val="0067067C"/>
    <w:rsid w:val="006706F0"/>
    <w:rsid w:val="00670CF6"/>
    <w:rsid w:val="0067113B"/>
    <w:rsid w:val="0067142B"/>
    <w:rsid w:val="006714F8"/>
    <w:rsid w:val="00671660"/>
    <w:rsid w:val="00671FF1"/>
    <w:rsid w:val="00672498"/>
    <w:rsid w:val="006724C5"/>
    <w:rsid w:val="00672C83"/>
    <w:rsid w:val="00672D39"/>
    <w:rsid w:val="00672E38"/>
    <w:rsid w:val="00672E53"/>
    <w:rsid w:val="00672F1B"/>
    <w:rsid w:val="006730D3"/>
    <w:rsid w:val="0067317D"/>
    <w:rsid w:val="0067349B"/>
    <w:rsid w:val="00673596"/>
    <w:rsid w:val="0067365E"/>
    <w:rsid w:val="0067375F"/>
    <w:rsid w:val="00673B80"/>
    <w:rsid w:val="00673DDA"/>
    <w:rsid w:val="00673E40"/>
    <w:rsid w:val="00674078"/>
    <w:rsid w:val="0067478C"/>
    <w:rsid w:val="006748C2"/>
    <w:rsid w:val="00674A35"/>
    <w:rsid w:val="00675214"/>
    <w:rsid w:val="0067545C"/>
    <w:rsid w:val="006755A7"/>
    <w:rsid w:val="006755F2"/>
    <w:rsid w:val="006756A0"/>
    <w:rsid w:val="006757AD"/>
    <w:rsid w:val="00675842"/>
    <w:rsid w:val="006759C2"/>
    <w:rsid w:val="00675ACD"/>
    <w:rsid w:val="00675F82"/>
    <w:rsid w:val="006760B7"/>
    <w:rsid w:val="00676233"/>
    <w:rsid w:val="00676274"/>
    <w:rsid w:val="006765F6"/>
    <w:rsid w:val="00676908"/>
    <w:rsid w:val="00676972"/>
    <w:rsid w:val="00676A6E"/>
    <w:rsid w:val="00676BF8"/>
    <w:rsid w:val="00676EF2"/>
    <w:rsid w:val="006771AA"/>
    <w:rsid w:val="00677460"/>
    <w:rsid w:val="00677476"/>
    <w:rsid w:val="00677CAB"/>
    <w:rsid w:val="00677CF9"/>
    <w:rsid w:val="00677EA7"/>
    <w:rsid w:val="00680237"/>
    <w:rsid w:val="00680410"/>
    <w:rsid w:val="00680915"/>
    <w:rsid w:val="00680AF1"/>
    <w:rsid w:val="00680BC7"/>
    <w:rsid w:val="0068114B"/>
    <w:rsid w:val="0068166F"/>
    <w:rsid w:val="00681B61"/>
    <w:rsid w:val="00681BA0"/>
    <w:rsid w:val="00681DF7"/>
    <w:rsid w:val="006822DE"/>
    <w:rsid w:val="00682331"/>
    <w:rsid w:val="00682610"/>
    <w:rsid w:val="006828B9"/>
    <w:rsid w:val="00682ED6"/>
    <w:rsid w:val="006838F2"/>
    <w:rsid w:val="00683C50"/>
    <w:rsid w:val="0068435C"/>
    <w:rsid w:val="00685233"/>
    <w:rsid w:val="006853D3"/>
    <w:rsid w:val="006858DC"/>
    <w:rsid w:val="00685CEE"/>
    <w:rsid w:val="00685FED"/>
    <w:rsid w:val="006863A7"/>
    <w:rsid w:val="00686A34"/>
    <w:rsid w:val="00686BE7"/>
    <w:rsid w:val="00686D0F"/>
    <w:rsid w:val="006873F3"/>
    <w:rsid w:val="00687E83"/>
    <w:rsid w:val="006905D1"/>
    <w:rsid w:val="006906E0"/>
    <w:rsid w:val="0069073B"/>
    <w:rsid w:val="006907DD"/>
    <w:rsid w:val="00690F14"/>
    <w:rsid w:val="006911FE"/>
    <w:rsid w:val="00691348"/>
    <w:rsid w:val="006913EA"/>
    <w:rsid w:val="006915A3"/>
    <w:rsid w:val="0069182E"/>
    <w:rsid w:val="00691B22"/>
    <w:rsid w:val="00691E31"/>
    <w:rsid w:val="00691F19"/>
    <w:rsid w:val="00691F77"/>
    <w:rsid w:val="00692021"/>
    <w:rsid w:val="006920A9"/>
    <w:rsid w:val="00692123"/>
    <w:rsid w:val="0069271A"/>
    <w:rsid w:val="006927EA"/>
    <w:rsid w:val="00692A71"/>
    <w:rsid w:val="00692EA5"/>
    <w:rsid w:val="0069314C"/>
    <w:rsid w:val="006933DC"/>
    <w:rsid w:val="00693448"/>
    <w:rsid w:val="006938CB"/>
    <w:rsid w:val="00693A4F"/>
    <w:rsid w:val="00693B2E"/>
    <w:rsid w:val="00693EA7"/>
    <w:rsid w:val="0069428D"/>
    <w:rsid w:val="0069478A"/>
    <w:rsid w:val="00694D4B"/>
    <w:rsid w:val="00694F35"/>
    <w:rsid w:val="00695080"/>
    <w:rsid w:val="00695593"/>
    <w:rsid w:val="0069583E"/>
    <w:rsid w:val="00695ACF"/>
    <w:rsid w:val="00695C92"/>
    <w:rsid w:val="00695F4D"/>
    <w:rsid w:val="00696448"/>
    <w:rsid w:val="00696554"/>
    <w:rsid w:val="00696A01"/>
    <w:rsid w:val="00696DD0"/>
    <w:rsid w:val="0069777F"/>
    <w:rsid w:val="00697799"/>
    <w:rsid w:val="00697B06"/>
    <w:rsid w:val="006A0299"/>
    <w:rsid w:val="006A09EE"/>
    <w:rsid w:val="006A0EE1"/>
    <w:rsid w:val="006A1098"/>
    <w:rsid w:val="006A10C7"/>
    <w:rsid w:val="006A1108"/>
    <w:rsid w:val="006A13CC"/>
    <w:rsid w:val="006A1653"/>
    <w:rsid w:val="006A1683"/>
    <w:rsid w:val="006A173C"/>
    <w:rsid w:val="006A19E3"/>
    <w:rsid w:val="006A2255"/>
    <w:rsid w:val="006A267A"/>
    <w:rsid w:val="006A298A"/>
    <w:rsid w:val="006A2A8A"/>
    <w:rsid w:val="006A2AD5"/>
    <w:rsid w:val="006A2BB0"/>
    <w:rsid w:val="006A30ED"/>
    <w:rsid w:val="006A367F"/>
    <w:rsid w:val="006A381E"/>
    <w:rsid w:val="006A384C"/>
    <w:rsid w:val="006A3A27"/>
    <w:rsid w:val="006A3D28"/>
    <w:rsid w:val="006A3E63"/>
    <w:rsid w:val="006A507E"/>
    <w:rsid w:val="006A5237"/>
    <w:rsid w:val="006A5572"/>
    <w:rsid w:val="006A57E9"/>
    <w:rsid w:val="006A5AC9"/>
    <w:rsid w:val="006A5FAE"/>
    <w:rsid w:val="006A5FCE"/>
    <w:rsid w:val="006A60EE"/>
    <w:rsid w:val="006A61B5"/>
    <w:rsid w:val="006A69CB"/>
    <w:rsid w:val="006A6E4B"/>
    <w:rsid w:val="006A7124"/>
    <w:rsid w:val="006A741E"/>
    <w:rsid w:val="006A797C"/>
    <w:rsid w:val="006A7AAA"/>
    <w:rsid w:val="006B0408"/>
    <w:rsid w:val="006B0535"/>
    <w:rsid w:val="006B060A"/>
    <w:rsid w:val="006B0813"/>
    <w:rsid w:val="006B0D21"/>
    <w:rsid w:val="006B0E5E"/>
    <w:rsid w:val="006B0EDD"/>
    <w:rsid w:val="006B116C"/>
    <w:rsid w:val="006B12A7"/>
    <w:rsid w:val="006B14B3"/>
    <w:rsid w:val="006B14FE"/>
    <w:rsid w:val="006B17C7"/>
    <w:rsid w:val="006B1823"/>
    <w:rsid w:val="006B190F"/>
    <w:rsid w:val="006B1B32"/>
    <w:rsid w:val="006B1BEB"/>
    <w:rsid w:val="006B1DF2"/>
    <w:rsid w:val="006B1E2D"/>
    <w:rsid w:val="006B26C2"/>
    <w:rsid w:val="006B2816"/>
    <w:rsid w:val="006B286A"/>
    <w:rsid w:val="006B2C49"/>
    <w:rsid w:val="006B303F"/>
    <w:rsid w:val="006B327D"/>
    <w:rsid w:val="006B3332"/>
    <w:rsid w:val="006B35C4"/>
    <w:rsid w:val="006B36BE"/>
    <w:rsid w:val="006B45FE"/>
    <w:rsid w:val="006B4971"/>
    <w:rsid w:val="006B4CED"/>
    <w:rsid w:val="006B511E"/>
    <w:rsid w:val="006B5642"/>
    <w:rsid w:val="006B5643"/>
    <w:rsid w:val="006B5746"/>
    <w:rsid w:val="006B5827"/>
    <w:rsid w:val="006B5E90"/>
    <w:rsid w:val="006B6045"/>
    <w:rsid w:val="006B60D2"/>
    <w:rsid w:val="006B61F0"/>
    <w:rsid w:val="006B6572"/>
    <w:rsid w:val="006B6A6F"/>
    <w:rsid w:val="006B6B63"/>
    <w:rsid w:val="006B6F00"/>
    <w:rsid w:val="006B71FA"/>
    <w:rsid w:val="006B750F"/>
    <w:rsid w:val="006B7568"/>
    <w:rsid w:val="006B76E9"/>
    <w:rsid w:val="006B76F6"/>
    <w:rsid w:val="006B772C"/>
    <w:rsid w:val="006B7E17"/>
    <w:rsid w:val="006B7E1B"/>
    <w:rsid w:val="006B7FE0"/>
    <w:rsid w:val="006C062C"/>
    <w:rsid w:val="006C07CE"/>
    <w:rsid w:val="006C0DB4"/>
    <w:rsid w:val="006C1200"/>
    <w:rsid w:val="006C146A"/>
    <w:rsid w:val="006C1582"/>
    <w:rsid w:val="006C1639"/>
    <w:rsid w:val="006C1655"/>
    <w:rsid w:val="006C1693"/>
    <w:rsid w:val="006C16F4"/>
    <w:rsid w:val="006C1722"/>
    <w:rsid w:val="006C1954"/>
    <w:rsid w:val="006C1A14"/>
    <w:rsid w:val="006C252B"/>
    <w:rsid w:val="006C26A9"/>
    <w:rsid w:val="006C273B"/>
    <w:rsid w:val="006C287F"/>
    <w:rsid w:val="006C3328"/>
    <w:rsid w:val="006C3EF8"/>
    <w:rsid w:val="006C432A"/>
    <w:rsid w:val="006C44D4"/>
    <w:rsid w:val="006C463C"/>
    <w:rsid w:val="006C470F"/>
    <w:rsid w:val="006C4B71"/>
    <w:rsid w:val="006C4BBB"/>
    <w:rsid w:val="006C520D"/>
    <w:rsid w:val="006C5C51"/>
    <w:rsid w:val="006C5D67"/>
    <w:rsid w:val="006C5FC0"/>
    <w:rsid w:val="006C6067"/>
    <w:rsid w:val="006C66CB"/>
    <w:rsid w:val="006C6740"/>
    <w:rsid w:val="006C695D"/>
    <w:rsid w:val="006C6F24"/>
    <w:rsid w:val="006C71D7"/>
    <w:rsid w:val="006C73BB"/>
    <w:rsid w:val="006C7559"/>
    <w:rsid w:val="006C778A"/>
    <w:rsid w:val="006C7A34"/>
    <w:rsid w:val="006C7CA5"/>
    <w:rsid w:val="006D0792"/>
    <w:rsid w:val="006D08FE"/>
    <w:rsid w:val="006D0B37"/>
    <w:rsid w:val="006D0EA6"/>
    <w:rsid w:val="006D1076"/>
    <w:rsid w:val="006D1319"/>
    <w:rsid w:val="006D13AA"/>
    <w:rsid w:val="006D147C"/>
    <w:rsid w:val="006D24A6"/>
    <w:rsid w:val="006D25A9"/>
    <w:rsid w:val="006D275C"/>
    <w:rsid w:val="006D2896"/>
    <w:rsid w:val="006D28D8"/>
    <w:rsid w:val="006D2945"/>
    <w:rsid w:val="006D2C88"/>
    <w:rsid w:val="006D2DDC"/>
    <w:rsid w:val="006D2DED"/>
    <w:rsid w:val="006D2EBC"/>
    <w:rsid w:val="006D2FC9"/>
    <w:rsid w:val="006D3084"/>
    <w:rsid w:val="006D3329"/>
    <w:rsid w:val="006D3564"/>
    <w:rsid w:val="006D35DB"/>
    <w:rsid w:val="006D3878"/>
    <w:rsid w:val="006D3BD5"/>
    <w:rsid w:val="006D3D46"/>
    <w:rsid w:val="006D3F73"/>
    <w:rsid w:val="006D3FC6"/>
    <w:rsid w:val="006D423C"/>
    <w:rsid w:val="006D43BC"/>
    <w:rsid w:val="006D4A4B"/>
    <w:rsid w:val="006D4C96"/>
    <w:rsid w:val="006D51B2"/>
    <w:rsid w:val="006D51BE"/>
    <w:rsid w:val="006D5428"/>
    <w:rsid w:val="006D5BD9"/>
    <w:rsid w:val="006D5E05"/>
    <w:rsid w:val="006D6007"/>
    <w:rsid w:val="006D6374"/>
    <w:rsid w:val="006D6503"/>
    <w:rsid w:val="006D6551"/>
    <w:rsid w:val="006D6574"/>
    <w:rsid w:val="006D68CC"/>
    <w:rsid w:val="006D6C0E"/>
    <w:rsid w:val="006D6E49"/>
    <w:rsid w:val="006D6EA3"/>
    <w:rsid w:val="006D73F0"/>
    <w:rsid w:val="006D7ABD"/>
    <w:rsid w:val="006D7C81"/>
    <w:rsid w:val="006D7EAE"/>
    <w:rsid w:val="006E008C"/>
    <w:rsid w:val="006E0166"/>
    <w:rsid w:val="006E023C"/>
    <w:rsid w:val="006E03ED"/>
    <w:rsid w:val="006E0479"/>
    <w:rsid w:val="006E0536"/>
    <w:rsid w:val="006E074E"/>
    <w:rsid w:val="006E0A3A"/>
    <w:rsid w:val="006E0A71"/>
    <w:rsid w:val="006E0DFE"/>
    <w:rsid w:val="006E0FAB"/>
    <w:rsid w:val="006E114A"/>
    <w:rsid w:val="006E1417"/>
    <w:rsid w:val="006E155D"/>
    <w:rsid w:val="006E15A6"/>
    <w:rsid w:val="006E18F7"/>
    <w:rsid w:val="006E1BEA"/>
    <w:rsid w:val="006E2399"/>
    <w:rsid w:val="006E23D2"/>
    <w:rsid w:val="006E23E9"/>
    <w:rsid w:val="006E24E4"/>
    <w:rsid w:val="006E2AAF"/>
    <w:rsid w:val="006E3112"/>
    <w:rsid w:val="006E31B8"/>
    <w:rsid w:val="006E34C5"/>
    <w:rsid w:val="006E3950"/>
    <w:rsid w:val="006E3E8F"/>
    <w:rsid w:val="006E4278"/>
    <w:rsid w:val="006E46E8"/>
    <w:rsid w:val="006E486E"/>
    <w:rsid w:val="006E4F48"/>
    <w:rsid w:val="006E55F3"/>
    <w:rsid w:val="006E57E8"/>
    <w:rsid w:val="006E5B34"/>
    <w:rsid w:val="006E5C21"/>
    <w:rsid w:val="006E5CAF"/>
    <w:rsid w:val="006E5E22"/>
    <w:rsid w:val="006E6000"/>
    <w:rsid w:val="006E61AD"/>
    <w:rsid w:val="006E61B8"/>
    <w:rsid w:val="006E64BA"/>
    <w:rsid w:val="006E6C8F"/>
    <w:rsid w:val="006E6D63"/>
    <w:rsid w:val="006E6D64"/>
    <w:rsid w:val="006E7152"/>
    <w:rsid w:val="006E73DD"/>
    <w:rsid w:val="006E773E"/>
    <w:rsid w:val="006E7BB5"/>
    <w:rsid w:val="006E7F4B"/>
    <w:rsid w:val="006F02C0"/>
    <w:rsid w:val="006F0483"/>
    <w:rsid w:val="006F04BD"/>
    <w:rsid w:val="006F0906"/>
    <w:rsid w:val="006F0A6B"/>
    <w:rsid w:val="006F0ADB"/>
    <w:rsid w:val="006F0DE1"/>
    <w:rsid w:val="006F0E8A"/>
    <w:rsid w:val="006F110D"/>
    <w:rsid w:val="006F11FA"/>
    <w:rsid w:val="006F13BA"/>
    <w:rsid w:val="006F1455"/>
    <w:rsid w:val="006F182C"/>
    <w:rsid w:val="006F1DED"/>
    <w:rsid w:val="006F1FB7"/>
    <w:rsid w:val="006F2302"/>
    <w:rsid w:val="006F251E"/>
    <w:rsid w:val="006F25E5"/>
    <w:rsid w:val="006F25EF"/>
    <w:rsid w:val="006F2759"/>
    <w:rsid w:val="006F27D5"/>
    <w:rsid w:val="006F2C55"/>
    <w:rsid w:val="006F2D33"/>
    <w:rsid w:val="006F2D7A"/>
    <w:rsid w:val="006F2D8C"/>
    <w:rsid w:val="006F37D0"/>
    <w:rsid w:val="006F3BE9"/>
    <w:rsid w:val="006F3F9F"/>
    <w:rsid w:val="006F417B"/>
    <w:rsid w:val="006F4220"/>
    <w:rsid w:val="006F4238"/>
    <w:rsid w:val="006F437D"/>
    <w:rsid w:val="006F461A"/>
    <w:rsid w:val="006F46FF"/>
    <w:rsid w:val="006F47C7"/>
    <w:rsid w:val="006F4C72"/>
    <w:rsid w:val="006F4DDC"/>
    <w:rsid w:val="006F4FD7"/>
    <w:rsid w:val="006F527C"/>
    <w:rsid w:val="006F570C"/>
    <w:rsid w:val="006F596E"/>
    <w:rsid w:val="006F59FA"/>
    <w:rsid w:val="006F5E29"/>
    <w:rsid w:val="006F64A9"/>
    <w:rsid w:val="006F6BB5"/>
    <w:rsid w:val="006F7104"/>
    <w:rsid w:val="006F7B5C"/>
    <w:rsid w:val="006F7CBD"/>
    <w:rsid w:val="0070080B"/>
    <w:rsid w:val="00701020"/>
    <w:rsid w:val="00701176"/>
    <w:rsid w:val="007011CA"/>
    <w:rsid w:val="00701265"/>
    <w:rsid w:val="00701AFC"/>
    <w:rsid w:val="00702366"/>
    <w:rsid w:val="00702386"/>
    <w:rsid w:val="007023EE"/>
    <w:rsid w:val="00702415"/>
    <w:rsid w:val="0070265D"/>
    <w:rsid w:val="00703753"/>
    <w:rsid w:val="007039E6"/>
    <w:rsid w:val="00703A69"/>
    <w:rsid w:val="00703CB5"/>
    <w:rsid w:val="00703CE8"/>
    <w:rsid w:val="00704415"/>
    <w:rsid w:val="007044B7"/>
    <w:rsid w:val="00704737"/>
    <w:rsid w:val="00704C1B"/>
    <w:rsid w:val="0070537C"/>
    <w:rsid w:val="007059EA"/>
    <w:rsid w:val="00705C54"/>
    <w:rsid w:val="00705C82"/>
    <w:rsid w:val="00705D34"/>
    <w:rsid w:val="00705DAE"/>
    <w:rsid w:val="0070638A"/>
    <w:rsid w:val="007064AB"/>
    <w:rsid w:val="007066EA"/>
    <w:rsid w:val="007067C8"/>
    <w:rsid w:val="007068D3"/>
    <w:rsid w:val="00707097"/>
    <w:rsid w:val="00707296"/>
    <w:rsid w:val="00707CCC"/>
    <w:rsid w:val="00707DD1"/>
    <w:rsid w:val="0071015D"/>
    <w:rsid w:val="0071048A"/>
    <w:rsid w:val="00710849"/>
    <w:rsid w:val="00710906"/>
    <w:rsid w:val="00710ABC"/>
    <w:rsid w:val="007112E2"/>
    <w:rsid w:val="007112E3"/>
    <w:rsid w:val="007113ED"/>
    <w:rsid w:val="00711481"/>
    <w:rsid w:val="00711484"/>
    <w:rsid w:val="007114AA"/>
    <w:rsid w:val="007118F6"/>
    <w:rsid w:val="00711C5A"/>
    <w:rsid w:val="00711FBE"/>
    <w:rsid w:val="00712157"/>
    <w:rsid w:val="00712245"/>
    <w:rsid w:val="00712433"/>
    <w:rsid w:val="007129A9"/>
    <w:rsid w:val="00712CAB"/>
    <w:rsid w:val="00712E01"/>
    <w:rsid w:val="00712F41"/>
    <w:rsid w:val="0071398B"/>
    <w:rsid w:val="007139B9"/>
    <w:rsid w:val="00713A7E"/>
    <w:rsid w:val="00713AB4"/>
    <w:rsid w:val="00713B88"/>
    <w:rsid w:val="00713CA0"/>
    <w:rsid w:val="00713D86"/>
    <w:rsid w:val="0071413B"/>
    <w:rsid w:val="00714CDA"/>
    <w:rsid w:val="00714CFB"/>
    <w:rsid w:val="00715639"/>
    <w:rsid w:val="0071564C"/>
    <w:rsid w:val="0071588B"/>
    <w:rsid w:val="00715CCD"/>
    <w:rsid w:val="00715CF4"/>
    <w:rsid w:val="00715D96"/>
    <w:rsid w:val="00715DEC"/>
    <w:rsid w:val="00715F5A"/>
    <w:rsid w:val="00715F9E"/>
    <w:rsid w:val="00716316"/>
    <w:rsid w:val="007169AE"/>
    <w:rsid w:val="00716A79"/>
    <w:rsid w:val="00716C7F"/>
    <w:rsid w:val="00716D33"/>
    <w:rsid w:val="00716F5E"/>
    <w:rsid w:val="00717312"/>
    <w:rsid w:val="0071734B"/>
    <w:rsid w:val="00717363"/>
    <w:rsid w:val="007173F8"/>
    <w:rsid w:val="00717478"/>
    <w:rsid w:val="00717495"/>
    <w:rsid w:val="007175B3"/>
    <w:rsid w:val="007200F0"/>
    <w:rsid w:val="0072010C"/>
    <w:rsid w:val="0072024F"/>
    <w:rsid w:val="00720595"/>
    <w:rsid w:val="00720783"/>
    <w:rsid w:val="00720908"/>
    <w:rsid w:val="007209A3"/>
    <w:rsid w:val="00720BAF"/>
    <w:rsid w:val="00720D0A"/>
    <w:rsid w:val="00720E13"/>
    <w:rsid w:val="00720F8A"/>
    <w:rsid w:val="0072106A"/>
    <w:rsid w:val="007210A9"/>
    <w:rsid w:val="00721165"/>
    <w:rsid w:val="007212F6"/>
    <w:rsid w:val="00721348"/>
    <w:rsid w:val="00721375"/>
    <w:rsid w:val="007214FA"/>
    <w:rsid w:val="007215EB"/>
    <w:rsid w:val="0072160A"/>
    <w:rsid w:val="00721758"/>
    <w:rsid w:val="00721C69"/>
    <w:rsid w:val="00722328"/>
    <w:rsid w:val="00722511"/>
    <w:rsid w:val="007229E4"/>
    <w:rsid w:val="00722A7F"/>
    <w:rsid w:val="00723D58"/>
    <w:rsid w:val="00723FE7"/>
    <w:rsid w:val="0072433B"/>
    <w:rsid w:val="0072467D"/>
    <w:rsid w:val="0072483E"/>
    <w:rsid w:val="0072486C"/>
    <w:rsid w:val="00724E16"/>
    <w:rsid w:val="00724E6E"/>
    <w:rsid w:val="0072527E"/>
    <w:rsid w:val="00725541"/>
    <w:rsid w:val="00725662"/>
    <w:rsid w:val="007257E3"/>
    <w:rsid w:val="00725ADC"/>
    <w:rsid w:val="00725B01"/>
    <w:rsid w:val="00725D25"/>
    <w:rsid w:val="00726407"/>
    <w:rsid w:val="00726A00"/>
    <w:rsid w:val="00726A3A"/>
    <w:rsid w:val="00726F72"/>
    <w:rsid w:val="007272EE"/>
    <w:rsid w:val="007272F6"/>
    <w:rsid w:val="00727389"/>
    <w:rsid w:val="00727575"/>
    <w:rsid w:val="00727F09"/>
    <w:rsid w:val="00727FCA"/>
    <w:rsid w:val="007305CE"/>
    <w:rsid w:val="007308B5"/>
    <w:rsid w:val="00730D3B"/>
    <w:rsid w:val="0073108A"/>
    <w:rsid w:val="00731519"/>
    <w:rsid w:val="0073160F"/>
    <w:rsid w:val="007318A1"/>
    <w:rsid w:val="00731937"/>
    <w:rsid w:val="007321A4"/>
    <w:rsid w:val="00732288"/>
    <w:rsid w:val="0073242A"/>
    <w:rsid w:val="0073244F"/>
    <w:rsid w:val="00732488"/>
    <w:rsid w:val="00732506"/>
    <w:rsid w:val="00732AD8"/>
    <w:rsid w:val="00732BC6"/>
    <w:rsid w:val="00732DF0"/>
    <w:rsid w:val="00732E76"/>
    <w:rsid w:val="007333B4"/>
    <w:rsid w:val="00733767"/>
    <w:rsid w:val="00733BE4"/>
    <w:rsid w:val="00733DD2"/>
    <w:rsid w:val="00734A86"/>
    <w:rsid w:val="00734B7C"/>
    <w:rsid w:val="00734E3B"/>
    <w:rsid w:val="0073522B"/>
    <w:rsid w:val="007352F5"/>
    <w:rsid w:val="007353F4"/>
    <w:rsid w:val="00735B15"/>
    <w:rsid w:val="00735C61"/>
    <w:rsid w:val="00735C8E"/>
    <w:rsid w:val="00735D8D"/>
    <w:rsid w:val="00735DFA"/>
    <w:rsid w:val="00735F93"/>
    <w:rsid w:val="00736066"/>
    <w:rsid w:val="0073663C"/>
    <w:rsid w:val="00736A5D"/>
    <w:rsid w:val="00737336"/>
    <w:rsid w:val="007374FE"/>
    <w:rsid w:val="00737A38"/>
    <w:rsid w:val="00737BEC"/>
    <w:rsid w:val="00737F14"/>
    <w:rsid w:val="0074025B"/>
    <w:rsid w:val="007403E3"/>
    <w:rsid w:val="007407CB"/>
    <w:rsid w:val="0074099F"/>
    <w:rsid w:val="00740A4A"/>
    <w:rsid w:val="0074193C"/>
    <w:rsid w:val="00741A1A"/>
    <w:rsid w:val="00741EA4"/>
    <w:rsid w:val="00742A1E"/>
    <w:rsid w:val="00742A28"/>
    <w:rsid w:val="00742EC9"/>
    <w:rsid w:val="00742F12"/>
    <w:rsid w:val="00743251"/>
    <w:rsid w:val="007433A6"/>
    <w:rsid w:val="0074377C"/>
    <w:rsid w:val="00743CD4"/>
    <w:rsid w:val="00743D0E"/>
    <w:rsid w:val="00743DF1"/>
    <w:rsid w:val="00744138"/>
    <w:rsid w:val="0074435F"/>
    <w:rsid w:val="0074446D"/>
    <w:rsid w:val="00744633"/>
    <w:rsid w:val="00744814"/>
    <w:rsid w:val="00744888"/>
    <w:rsid w:val="00744D1A"/>
    <w:rsid w:val="0074507B"/>
    <w:rsid w:val="007453A7"/>
    <w:rsid w:val="00745468"/>
    <w:rsid w:val="007455A6"/>
    <w:rsid w:val="00745789"/>
    <w:rsid w:val="00745894"/>
    <w:rsid w:val="00745D76"/>
    <w:rsid w:val="00745EE2"/>
    <w:rsid w:val="00746399"/>
    <w:rsid w:val="00746443"/>
    <w:rsid w:val="00746518"/>
    <w:rsid w:val="00746CD5"/>
    <w:rsid w:val="00746F1C"/>
    <w:rsid w:val="00746F70"/>
    <w:rsid w:val="00747223"/>
    <w:rsid w:val="00747371"/>
    <w:rsid w:val="007475B7"/>
    <w:rsid w:val="00747643"/>
    <w:rsid w:val="0074764D"/>
    <w:rsid w:val="007477CD"/>
    <w:rsid w:val="00747E65"/>
    <w:rsid w:val="007503C3"/>
    <w:rsid w:val="007504BD"/>
    <w:rsid w:val="00750525"/>
    <w:rsid w:val="00750605"/>
    <w:rsid w:val="00750AFC"/>
    <w:rsid w:val="00750BEF"/>
    <w:rsid w:val="007510EB"/>
    <w:rsid w:val="00751412"/>
    <w:rsid w:val="00751736"/>
    <w:rsid w:val="0075181E"/>
    <w:rsid w:val="00751956"/>
    <w:rsid w:val="007519A9"/>
    <w:rsid w:val="00751BD6"/>
    <w:rsid w:val="00752175"/>
    <w:rsid w:val="0075236D"/>
    <w:rsid w:val="0075243D"/>
    <w:rsid w:val="00752711"/>
    <w:rsid w:val="00752F87"/>
    <w:rsid w:val="00753032"/>
    <w:rsid w:val="00753369"/>
    <w:rsid w:val="007536A5"/>
    <w:rsid w:val="00753CBF"/>
    <w:rsid w:val="00753E3C"/>
    <w:rsid w:val="007540B7"/>
    <w:rsid w:val="007540CF"/>
    <w:rsid w:val="00754138"/>
    <w:rsid w:val="007541C5"/>
    <w:rsid w:val="007542B4"/>
    <w:rsid w:val="00754584"/>
    <w:rsid w:val="007546F7"/>
    <w:rsid w:val="00754862"/>
    <w:rsid w:val="00754E59"/>
    <w:rsid w:val="00755563"/>
    <w:rsid w:val="007556A2"/>
    <w:rsid w:val="007559FF"/>
    <w:rsid w:val="00755DFB"/>
    <w:rsid w:val="0075649A"/>
    <w:rsid w:val="0075652D"/>
    <w:rsid w:val="00756854"/>
    <w:rsid w:val="00756864"/>
    <w:rsid w:val="0075691B"/>
    <w:rsid w:val="00756949"/>
    <w:rsid w:val="00756E06"/>
    <w:rsid w:val="007571CB"/>
    <w:rsid w:val="007576B8"/>
    <w:rsid w:val="00757DDC"/>
    <w:rsid w:val="007602D5"/>
    <w:rsid w:val="00760C03"/>
    <w:rsid w:val="00760D0A"/>
    <w:rsid w:val="00760D14"/>
    <w:rsid w:val="00760FDB"/>
    <w:rsid w:val="0076106D"/>
    <w:rsid w:val="007614CA"/>
    <w:rsid w:val="00761FF8"/>
    <w:rsid w:val="00762184"/>
    <w:rsid w:val="00762550"/>
    <w:rsid w:val="0076282B"/>
    <w:rsid w:val="00762906"/>
    <w:rsid w:val="00762B36"/>
    <w:rsid w:val="00762B5F"/>
    <w:rsid w:val="00762F9D"/>
    <w:rsid w:val="007635D1"/>
    <w:rsid w:val="007641EE"/>
    <w:rsid w:val="007644AC"/>
    <w:rsid w:val="00764769"/>
    <w:rsid w:val="00764D97"/>
    <w:rsid w:val="00764F6B"/>
    <w:rsid w:val="00764F84"/>
    <w:rsid w:val="00765219"/>
    <w:rsid w:val="00765812"/>
    <w:rsid w:val="00765999"/>
    <w:rsid w:val="00765C95"/>
    <w:rsid w:val="0076617E"/>
    <w:rsid w:val="007661B9"/>
    <w:rsid w:val="007663EC"/>
    <w:rsid w:val="0076655A"/>
    <w:rsid w:val="007665B2"/>
    <w:rsid w:val="00766636"/>
    <w:rsid w:val="00766869"/>
    <w:rsid w:val="00766A21"/>
    <w:rsid w:val="00766B62"/>
    <w:rsid w:val="00766D74"/>
    <w:rsid w:val="00766E20"/>
    <w:rsid w:val="00767361"/>
    <w:rsid w:val="0076755B"/>
    <w:rsid w:val="007679C3"/>
    <w:rsid w:val="00767A0D"/>
    <w:rsid w:val="00767B0E"/>
    <w:rsid w:val="00767BC9"/>
    <w:rsid w:val="00767DAD"/>
    <w:rsid w:val="00767F7E"/>
    <w:rsid w:val="00770279"/>
    <w:rsid w:val="007706BC"/>
    <w:rsid w:val="007708D0"/>
    <w:rsid w:val="00770971"/>
    <w:rsid w:val="00770C42"/>
    <w:rsid w:val="00770D3F"/>
    <w:rsid w:val="0077101A"/>
    <w:rsid w:val="0077107F"/>
    <w:rsid w:val="007712AC"/>
    <w:rsid w:val="00771669"/>
    <w:rsid w:val="00771A08"/>
    <w:rsid w:val="00771B07"/>
    <w:rsid w:val="007729C9"/>
    <w:rsid w:val="00772A03"/>
    <w:rsid w:val="00772BF9"/>
    <w:rsid w:val="00772D04"/>
    <w:rsid w:val="00772D58"/>
    <w:rsid w:val="00772DF7"/>
    <w:rsid w:val="00772F18"/>
    <w:rsid w:val="00773BD8"/>
    <w:rsid w:val="007740E4"/>
    <w:rsid w:val="00774153"/>
    <w:rsid w:val="00774F90"/>
    <w:rsid w:val="007750B5"/>
    <w:rsid w:val="007751EC"/>
    <w:rsid w:val="00775367"/>
    <w:rsid w:val="007757D4"/>
    <w:rsid w:val="00775B73"/>
    <w:rsid w:val="0077612A"/>
    <w:rsid w:val="00776402"/>
    <w:rsid w:val="00776B83"/>
    <w:rsid w:val="00776E22"/>
    <w:rsid w:val="0077709A"/>
    <w:rsid w:val="007770C2"/>
    <w:rsid w:val="00777355"/>
    <w:rsid w:val="00777490"/>
    <w:rsid w:val="00777B99"/>
    <w:rsid w:val="0078029A"/>
    <w:rsid w:val="00780370"/>
    <w:rsid w:val="00780718"/>
    <w:rsid w:val="0078089C"/>
    <w:rsid w:val="00780A02"/>
    <w:rsid w:val="00780BBC"/>
    <w:rsid w:val="00780C7F"/>
    <w:rsid w:val="00780D49"/>
    <w:rsid w:val="00780DD2"/>
    <w:rsid w:val="00780E6E"/>
    <w:rsid w:val="0078169E"/>
    <w:rsid w:val="007816FB"/>
    <w:rsid w:val="00781727"/>
    <w:rsid w:val="00781783"/>
    <w:rsid w:val="0078194F"/>
    <w:rsid w:val="0078195E"/>
    <w:rsid w:val="00781974"/>
    <w:rsid w:val="00781B63"/>
    <w:rsid w:val="007823D3"/>
    <w:rsid w:val="00782716"/>
    <w:rsid w:val="007827D4"/>
    <w:rsid w:val="00782A2E"/>
    <w:rsid w:val="00782A7A"/>
    <w:rsid w:val="00782E31"/>
    <w:rsid w:val="007831BA"/>
    <w:rsid w:val="00783228"/>
    <w:rsid w:val="0078337C"/>
    <w:rsid w:val="00783771"/>
    <w:rsid w:val="007837DE"/>
    <w:rsid w:val="007837E1"/>
    <w:rsid w:val="0078392F"/>
    <w:rsid w:val="00783A27"/>
    <w:rsid w:val="00783B6F"/>
    <w:rsid w:val="00783BEC"/>
    <w:rsid w:val="00783C7D"/>
    <w:rsid w:val="00783D92"/>
    <w:rsid w:val="00783FF2"/>
    <w:rsid w:val="007843D7"/>
    <w:rsid w:val="00784942"/>
    <w:rsid w:val="00784A81"/>
    <w:rsid w:val="00784C03"/>
    <w:rsid w:val="0078523D"/>
    <w:rsid w:val="00785523"/>
    <w:rsid w:val="0078553A"/>
    <w:rsid w:val="007855F9"/>
    <w:rsid w:val="00785737"/>
    <w:rsid w:val="00785AB3"/>
    <w:rsid w:val="00785FB7"/>
    <w:rsid w:val="007869B0"/>
    <w:rsid w:val="00786A3A"/>
    <w:rsid w:val="00786AD5"/>
    <w:rsid w:val="007870E2"/>
    <w:rsid w:val="00787561"/>
    <w:rsid w:val="007875FA"/>
    <w:rsid w:val="007878B6"/>
    <w:rsid w:val="0078795F"/>
    <w:rsid w:val="00787BEB"/>
    <w:rsid w:val="00787D27"/>
    <w:rsid w:val="0079031C"/>
    <w:rsid w:val="007903F4"/>
    <w:rsid w:val="00790667"/>
    <w:rsid w:val="007909A5"/>
    <w:rsid w:val="00790D7C"/>
    <w:rsid w:val="00790E6A"/>
    <w:rsid w:val="007911FC"/>
    <w:rsid w:val="0079133A"/>
    <w:rsid w:val="00791414"/>
    <w:rsid w:val="007914C6"/>
    <w:rsid w:val="00791568"/>
    <w:rsid w:val="00791833"/>
    <w:rsid w:val="00791A34"/>
    <w:rsid w:val="00791E56"/>
    <w:rsid w:val="0079208F"/>
    <w:rsid w:val="00792473"/>
    <w:rsid w:val="007928DD"/>
    <w:rsid w:val="00792CFF"/>
    <w:rsid w:val="00792D28"/>
    <w:rsid w:val="00792F20"/>
    <w:rsid w:val="0079321E"/>
    <w:rsid w:val="00793391"/>
    <w:rsid w:val="007934ED"/>
    <w:rsid w:val="007944D2"/>
    <w:rsid w:val="007956CB"/>
    <w:rsid w:val="00795722"/>
    <w:rsid w:val="007957A3"/>
    <w:rsid w:val="007960F4"/>
    <w:rsid w:val="00796458"/>
    <w:rsid w:val="0079671D"/>
    <w:rsid w:val="0079676A"/>
    <w:rsid w:val="007967C5"/>
    <w:rsid w:val="00796D3B"/>
    <w:rsid w:val="00796DA3"/>
    <w:rsid w:val="00797440"/>
    <w:rsid w:val="00797598"/>
    <w:rsid w:val="00797622"/>
    <w:rsid w:val="007976A0"/>
    <w:rsid w:val="007979CA"/>
    <w:rsid w:val="00797B5B"/>
    <w:rsid w:val="00797C0F"/>
    <w:rsid w:val="007A021D"/>
    <w:rsid w:val="007A03AE"/>
    <w:rsid w:val="007A09DB"/>
    <w:rsid w:val="007A12E2"/>
    <w:rsid w:val="007A2345"/>
    <w:rsid w:val="007A2523"/>
    <w:rsid w:val="007A2D44"/>
    <w:rsid w:val="007A2E54"/>
    <w:rsid w:val="007A3F09"/>
    <w:rsid w:val="007A42F5"/>
    <w:rsid w:val="007A4436"/>
    <w:rsid w:val="007A46AA"/>
    <w:rsid w:val="007A5338"/>
    <w:rsid w:val="007A55C4"/>
    <w:rsid w:val="007A56AC"/>
    <w:rsid w:val="007A59B0"/>
    <w:rsid w:val="007A5A81"/>
    <w:rsid w:val="007A5CDF"/>
    <w:rsid w:val="007A618E"/>
    <w:rsid w:val="007A63BE"/>
    <w:rsid w:val="007A65FD"/>
    <w:rsid w:val="007A66D6"/>
    <w:rsid w:val="007A69E1"/>
    <w:rsid w:val="007A6BC2"/>
    <w:rsid w:val="007A6DB8"/>
    <w:rsid w:val="007A6FB4"/>
    <w:rsid w:val="007A74BE"/>
    <w:rsid w:val="007A7748"/>
    <w:rsid w:val="007A78DE"/>
    <w:rsid w:val="007A7EFC"/>
    <w:rsid w:val="007B0172"/>
    <w:rsid w:val="007B0755"/>
    <w:rsid w:val="007B0AF6"/>
    <w:rsid w:val="007B1032"/>
    <w:rsid w:val="007B1DCD"/>
    <w:rsid w:val="007B2048"/>
    <w:rsid w:val="007B2168"/>
    <w:rsid w:val="007B233C"/>
    <w:rsid w:val="007B25B0"/>
    <w:rsid w:val="007B2A45"/>
    <w:rsid w:val="007B2E39"/>
    <w:rsid w:val="007B331C"/>
    <w:rsid w:val="007B34EC"/>
    <w:rsid w:val="007B34FB"/>
    <w:rsid w:val="007B3D2C"/>
    <w:rsid w:val="007B405A"/>
    <w:rsid w:val="007B425D"/>
    <w:rsid w:val="007B45D7"/>
    <w:rsid w:val="007B4788"/>
    <w:rsid w:val="007B47D3"/>
    <w:rsid w:val="007B4F8F"/>
    <w:rsid w:val="007B57CB"/>
    <w:rsid w:val="007B5F7C"/>
    <w:rsid w:val="007B64D7"/>
    <w:rsid w:val="007B6704"/>
    <w:rsid w:val="007B6990"/>
    <w:rsid w:val="007B6DAC"/>
    <w:rsid w:val="007B7017"/>
    <w:rsid w:val="007B71B3"/>
    <w:rsid w:val="007B724E"/>
    <w:rsid w:val="007B727D"/>
    <w:rsid w:val="007B727E"/>
    <w:rsid w:val="007B78BE"/>
    <w:rsid w:val="007B7924"/>
    <w:rsid w:val="007C04BE"/>
    <w:rsid w:val="007C0977"/>
    <w:rsid w:val="007C09BD"/>
    <w:rsid w:val="007C09DC"/>
    <w:rsid w:val="007C0AE2"/>
    <w:rsid w:val="007C0E5E"/>
    <w:rsid w:val="007C11B8"/>
    <w:rsid w:val="007C125E"/>
    <w:rsid w:val="007C165E"/>
    <w:rsid w:val="007C211B"/>
    <w:rsid w:val="007C2178"/>
    <w:rsid w:val="007C22E7"/>
    <w:rsid w:val="007C2376"/>
    <w:rsid w:val="007C23B1"/>
    <w:rsid w:val="007C2553"/>
    <w:rsid w:val="007C2599"/>
    <w:rsid w:val="007C25A5"/>
    <w:rsid w:val="007C25A7"/>
    <w:rsid w:val="007C2CC0"/>
    <w:rsid w:val="007C2D9F"/>
    <w:rsid w:val="007C33CB"/>
    <w:rsid w:val="007C37EE"/>
    <w:rsid w:val="007C39D5"/>
    <w:rsid w:val="007C3CEA"/>
    <w:rsid w:val="007C3D64"/>
    <w:rsid w:val="007C4095"/>
    <w:rsid w:val="007C41C6"/>
    <w:rsid w:val="007C4210"/>
    <w:rsid w:val="007C42C1"/>
    <w:rsid w:val="007C4737"/>
    <w:rsid w:val="007C4BB2"/>
    <w:rsid w:val="007C4DD6"/>
    <w:rsid w:val="007C5053"/>
    <w:rsid w:val="007C523F"/>
    <w:rsid w:val="007C52DA"/>
    <w:rsid w:val="007C531B"/>
    <w:rsid w:val="007C5341"/>
    <w:rsid w:val="007C5502"/>
    <w:rsid w:val="007C5791"/>
    <w:rsid w:val="007C5C97"/>
    <w:rsid w:val="007C5DAC"/>
    <w:rsid w:val="007C6D10"/>
    <w:rsid w:val="007C70D1"/>
    <w:rsid w:val="007C71CA"/>
    <w:rsid w:val="007C7329"/>
    <w:rsid w:val="007C7516"/>
    <w:rsid w:val="007C7527"/>
    <w:rsid w:val="007C7C62"/>
    <w:rsid w:val="007C7E0C"/>
    <w:rsid w:val="007D0005"/>
    <w:rsid w:val="007D020B"/>
    <w:rsid w:val="007D03D9"/>
    <w:rsid w:val="007D077F"/>
    <w:rsid w:val="007D086B"/>
    <w:rsid w:val="007D0B0C"/>
    <w:rsid w:val="007D0B70"/>
    <w:rsid w:val="007D0B9D"/>
    <w:rsid w:val="007D1274"/>
    <w:rsid w:val="007D1749"/>
    <w:rsid w:val="007D1976"/>
    <w:rsid w:val="007D19E9"/>
    <w:rsid w:val="007D1D92"/>
    <w:rsid w:val="007D2210"/>
    <w:rsid w:val="007D2257"/>
    <w:rsid w:val="007D3212"/>
    <w:rsid w:val="007D3743"/>
    <w:rsid w:val="007D3810"/>
    <w:rsid w:val="007D3CE3"/>
    <w:rsid w:val="007D3E13"/>
    <w:rsid w:val="007D41E0"/>
    <w:rsid w:val="007D4824"/>
    <w:rsid w:val="007D4A1E"/>
    <w:rsid w:val="007D5037"/>
    <w:rsid w:val="007D521E"/>
    <w:rsid w:val="007D52A9"/>
    <w:rsid w:val="007D5768"/>
    <w:rsid w:val="007D57D9"/>
    <w:rsid w:val="007D5954"/>
    <w:rsid w:val="007D59C9"/>
    <w:rsid w:val="007D59F2"/>
    <w:rsid w:val="007D5D3C"/>
    <w:rsid w:val="007D5F0F"/>
    <w:rsid w:val="007D5F35"/>
    <w:rsid w:val="007D5FA2"/>
    <w:rsid w:val="007D65AF"/>
    <w:rsid w:val="007D6B92"/>
    <w:rsid w:val="007D6CD6"/>
    <w:rsid w:val="007D6E11"/>
    <w:rsid w:val="007D7086"/>
    <w:rsid w:val="007D71B9"/>
    <w:rsid w:val="007D71E2"/>
    <w:rsid w:val="007D73FF"/>
    <w:rsid w:val="007D7715"/>
    <w:rsid w:val="007D7875"/>
    <w:rsid w:val="007D7986"/>
    <w:rsid w:val="007D7A17"/>
    <w:rsid w:val="007D7BA9"/>
    <w:rsid w:val="007D7D55"/>
    <w:rsid w:val="007E03A1"/>
    <w:rsid w:val="007E06EA"/>
    <w:rsid w:val="007E071A"/>
    <w:rsid w:val="007E07DB"/>
    <w:rsid w:val="007E0A23"/>
    <w:rsid w:val="007E0CF1"/>
    <w:rsid w:val="007E0DE2"/>
    <w:rsid w:val="007E12D0"/>
    <w:rsid w:val="007E16E5"/>
    <w:rsid w:val="007E1968"/>
    <w:rsid w:val="007E19A6"/>
    <w:rsid w:val="007E1B9B"/>
    <w:rsid w:val="007E1EFF"/>
    <w:rsid w:val="007E21F7"/>
    <w:rsid w:val="007E2346"/>
    <w:rsid w:val="007E23C2"/>
    <w:rsid w:val="007E2409"/>
    <w:rsid w:val="007E2493"/>
    <w:rsid w:val="007E2AD0"/>
    <w:rsid w:val="007E30A6"/>
    <w:rsid w:val="007E3248"/>
    <w:rsid w:val="007E375A"/>
    <w:rsid w:val="007E3814"/>
    <w:rsid w:val="007E383D"/>
    <w:rsid w:val="007E39DA"/>
    <w:rsid w:val="007E3A55"/>
    <w:rsid w:val="007E3D4B"/>
    <w:rsid w:val="007E3F57"/>
    <w:rsid w:val="007E3F5F"/>
    <w:rsid w:val="007E41C4"/>
    <w:rsid w:val="007E452C"/>
    <w:rsid w:val="007E485D"/>
    <w:rsid w:val="007E4AF8"/>
    <w:rsid w:val="007E5015"/>
    <w:rsid w:val="007E5170"/>
    <w:rsid w:val="007E51E9"/>
    <w:rsid w:val="007E57F4"/>
    <w:rsid w:val="007E5872"/>
    <w:rsid w:val="007E5DB3"/>
    <w:rsid w:val="007E65EA"/>
    <w:rsid w:val="007E6617"/>
    <w:rsid w:val="007E694C"/>
    <w:rsid w:val="007E6990"/>
    <w:rsid w:val="007E6A2C"/>
    <w:rsid w:val="007E6A9E"/>
    <w:rsid w:val="007E6B08"/>
    <w:rsid w:val="007E6D12"/>
    <w:rsid w:val="007E6FFD"/>
    <w:rsid w:val="007E72AF"/>
    <w:rsid w:val="007E7468"/>
    <w:rsid w:val="007F03A7"/>
    <w:rsid w:val="007F03DA"/>
    <w:rsid w:val="007F06E0"/>
    <w:rsid w:val="007F07E2"/>
    <w:rsid w:val="007F08BA"/>
    <w:rsid w:val="007F0949"/>
    <w:rsid w:val="007F11E4"/>
    <w:rsid w:val="007F1296"/>
    <w:rsid w:val="007F12FF"/>
    <w:rsid w:val="007F1526"/>
    <w:rsid w:val="007F162A"/>
    <w:rsid w:val="007F17D1"/>
    <w:rsid w:val="007F1A74"/>
    <w:rsid w:val="007F21D6"/>
    <w:rsid w:val="007F24E3"/>
    <w:rsid w:val="007F28E6"/>
    <w:rsid w:val="007F2904"/>
    <w:rsid w:val="007F29E3"/>
    <w:rsid w:val="007F2AD9"/>
    <w:rsid w:val="007F2B3F"/>
    <w:rsid w:val="007F33AB"/>
    <w:rsid w:val="007F33FE"/>
    <w:rsid w:val="007F35BF"/>
    <w:rsid w:val="007F360E"/>
    <w:rsid w:val="007F3968"/>
    <w:rsid w:val="007F3BEF"/>
    <w:rsid w:val="007F3D63"/>
    <w:rsid w:val="007F3EF6"/>
    <w:rsid w:val="007F4A94"/>
    <w:rsid w:val="007F4C8C"/>
    <w:rsid w:val="007F4E28"/>
    <w:rsid w:val="007F4F7D"/>
    <w:rsid w:val="007F507D"/>
    <w:rsid w:val="007F53EB"/>
    <w:rsid w:val="007F593F"/>
    <w:rsid w:val="007F5A63"/>
    <w:rsid w:val="007F5F0D"/>
    <w:rsid w:val="007F6076"/>
    <w:rsid w:val="007F62CF"/>
    <w:rsid w:val="007F6533"/>
    <w:rsid w:val="007F66CA"/>
    <w:rsid w:val="007F6922"/>
    <w:rsid w:val="007F72AB"/>
    <w:rsid w:val="007F740D"/>
    <w:rsid w:val="007F7562"/>
    <w:rsid w:val="007F7800"/>
    <w:rsid w:val="007F7BED"/>
    <w:rsid w:val="0080016A"/>
    <w:rsid w:val="0080073B"/>
    <w:rsid w:val="00800B88"/>
    <w:rsid w:val="00800C97"/>
    <w:rsid w:val="00800EEF"/>
    <w:rsid w:val="00800FA2"/>
    <w:rsid w:val="00801021"/>
    <w:rsid w:val="00801064"/>
    <w:rsid w:val="008010CA"/>
    <w:rsid w:val="00801ACA"/>
    <w:rsid w:val="00801B28"/>
    <w:rsid w:val="00801DBE"/>
    <w:rsid w:val="00802022"/>
    <w:rsid w:val="008020A6"/>
    <w:rsid w:val="00802128"/>
    <w:rsid w:val="00802362"/>
    <w:rsid w:val="008024F5"/>
    <w:rsid w:val="00802DEC"/>
    <w:rsid w:val="00803051"/>
    <w:rsid w:val="0080306D"/>
    <w:rsid w:val="00803086"/>
    <w:rsid w:val="0080308D"/>
    <w:rsid w:val="008033E7"/>
    <w:rsid w:val="00803419"/>
    <w:rsid w:val="00803778"/>
    <w:rsid w:val="00803BA7"/>
    <w:rsid w:val="00803C94"/>
    <w:rsid w:val="00803CD7"/>
    <w:rsid w:val="00804063"/>
    <w:rsid w:val="008040EF"/>
    <w:rsid w:val="0080434D"/>
    <w:rsid w:val="00804716"/>
    <w:rsid w:val="00804C22"/>
    <w:rsid w:val="00804E32"/>
    <w:rsid w:val="00805108"/>
    <w:rsid w:val="00805450"/>
    <w:rsid w:val="00805827"/>
    <w:rsid w:val="00805965"/>
    <w:rsid w:val="00805BCE"/>
    <w:rsid w:val="008060A1"/>
    <w:rsid w:val="008062E1"/>
    <w:rsid w:val="008065D1"/>
    <w:rsid w:val="0080672A"/>
    <w:rsid w:val="00806D47"/>
    <w:rsid w:val="0080713E"/>
    <w:rsid w:val="0080763B"/>
    <w:rsid w:val="00807737"/>
    <w:rsid w:val="0080774F"/>
    <w:rsid w:val="00807874"/>
    <w:rsid w:val="008078A9"/>
    <w:rsid w:val="00807E49"/>
    <w:rsid w:val="00807FA9"/>
    <w:rsid w:val="00807FDC"/>
    <w:rsid w:val="00807FF2"/>
    <w:rsid w:val="0081006C"/>
    <w:rsid w:val="00810437"/>
    <w:rsid w:val="008104D1"/>
    <w:rsid w:val="00810747"/>
    <w:rsid w:val="008108AE"/>
    <w:rsid w:val="008109E3"/>
    <w:rsid w:val="00810DD4"/>
    <w:rsid w:val="0081103E"/>
    <w:rsid w:val="008112E8"/>
    <w:rsid w:val="0081135E"/>
    <w:rsid w:val="008116E2"/>
    <w:rsid w:val="0081170A"/>
    <w:rsid w:val="00811C51"/>
    <w:rsid w:val="00811C63"/>
    <w:rsid w:val="00811C8A"/>
    <w:rsid w:val="00811E79"/>
    <w:rsid w:val="00812114"/>
    <w:rsid w:val="008122A0"/>
    <w:rsid w:val="00812630"/>
    <w:rsid w:val="0081297B"/>
    <w:rsid w:val="00812A98"/>
    <w:rsid w:val="00812AF3"/>
    <w:rsid w:val="00812B54"/>
    <w:rsid w:val="00812EA6"/>
    <w:rsid w:val="008130F1"/>
    <w:rsid w:val="0081324A"/>
    <w:rsid w:val="008134B5"/>
    <w:rsid w:val="008135F3"/>
    <w:rsid w:val="008138ED"/>
    <w:rsid w:val="00813A09"/>
    <w:rsid w:val="00813E8E"/>
    <w:rsid w:val="00814045"/>
    <w:rsid w:val="00814349"/>
    <w:rsid w:val="00814358"/>
    <w:rsid w:val="008145A3"/>
    <w:rsid w:val="008145DD"/>
    <w:rsid w:val="00814A8D"/>
    <w:rsid w:val="00814B81"/>
    <w:rsid w:val="00814BAA"/>
    <w:rsid w:val="00814BED"/>
    <w:rsid w:val="00814F70"/>
    <w:rsid w:val="0081508A"/>
    <w:rsid w:val="00815437"/>
    <w:rsid w:val="008159CF"/>
    <w:rsid w:val="00815A3C"/>
    <w:rsid w:val="00815D7B"/>
    <w:rsid w:val="00815F58"/>
    <w:rsid w:val="008163B0"/>
    <w:rsid w:val="008163E3"/>
    <w:rsid w:val="008165A3"/>
    <w:rsid w:val="008171F7"/>
    <w:rsid w:val="00817251"/>
    <w:rsid w:val="008173F3"/>
    <w:rsid w:val="008177C6"/>
    <w:rsid w:val="0081788F"/>
    <w:rsid w:val="00817B01"/>
    <w:rsid w:val="00817C3D"/>
    <w:rsid w:val="00817DDF"/>
    <w:rsid w:val="0082011D"/>
    <w:rsid w:val="008201FF"/>
    <w:rsid w:val="0082047E"/>
    <w:rsid w:val="0082050D"/>
    <w:rsid w:val="00820A1B"/>
    <w:rsid w:val="00820D5F"/>
    <w:rsid w:val="00820F0A"/>
    <w:rsid w:val="00820F46"/>
    <w:rsid w:val="00820FFF"/>
    <w:rsid w:val="008211A5"/>
    <w:rsid w:val="0082198A"/>
    <w:rsid w:val="00821C4C"/>
    <w:rsid w:val="00821F0D"/>
    <w:rsid w:val="00821F31"/>
    <w:rsid w:val="00822018"/>
    <w:rsid w:val="00822052"/>
    <w:rsid w:val="00822546"/>
    <w:rsid w:val="00822810"/>
    <w:rsid w:val="00822C08"/>
    <w:rsid w:val="00822CB5"/>
    <w:rsid w:val="00822E7B"/>
    <w:rsid w:val="0082411F"/>
    <w:rsid w:val="0082430E"/>
    <w:rsid w:val="0082457B"/>
    <w:rsid w:val="00824B95"/>
    <w:rsid w:val="00824C66"/>
    <w:rsid w:val="00824D80"/>
    <w:rsid w:val="00824E09"/>
    <w:rsid w:val="00824ECB"/>
    <w:rsid w:val="00824F31"/>
    <w:rsid w:val="0082508F"/>
    <w:rsid w:val="008251CF"/>
    <w:rsid w:val="00825861"/>
    <w:rsid w:val="00825D2D"/>
    <w:rsid w:val="00825F61"/>
    <w:rsid w:val="008263F2"/>
    <w:rsid w:val="00826641"/>
    <w:rsid w:val="00826689"/>
    <w:rsid w:val="00826AB0"/>
    <w:rsid w:val="00826D5A"/>
    <w:rsid w:val="00827564"/>
    <w:rsid w:val="008277ED"/>
    <w:rsid w:val="0083000B"/>
    <w:rsid w:val="00830125"/>
    <w:rsid w:val="008301AD"/>
    <w:rsid w:val="0083055F"/>
    <w:rsid w:val="0083056C"/>
    <w:rsid w:val="008308C9"/>
    <w:rsid w:val="00830A76"/>
    <w:rsid w:val="00830B1B"/>
    <w:rsid w:val="008310E3"/>
    <w:rsid w:val="008310EA"/>
    <w:rsid w:val="008311C0"/>
    <w:rsid w:val="00831415"/>
    <w:rsid w:val="008314CA"/>
    <w:rsid w:val="008317E3"/>
    <w:rsid w:val="00831C65"/>
    <w:rsid w:val="00831CE9"/>
    <w:rsid w:val="00832F9A"/>
    <w:rsid w:val="0083319F"/>
    <w:rsid w:val="008332A3"/>
    <w:rsid w:val="008333CF"/>
    <w:rsid w:val="00833DB5"/>
    <w:rsid w:val="00833F28"/>
    <w:rsid w:val="008341BC"/>
    <w:rsid w:val="008341F6"/>
    <w:rsid w:val="00834272"/>
    <w:rsid w:val="008343EF"/>
    <w:rsid w:val="00834668"/>
    <w:rsid w:val="008346EA"/>
    <w:rsid w:val="0083482D"/>
    <w:rsid w:val="00834C64"/>
    <w:rsid w:val="00834D64"/>
    <w:rsid w:val="00834EE1"/>
    <w:rsid w:val="008352BB"/>
    <w:rsid w:val="00835590"/>
    <w:rsid w:val="00835C2B"/>
    <w:rsid w:val="00835C2E"/>
    <w:rsid w:val="00835C6A"/>
    <w:rsid w:val="00835E45"/>
    <w:rsid w:val="00836163"/>
    <w:rsid w:val="008369AA"/>
    <w:rsid w:val="00836C0D"/>
    <w:rsid w:val="00836E06"/>
    <w:rsid w:val="008379EA"/>
    <w:rsid w:val="00837F11"/>
    <w:rsid w:val="00837F69"/>
    <w:rsid w:val="008405AD"/>
    <w:rsid w:val="0084069D"/>
    <w:rsid w:val="008406B4"/>
    <w:rsid w:val="00840D9E"/>
    <w:rsid w:val="00840F2D"/>
    <w:rsid w:val="0084113D"/>
    <w:rsid w:val="008414C5"/>
    <w:rsid w:val="008416C0"/>
    <w:rsid w:val="00841A4B"/>
    <w:rsid w:val="00841A51"/>
    <w:rsid w:val="00841B10"/>
    <w:rsid w:val="00841BEC"/>
    <w:rsid w:val="00841CA6"/>
    <w:rsid w:val="00841E89"/>
    <w:rsid w:val="00841EE8"/>
    <w:rsid w:val="00841FEC"/>
    <w:rsid w:val="00842561"/>
    <w:rsid w:val="0084261D"/>
    <w:rsid w:val="00842AEA"/>
    <w:rsid w:val="0084300A"/>
    <w:rsid w:val="008439E1"/>
    <w:rsid w:val="00843D42"/>
    <w:rsid w:val="008443CE"/>
    <w:rsid w:val="00844477"/>
    <w:rsid w:val="00844FB2"/>
    <w:rsid w:val="00845318"/>
    <w:rsid w:val="00845591"/>
    <w:rsid w:val="008457C7"/>
    <w:rsid w:val="00845859"/>
    <w:rsid w:val="008463E3"/>
    <w:rsid w:val="0084646A"/>
    <w:rsid w:val="008465E2"/>
    <w:rsid w:val="00846838"/>
    <w:rsid w:val="008468B6"/>
    <w:rsid w:val="0084710C"/>
    <w:rsid w:val="008473E4"/>
    <w:rsid w:val="008473F1"/>
    <w:rsid w:val="00847448"/>
    <w:rsid w:val="008476FA"/>
    <w:rsid w:val="0084775E"/>
    <w:rsid w:val="00847CED"/>
    <w:rsid w:val="0085024D"/>
    <w:rsid w:val="00850508"/>
    <w:rsid w:val="00850534"/>
    <w:rsid w:val="00850688"/>
    <w:rsid w:val="00850864"/>
    <w:rsid w:val="00850AEA"/>
    <w:rsid w:val="00850BEF"/>
    <w:rsid w:val="00850DA2"/>
    <w:rsid w:val="00850E43"/>
    <w:rsid w:val="00850EDD"/>
    <w:rsid w:val="0085135C"/>
    <w:rsid w:val="00851638"/>
    <w:rsid w:val="0085174A"/>
    <w:rsid w:val="008517D3"/>
    <w:rsid w:val="00852497"/>
    <w:rsid w:val="00852AE4"/>
    <w:rsid w:val="00852D2C"/>
    <w:rsid w:val="00852D57"/>
    <w:rsid w:val="008535F0"/>
    <w:rsid w:val="00853998"/>
    <w:rsid w:val="00853B9C"/>
    <w:rsid w:val="00853F2C"/>
    <w:rsid w:val="00853FF1"/>
    <w:rsid w:val="008540D8"/>
    <w:rsid w:val="0085475A"/>
    <w:rsid w:val="00854790"/>
    <w:rsid w:val="008550AF"/>
    <w:rsid w:val="00855536"/>
    <w:rsid w:val="00855CFB"/>
    <w:rsid w:val="00855D1B"/>
    <w:rsid w:val="0085670D"/>
    <w:rsid w:val="00856773"/>
    <w:rsid w:val="00856AE3"/>
    <w:rsid w:val="00856D6C"/>
    <w:rsid w:val="008572DC"/>
    <w:rsid w:val="00857EC9"/>
    <w:rsid w:val="0086038F"/>
    <w:rsid w:val="00860B7A"/>
    <w:rsid w:val="00860DDF"/>
    <w:rsid w:val="00861042"/>
    <w:rsid w:val="00861494"/>
    <w:rsid w:val="008614BC"/>
    <w:rsid w:val="0086172F"/>
    <w:rsid w:val="00861882"/>
    <w:rsid w:val="00861F57"/>
    <w:rsid w:val="0086248A"/>
    <w:rsid w:val="008625C9"/>
    <w:rsid w:val="00862785"/>
    <w:rsid w:val="00862A54"/>
    <w:rsid w:val="00862B42"/>
    <w:rsid w:val="00862F6A"/>
    <w:rsid w:val="0086347E"/>
    <w:rsid w:val="0086360A"/>
    <w:rsid w:val="0086389F"/>
    <w:rsid w:val="0086397A"/>
    <w:rsid w:val="00864093"/>
    <w:rsid w:val="00864216"/>
    <w:rsid w:val="008647E9"/>
    <w:rsid w:val="00864874"/>
    <w:rsid w:val="0086499C"/>
    <w:rsid w:val="00864A96"/>
    <w:rsid w:val="00864D16"/>
    <w:rsid w:val="00864EF0"/>
    <w:rsid w:val="00864F6B"/>
    <w:rsid w:val="00865022"/>
    <w:rsid w:val="0086505D"/>
    <w:rsid w:val="0086514E"/>
    <w:rsid w:val="00865997"/>
    <w:rsid w:val="00865D0F"/>
    <w:rsid w:val="00865D11"/>
    <w:rsid w:val="00866160"/>
    <w:rsid w:val="008674EE"/>
    <w:rsid w:val="008676DA"/>
    <w:rsid w:val="0086785A"/>
    <w:rsid w:val="00867D28"/>
    <w:rsid w:val="00867D73"/>
    <w:rsid w:val="00870214"/>
    <w:rsid w:val="00870257"/>
    <w:rsid w:val="00870294"/>
    <w:rsid w:val="008703CC"/>
    <w:rsid w:val="0087098E"/>
    <w:rsid w:val="00870A00"/>
    <w:rsid w:val="00870C46"/>
    <w:rsid w:val="00870CD5"/>
    <w:rsid w:val="008712A9"/>
    <w:rsid w:val="0087139D"/>
    <w:rsid w:val="008717E0"/>
    <w:rsid w:val="008719A5"/>
    <w:rsid w:val="00871A87"/>
    <w:rsid w:val="00871ED2"/>
    <w:rsid w:val="0087247E"/>
    <w:rsid w:val="008724BB"/>
    <w:rsid w:val="00872759"/>
    <w:rsid w:val="0087281E"/>
    <w:rsid w:val="00872D27"/>
    <w:rsid w:val="00872D9F"/>
    <w:rsid w:val="00873047"/>
    <w:rsid w:val="00873146"/>
    <w:rsid w:val="00873815"/>
    <w:rsid w:val="00873A57"/>
    <w:rsid w:val="00873D43"/>
    <w:rsid w:val="00873D91"/>
    <w:rsid w:val="00873E6F"/>
    <w:rsid w:val="00873EC5"/>
    <w:rsid w:val="00873FA6"/>
    <w:rsid w:val="00874023"/>
    <w:rsid w:val="008740AE"/>
    <w:rsid w:val="008740BF"/>
    <w:rsid w:val="00874140"/>
    <w:rsid w:val="00874146"/>
    <w:rsid w:val="00874368"/>
    <w:rsid w:val="008743B4"/>
    <w:rsid w:val="008747CB"/>
    <w:rsid w:val="00874859"/>
    <w:rsid w:val="00874C71"/>
    <w:rsid w:val="00874CD8"/>
    <w:rsid w:val="00874DAA"/>
    <w:rsid w:val="00875031"/>
    <w:rsid w:val="008751FB"/>
    <w:rsid w:val="008753D1"/>
    <w:rsid w:val="008753F2"/>
    <w:rsid w:val="00876557"/>
    <w:rsid w:val="008765E0"/>
    <w:rsid w:val="00876830"/>
    <w:rsid w:val="00876865"/>
    <w:rsid w:val="00876F36"/>
    <w:rsid w:val="008774DF"/>
    <w:rsid w:val="00877671"/>
    <w:rsid w:val="00877728"/>
    <w:rsid w:val="00880260"/>
    <w:rsid w:val="008802B7"/>
    <w:rsid w:val="0088086E"/>
    <w:rsid w:val="008809AF"/>
    <w:rsid w:val="00880A0E"/>
    <w:rsid w:val="00880D30"/>
    <w:rsid w:val="00880E76"/>
    <w:rsid w:val="00880E90"/>
    <w:rsid w:val="00881290"/>
    <w:rsid w:val="00881426"/>
    <w:rsid w:val="00881524"/>
    <w:rsid w:val="0088176E"/>
    <w:rsid w:val="00881B71"/>
    <w:rsid w:val="00881BC6"/>
    <w:rsid w:val="008820D5"/>
    <w:rsid w:val="0088255F"/>
    <w:rsid w:val="00882808"/>
    <w:rsid w:val="00882ADD"/>
    <w:rsid w:val="00882C31"/>
    <w:rsid w:val="00883A61"/>
    <w:rsid w:val="00883B7D"/>
    <w:rsid w:val="00883C3B"/>
    <w:rsid w:val="00884489"/>
    <w:rsid w:val="00884653"/>
    <w:rsid w:val="00884779"/>
    <w:rsid w:val="00884800"/>
    <w:rsid w:val="00884822"/>
    <w:rsid w:val="0088482D"/>
    <w:rsid w:val="00884918"/>
    <w:rsid w:val="00884A22"/>
    <w:rsid w:val="00884C37"/>
    <w:rsid w:val="00884F94"/>
    <w:rsid w:val="00885338"/>
    <w:rsid w:val="0088550D"/>
    <w:rsid w:val="008857B7"/>
    <w:rsid w:val="008859EF"/>
    <w:rsid w:val="00885E33"/>
    <w:rsid w:val="008862EE"/>
    <w:rsid w:val="0088646C"/>
    <w:rsid w:val="008865D0"/>
    <w:rsid w:val="00886AE9"/>
    <w:rsid w:val="00886EF7"/>
    <w:rsid w:val="00887399"/>
    <w:rsid w:val="00887655"/>
    <w:rsid w:val="0088791E"/>
    <w:rsid w:val="008879B5"/>
    <w:rsid w:val="00887B88"/>
    <w:rsid w:val="00887F5D"/>
    <w:rsid w:val="00890263"/>
    <w:rsid w:val="00890556"/>
    <w:rsid w:val="00890619"/>
    <w:rsid w:val="0089064A"/>
    <w:rsid w:val="008908C9"/>
    <w:rsid w:val="008908E2"/>
    <w:rsid w:val="00890E29"/>
    <w:rsid w:val="008915FA"/>
    <w:rsid w:val="008919B1"/>
    <w:rsid w:val="00891BC7"/>
    <w:rsid w:val="00891BDD"/>
    <w:rsid w:val="00891C48"/>
    <w:rsid w:val="00892153"/>
    <w:rsid w:val="00892600"/>
    <w:rsid w:val="008927A0"/>
    <w:rsid w:val="0089299C"/>
    <w:rsid w:val="0089302B"/>
    <w:rsid w:val="00893404"/>
    <w:rsid w:val="00893494"/>
    <w:rsid w:val="00893640"/>
    <w:rsid w:val="00893B29"/>
    <w:rsid w:val="00893D00"/>
    <w:rsid w:val="00893E97"/>
    <w:rsid w:val="0089407E"/>
    <w:rsid w:val="00894205"/>
    <w:rsid w:val="008942E0"/>
    <w:rsid w:val="00894782"/>
    <w:rsid w:val="00894911"/>
    <w:rsid w:val="00894AC2"/>
    <w:rsid w:val="00894D92"/>
    <w:rsid w:val="00894DB9"/>
    <w:rsid w:val="00894FDA"/>
    <w:rsid w:val="008950AF"/>
    <w:rsid w:val="008951DE"/>
    <w:rsid w:val="008954F3"/>
    <w:rsid w:val="00895652"/>
    <w:rsid w:val="0089594C"/>
    <w:rsid w:val="00895A73"/>
    <w:rsid w:val="00895FEB"/>
    <w:rsid w:val="00896241"/>
    <w:rsid w:val="00896250"/>
    <w:rsid w:val="00896316"/>
    <w:rsid w:val="008966F2"/>
    <w:rsid w:val="00896736"/>
    <w:rsid w:val="00896DE3"/>
    <w:rsid w:val="0089732D"/>
    <w:rsid w:val="0089760C"/>
    <w:rsid w:val="00897AA9"/>
    <w:rsid w:val="00897E48"/>
    <w:rsid w:val="008A01F5"/>
    <w:rsid w:val="008A036C"/>
    <w:rsid w:val="008A04BE"/>
    <w:rsid w:val="008A05C7"/>
    <w:rsid w:val="008A0667"/>
    <w:rsid w:val="008A0727"/>
    <w:rsid w:val="008A0774"/>
    <w:rsid w:val="008A0940"/>
    <w:rsid w:val="008A102C"/>
    <w:rsid w:val="008A17C5"/>
    <w:rsid w:val="008A19B9"/>
    <w:rsid w:val="008A1B36"/>
    <w:rsid w:val="008A1C89"/>
    <w:rsid w:val="008A1E1E"/>
    <w:rsid w:val="008A27F6"/>
    <w:rsid w:val="008A2816"/>
    <w:rsid w:val="008A28ED"/>
    <w:rsid w:val="008A2A93"/>
    <w:rsid w:val="008A33B9"/>
    <w:rsid w:val="008A3B72"/>
    <w:rsid w:val="008A3B7B"/>
    <w:rsid w:val="008A3F21"/>
    <w:rsid w:val="008A410A"/>
    <w:rsid w:val="008A44A7"/>
    <w:rsid w:val="008A49F8"/>
    <w:rsid w:val="008A4B37"/>
    <w:rsid w:val="008A527D"/>
    <w:rsid w:val="008A538A"/>
    <w:rsid w:val="008A55EE"/>
    <w:rsid w:val="008A5865"/>
    <w:rsid w:val="008A5E60"/>
    <w:rsid w:val="008A61E8"/>
    <w:rsid w:val="008A62A7"/>
    <w:rsid w:val="008A67A7"/>
    <w:rsid w:val="008A6B90"/>
    <w:rsid w:val="008A6CFD"/>
    <w:rsid w:val="008A791C"/>
    <w:rsid w:val="008A79B2"/>
    <w:rsid w:val="008A7EC1"/>
    <w:rsid w:val="008B018D"/>
    <w:rsid w:val="008B0568"/>
    <w:rsid w:val="008B0889"/>
    <w:rsid w:val="008B0A33"/>
    <w:rsid w:val="008B0A37"/>
    <w:rsid w:val="008B0CE1"/>
    <w:rsid w:val="008B0D2D"/>
    <w:rsid w:val="008B10A3"/>
    <w:rsid w:val="008B1293"/>
    <w:rsid w:val="008B1E98"/>
    <w:rsid w:val="008B22E0"/>
    <w:rsid w:val="008B26A7"/>
    <w:rsid w:val="008B27CE"/>
    <w:rsid w:val="008B2858"/>
    <w:rsid w:val="008B2CB3"/>
    <w:rsid w:val="008B2E70"/>
    <w:rsid w:val="008B3763"/>
    <w:rsid w:val="008B3873"/>
    <w:rsid w:val="008B4420"/>
    <w:rsid w:val="008B44C3"/>
    <w:rsid w:val="008B474C"/>
    <w:rsid w:val="008B4C77"/>
    <w:rsid w:val="008B5121"/>
    <w:rsid w:val="008B5135"/>
    <w:rsid w:val="008B54CC"/>
    <w:rsid w:val="008B5A00"/>
    <w:rsid w:val="008B5B46"/>
    <w:rsid w:val="008B62D7"/>
    <w:rsid w:val="008B67B6"/>
    <w:rsid w:val="008B6856"/>
    <w:rsid w:val="008B7098"/>
    <w:rsid w:val="008B7397"/>
    <w:rsid w:val="008B74AC"/>
    <w:rsid w:val="008C0121"/>
    <w:rsid w:val="008C091E"/>
    <w:rsid w:val="008C1058"/>
    <w:rsid w:val="008C1488"/>
    <w:rsid w:val="008C17FC"/>
    <w:rsid w:val="008C19DB"/>
    <w:rsid w:val="008C1B95"/>
    <w:rsid w:val="008C1EE1"/>
    <w:rsid w:val="008C1F19"/>
    <w:rsid w:val="008C1F4B"/>
    <w:rsid w:val="008C1F4D"/>
    <w:rsid w:val="008C1F5F"/>
    <w:rsid w:val="008C211D"/>
    <w:rsid w:val="008C2382"/>
    <w:rsid w:val="008C238C"/>
    <w:rsid w:val="008C2509"/>
    <w:rsid w:val="008C2594"/>
    <w:rsid w:val="008C2657"/>
    <w:rsid w:val="008C2659"/>
    <w:rsid w:val="008C28A9"/>
    <w:rsid w:val="008C2929"/>
    <w:rsid w:val="008C29E4"/>
    <w:rsid w:val="008C2BBD"/>
    <w:rsid w:val="008C3D90"/>
    <w:rsid w:val="008C3EB6"/>
    <w:rsid w:val="008C4034"/>
    <w:rsid w:val="008C4331"/>
    <w:rsid w:val="008C49E2"/>
    <w:rsid w:val="008C4B1B"/>
    <w:rsid w:val="008C4BA2"/>
    <w:rsid w:val="008C4EDA"/>
    <w:rsid w:val="008C5210"/>
    <w:rsid w:val="008C52BC"/>
    <w:rsid w:val="008C5453"/>
    <w:rsid w:val="008C55CC"/>
    <w:rsid w:val="008C5AF1"/>
    <w:rsid w:val="008C5CAF"/>
    <w:rsid w:val="008C5D77"/>
    <w:rsid w:val="008C6442"/>
    <w:rsid w:val="008C677A"/>
    <w:rsid w:val="008C6A4B"/>
    <w:rsid w:val="008C6D20"/>
    <w:rsid w:val="008C77E6"/>
    <w:rsid w:val="008C790B"/>
    <w:rsid w:val="008C7D68"/>
    <w:rsid w:val="008C7EE3"/>
    <w:rsid w:val="008D047A"/>
    <w:rsid w:val="008D0663"/>
    <w:rsid w:val="008D0789"/>
    <w:rsid w:val="008D07F0"/>
    <w:rsid w:val="008D080C"/>
    <w:rsid w:val="008D0957"/>
    <w:rsid w:val="008D09A0"/>
    <w:rsid w:val="008D0B5B"/>
    <w:rsid w:val="008D0C64"/>
    <w:rsid w:val="008D0C6F"/>
    <w:rsid w:val="008D118E"/>
    <w:rsid w:val="008D11AE"/>
    <w:rsid w:val="008D1708"/>
    <w:rsid w:val="008D17A7"/>
    <w:rsid w:val="008D192D"/>
    <w:rsid w:val="008D1A99"/>
    <w:rsid w:val="008D2A7D"/>
    <w:rsid w:val="008D2AEA"/>
    <w:rsid w:val="008D2B7D"/>
    <w:rsid w:val="008D2D24"/>
    <w:rsid w:val="008D317B"/>
    <w:rsid w:val="008D354E"/>
    <w:rsid w:val="008D370A"/>
    <w:rsid w:val="008D3853"/>
    <w:rsid w:val="008D3CCF"/>
    <w:rsid w:val="008D3CF0"/>
    <w:rsid w:val="008D40B2"/>
    <w:rsid w:val="008D424C"/>
    <w:rsid w:val="008D44A8"/>
    <w:rsid w:val="008D44AF"/>
    <w:rsid w:val="008D4658"/>
    <w:rsid w:val="008D4CE2"/>
    <w:rsid w:val="008D4CF8"/>
    <w:rsid w:val="008D50C2"/>
    <w:rsid w:val="008D5350"/>
    <w:rsid w:val="008D53CB"/>
    <w:rsid w:val="008D5497"/>
    <w:rsid w:val="008D55E4"/>
    <w:rsid w:val="008D5739"/>
    <w:rsid w:val="008D57F6"/>
    <w:rsid w:val="008D5963"/>
    <w:rsid w:val="008D5D50"/>
    <w:rsid w:val="008D65C2"/>
    <w:rsid w:val="008D65C7"/>
    <w:rsid w:val="008D6C0D"/>
    <w:rsid w:val="008D6CEE"/>
    <w:rsid w:val="008D6DBC"/>
    <w:rsid w:val="008D6E62"/>
    <w:rsid w:val="008D75A4"/>
    <w:rsid w:val="008D798E"/>
    <w:rsid w:val="008D7EC8"/>
    <w:rsid w:val="008E01C1"/>
    <w:rsid w:val="008E0353"/>
    <w:rsid w:val="008E051A"/>
    <w:rsid w:val="008E0672"/>
    <w:rsid w:val="008E08A3"/>
    <w:rsid w:val="008E0AAD"/>
    <w:rsid w:val="008E0B82"/>
    <w:rsid w:val="008E0DC1"/>
    <w:rsid w:val="008E114A"/>
    <w:rsid w:val="008E11BE"/>
    <w:rsid w:val="008E1337"/>
    <w:rsid w:val="008E14C9"/>
    <w:rsid w:val="008E1714"/>
    <w:rsid w:val="008E1A05"/>
    <w:rsid w:val="008E1ED7"/>
    <w:rsid w:val="008E2517"/>
    <w:rsid w:val="008E2794"/>
    <w:rsid w:val="008E2F95"/>
    <w:rsid w:val="008E3356"/>
    <w:rsid w:val="008E3612"/>
    <w:rsid w:val="008E38A3"/>
    <w:rsid w:val="008E39AC"/>
    <w:rsid w:val="008E3B77"/>
    <w:rsid w:val="008E3CC9"/>
    <w:rsid w:val="008E3F0A"/>
    <w:rsid w:val="008E445E"/>
    <w:rsid w:val="008E4571"/>
    <w:rsid w:val="008E4952"/>
    <w:rsid w:val="008E4978"/>
    <w:rsid w:val="008E4A19"/>
    <w:rsid w:val="008E4B5F"/>
    <w:rsid w:val="008E4BCA"/>
    <w:rsid w:val="008E4CA4"/>
    <w:rsid w:val="008E5014"/>
    <w:rsid w:val="008E5341"/>
    <w:rsid w:val="008E5984"/>
    <w:rsid w:val="008E5A15"/>
    <w:rsid w:val="008E5D06"/>
    <w:rsid w:val="008E5FD6"/>
    <w:rsid w:val="008E61BD"/>
    <w:rsid w:val="008E6780"/>
    <w:rsid w:val="008E6950"/>
    <w:rsid w:val="008E6956"/>
    <w:rsid w:val="008E7477"/>
    <w:rsid w:val="008E7505"/>
    <w:rsid w:val="008E753A"/>
    <w:rsid w:val="008E7ACE"/>
    <w:rsid w:val="008E7B12"/>
    <w:rsid w:val="008E7BE9"/>
    <w:rsid w:val="008E7D6B"/>
    <w:rsid w:val="008E7E66"/>
    <w:rsid w:val="008F0622"/>
    <w:rsid w:val="008F07E4"/>
    <w:rsid w:val="008F0877"/>
    <w:rsid w:val="008F0A63"/>
    <w:rsid w:val="008F0AC2"/>
    <w:rsid w:val="008F0B86"/>
    <w:rsid w:val="008F1102"/>
    <w:rsid w:val="008F1240"/>
    <w:rsid w:val="008F1AA7"/>
    <w:rsid w:val="008F235D"/>
    <w:rsid w:val="008F26B4"/>
    <w:rsid w:val="008F2B26"/>
    <w:rsid w:val="008F2EF1"/>
    <w:rsid w:val="008F3799"/>
    <w:rsid w:val="008F37F3"/>
    <w:rsid w:val="008F395E"/>
    <w:rsid w:val="008F3A8E"/>
    <w:rsid w:val="008F41D1"/>
    <w:rsid w:val="008F4337"/>
    <w:rsid w:val="008F43B6"/>
    <w:rsid w:val="008F43C7"/>
    <w:rsid w:val="008F48A3"/>
    <w:rsid w:val="008F4E50"/>
    <w:rsid w:val="008F5045"/>
    <w:rsid w:val="008F50C1"/>
    <w:rsid w:val="008F5505"/>
    <w:rsid w:val="008F5807"/>
    <w:rsid w:val="008F5C7E"/>
    <w:rsid w:val="008F5D1E"/>
    <w:rsid w:val="008F6020"/>
    <w:rsid w:val="008F6286"/>
    <w:rsid w:val="008F6432"/>
    <w:rsid w:val="008F6439"/>
    <w:rsid w:val="008F65EE"/>
    <w:rsid w:val="008F6669"/>
    <w:rsid w:val="008F7003"/>
    <w:rsid w:val="008F71BF"/>
    <w:rsid w:val="008F72A9"/>
    <w:rsid w:val="008F744E"/>
    <w:rsid w:val="008F78E4"/>
    <w:rsid w:val="008F7CC4"/>
    <w:rsid w:val="008F7E73"/>
    <w:rsid w:val="008F7FFC"/>
    <w:rsid w:val="009000B3"/>
    <w:rsid w:val="00900294"/>
    <w:rsid w:val="009002D0"/>
    <w:rsid w:val="009006D6"/>
    <w:rsid w:val="00900714"/>
    <w:rsid w:val="00900C0C"/>
    <w:rsid w:val="00900CCF"/>
    <w:rsid w:val="00901EE4"/>
    <w:rsid w:val="00901F0E"/>
    <w:rsid w:val="00902348"/>
    <w:rsid w:val="009024D7"/>
    <w:rsid w:val="0090269B"/>
    <w:rsid w:val="009026B5"/>
    <w:rsid w:val="00902840"/>
    <w:rsid w:val="00902918"/>
    <w:rsid w:val="00902963"/>
    <w:rsid w:val="00902B38"/>
    <w:rsid w:val="00902CC4"/>
    <w:rsid w:val="00903063"/>
    <w:rsid w:val="0090335A"/>
    <w:rsid w:val="00903685"/>
    <w:rsid w:val="009037A3"/>
    <w:rsid w:val="0090394F"/>
    <w:rsid w:val="00903F15"/>
    <w:rsid w:val="0090413D"/>
    <w:rsid w:val="00904190"/>
    <w:rsid w:val="009041F8"/>
    <w:rsid w:val="00904780"/>
    <w:rsid w:val="0090511B"/>
    <w:rsid w:val="009054D7"/>
    <w:rsid w:val="0090576C"/>
    <w:rsid w:val="009058DC"/>
    <w:rsid w:val="00905C0D"/>
    <w:rsid w:val="00905E72"/>
    <w:rsid w:val="0090657E"/>
    <w:rsid w:val="009068A0"/>
    <w:rsid w:val="00906BD4"/>
    <w:rsid w:val="00906DA2"/>
    <w:rsid w:val="009070CE"/>
    <w:rsid w:val="009072FB"/>
    <w:rsid w:val="00907E18"/>
    <w:rsid w:val="00907FE4"/>
    <w:rsid w:val="009100C0"/>
    <w:rsid w:val="0091073A"/>
    <w:rsid w:val="00910879"/>
    <w:rsid w:val="00910C05"/>
    <w:rsid w:val="00910D49"/>
    <w:rsid w:val="00910D75"/>
    <w:rsid w:val="00910E93"/>
    <w:rsid w:val="0091180C"/>
    <w:rsid w:val="009119A7"/>
    <w:rsid w:val="00911B3C"/>
    <w:rsid w:val="00911B91"/>
    <w:rsid w:val="00911C45"/>
    <w:rsid w:val="009123FD"/>
    <w:rsid w:val="00912521"/>
    <w:rsid w:val="00912765"/>
    <w:rsid w:val="009128A3"/>
    <w:rsid w:val="00912B8C"/>
    <w:rsid w:val="00912D6B"/>
    <w:rsid w:val="0091385C"/>
    <w:rsid w:val="0091478C"/>
    <w:rsid w:val="00914F53"/>
    <w:rsid w:val="0091502D"/>
    <w:rsid w:val="00915545"/>
    <w:rsid w:val="00915631"/>
    <w:rsid w:val="0091587C"/>
    <w:rsid w:val="00915DC0"/>
    <w:rsid w:val="00915FA5"/>
    <w:rsid w:val="00916A17"/>
    <w:rsid w:val="00916AA7"/>
    <w:rsid w:val="00916E98"/>
    <w:rsid w:val="00916F4F"/>
    <w:rsid w:val="009173A8"/>
    <w:rsid w:val="0091756C"/>
    <w:rsid w:val="00917CBF"/>
    <w:rsid w:val="00920056"/>
    <w:rsid w:val="009207FE"/>
    <w:rsid w:val="00920F54"/>
    <w:rsid w:val="00921438"/>
    <w:rsid w:val="00921A05"/>
    <w:rsid w:val="009227C0"/>
    <w:rsid w:val="00922885"/>
    <w:rsid w:val="009228E7"/>
    <w:rsid w:val="00922CCC"/>
    <w:rsid w:val="009232A6"/>
    <w:rsid w:val="009240DE"/>
    <w:rsid w:val="009249A3"/>
    <w:rsid w:val="00924CDF"/>
    <w:rsid w:val="00924EB1"/>
    <w:rsid w:val="00925104"/>
    <w:rsid w:val="00925229"/>
    <w:rsid w:val="0092562A"/>
    <w:rsid w:val="009258D9"/>
    <w:rsid w:val="0092590F"/>
    <w:rsid w:val="00925F5F"/>
    <w:rsid w:val="009262E7"/>
    <w:rsid w:val="00926706"/>
    <w:rsid w:val="00927501"/>
    <w:rsid w:val="00927809"/>
    <w:rsid w:val="0092783A"/>
    <w:rsid w:val="009279E1"/>
    <w:rsid w:val="00927CEC"/>
    <w:rsid w:val="00927D1A"/>
    <w:rsid w:val="009302CF"/>
    <w:rsid w:val="00930BE0"/>
    <w:rsid w:val="0093180C"/>
    <w:rsid w:val="00931B7E"/>
    <w:rsid w:val="00931E1A"/>
    <w:rsid w:val="0093292E"/>
    <w:rsid w:val="00932CE8"/>
    <w:rsid w:val="00932DF6"/>
    <w:rsid w:val="009335A1"/>
    <w:rsid w:val="0093368D"/>
    <w:rsid w:val="009337A1"/>
    <w:rsid w:val="009337AC"/>
    <w:rsid w:val="00933A64"/>
    <w:rsid w:val="00933CA8"/>
    <w:rsid w:val="009347B5"/>
    <w:rsid w:val="0093510C"/>
    <w:rsid w:val="009356BA"/>
    <w:rsid w:val="009356DE"/>
    <w:rsid w:val="0093576B"/>
    <w:rsid w:val="00935A1E"/>
    <w:rsid w:val="00935A3E"/>
    <w:rsid w:val="00935D8B"/>
    <w:rsid w:val="0093649B"/>
    <w:rsid w:val="0093683F"/>
    <w:rsid w:val="00936AC0"/>
    <w:rsid w:val="00936C2A"/>
    <w:rsid w:val="00936F66"/>
    <w:rsid w:val="00937338"/>
    <w:rsid w:val="0093775F"/>
    <w:rsid w:val="00937D7A"/>
    <w:rsid w:val="00937F3B"/>
    <w:rsid w:val="00937FF0"/>
    <w:rsid w:val="0094056A"/>
    <w:rsid w:val="00940892"/>
    <w:rsid w:val="00940A90"/>
    <w:rsid w:val="00940D89"/>
    <w:rsid w:val="009411FC"/>
    <w:rsid w:val="00941203"/>
    <w:rsid w:val="00941561"/>
    <w:rsid w:val="00941ACA"/>
    <w:rsid w:val="00941E14"/>
    <w:rsid w:val="00941ED8"/>
    <w:rsid w:val="0094201E"/>
    <w:rsid w:val="00942134"/>
    <w:rsid w:val="0094243B"/>
    <w:rsid w:val="00942563"/>
    <w:rsid w:val="00942635"/>
    <w:rsid w:val="00942B4C"/>
    <w:rsid w:val="00943380"/>
    <w:rsid w:val="009435EC"/>
    <w:rsid w:val="009438B4"/>
    <w:rsid w:val="009438EB"/>
    <w:rsid w:val="00943A8B"/>
    <w:rsid w:val="00943AF0"/>
    <w:rsid w:val="00943D1A"/>
    <w:rsid w:val="00943E2F"/>
    <w:rsid w:val="009445B6"/>
    <w:rsid w:val="009445C5"/>
    <w:rsid w:val="009446B4"/>
    <w:rsid w:val="00944DB6"/>
    <w:rsid w:val="00944E7D"/>
    <w:rsid w:val="00945092"/>
    <w:rsid w:val="009452BD"/>
    <w:rsid w:val="00945CD2"/>
    <w:rsid w:val="00945EB7"/>
    <w:rsid w:val="009463B7"/>
    <w:rsid w:val="00946421"/>
    <w:rsid w:val="0094658C"/>
    <w:rsid w:val="00946834"/>
    <w:rsid w:val="0094696B"/>
    <w:rsid w:val="0094698A"/>
    <w:rsid w:val="00946991"/>
    <w:rsid w:val="00946D1D"/>
    <w:rsid w:val="00946E78"/>
    <w:rsid w:val="00946EE3"/>
    <w:rsid w:val="00947770"/>
    <w:rsid w:val="00947815"/>
    <w:rsid w:val="00947894"/>
    <w:rsid w:val="00947DCF"/>
    <w:rsid w:val="00947F03"/>
    <w:rsid w:val="00950341"/>
    <w:rsid w:val="009506D1"/>
    <w:rsid w:val="00950784"/>
    <w:rsid w:val="009507FC"/>
    <w:rsid w:val="009511EB"/>
    <w:rsid w:val="009512F4"/>
    <w:rsid w:val="00951858"/>
    <w:rsid w:val="00951F56"/>
    <w:rsid w:val="00951F73"/>
    <w:rsid w:val="00952061"/>
    <w:rsid w:val="0095276B"/>
    <w:rsid w:val="0095289D"/>
    <w:rsid w:val="009529F7"/>
    <w:rsid w:val="00952C7E"/>
    <w:rsid w:val="00952D02"/>
    <w:rsid w:val="00952E11"/>
    <w:rsid w:val="00953096"/>
    <w:rsid w:val="00953333"/>
    <w:rsid w:val="00953A35"/>
    <w:rsid w:val="00953A99"/>
    <w:rsid w:val="00953C89"/>
    <w:rsid w:val="009541B8"/>
    <w:rsid w:val="00954305"/>
    <w:rsid w:val="00954523"/>
    <w:rsid w:val="00954585"/>
    <w:rsid w:val="0095470E"/>
    <w:rsid w:val="009547BF"/>
    <w:rsid w:val="00954957"/>
    <w:rsid w:val="0095499E"/>
    <w:rsid w:val="00954A17"/>
    <w:rsid w:val="00954D72"/>
    <w:rsid w:val="00955124"/>
    <w:rsid w:val="00955619"/>
    <w:rsid w:val="00955BD2"/>
    <w:rsid w:val="00955D69"/>
    <w:rsid w:val="009560BF"/>
    <w:rsid w:val="00956F09"/>
    <w:rsid w:val="009574FA"/>
    <w:rsid w:val="009578B8"/>
    <w:rsid w:val="009578C3"/>
    <w:rsid w:val="009578D1"/>
    <w:rsid w:val="00957E5D"/>
    <w:rsid w:val="00960535"/>
    <w:rsid w:val="0096088E"/>
    <w:rsid w:val="00961AEE"/>
    <w:rsid w:val="00961B19"/>
    <w:rsid w:val="00961B33"/>
    <w:rsid w:val="00961EB2"/>
    <w:rsid w:val="009620C5"/>
    <w:rsid w:val="009624CF"/>
    <w:rsid w:val="0096258E"/>
    <w:rsid w:val="00962CE3"/>
    <w:rsid w:val="00962CE4"/>
    <w:rsid w:val="00962DEE"/>
    <w:rsid w:val="0096341D"/>
    <w:rsid w:val="009635D2"/>
    <w:rsid w:val="00963904"/>
    <w:rsid w:val="009639CE"/>
    <w:rsid w:val="00963C53"/>
    <w:rsid w:val="00964091"/>
    <w:rsid w:val="00964102"/>
    <w:rsid w:val="0096416B"/>
    <w:rsid w:val="0096446E"/>
    <w:rsid w:val="00964511"/>
    <w:rsid w:val="00964840"/>
    <w:rsid w:val="00964B7D"/>
    <w:rsid w:val="00964BA0"/>
    <w:rsid w:val="00964BBF"/>
    <w:rsid w:val="00964D10"/>
    <w:rsid w:val="00964D69"/>
    <w:rsid w:val="00965608"/>
    <w:rsid w:val="00965648"/>
    <w:rsid w:val="009656F9"/>
    <w:rsid w:val="00965B65"/>
    <w:rsid w:val="00965DE7"/>
    <w:rsid w:val="00965DED"/>
    <w:rsid w:val="00965F68"/>
    <w:rsid w:val="009663CE"/>
    <w:rsid w:val="009664E7"/>
    <w:rsid w:val="0096705F"/>
    <w:rsid w:val="00967367"/>
    <w:rsid w:val="00967408"/>
    <w:rsid w:val="009674D9"/>
    <w:rsid w:val="00967879"/>
    <w:rsid w:val="00967C10"/>
    <w:rsid w:val="00967F08"/>
    <w:rsid w:val="00970009"/>
    <w:rsid w:val="00970100"/>
    <w:rsid w:val="00970250"/>
    <w:rsid w:val="00970331"/>
    <w:rsid w:val="0097097C"/>
    <w:rsid w:val="00970B4D"/>
    <w:rsid w:val="00971006"/>
    <w:rsid w:val="0097133E"/>
    <w:rsid w:val="009714DA"/>
    <w:rsid w:val="00971624"/>
    <w:rsid w:val="009716AD"/>
    <w:rsid w:val="00971BA0"/>
    <w:rsid w:val="00971E97"/>
    <w:rsid w:val="00972357"/>
    <w:rsid w:val="0097248E"/>
    <w:rsid w:val="009724B8"/>
    <w:rsid w:val="0097306D"/>
    <w:rsid w:val="00973C05"/>
    <w:rsid w:val="00973EB7"/>
    <w:rsid w:val="00973F5E"/>
    <w:rsid w:val="009740BC"/>
    <w:rsid w:val="00974C29"/>
    <w:rsid w:val="00974DF0"/>
    <w:rsid w:val="0097502C"/>
    <w:rsid w:val="009757AA"/>
    <w:rsid w:val="009759E5"/>
    <w:rsid w:val="00975BC3"/>
    <w:rsid w:val="009760BA"/>
    <w:rsid w:val="0097651A"/>
    <w:rsid w:val="00976F66"/>
    <w:rsid w:val="00977272"/>
    <w:rsid w:val="009773C9"/>
    <w:rsid w:val="009775D9"/>
    <w:rsid w:val="00977707"/>
    <w:rsid w:val="00977800"/>
    <w:rsid w:val="0097781E"/>
    <w:rsid w:val="009778CE"/>
    <w:rsid w:val="00977AB7"/>
    <w:rsid w:val="00977E2A"/>
    <w:rsid w:val="00977EC0"/>
    <w:rsid w:val="009801D6"/>
    <w:rsid w:val="00980347"/>
    <w:rsid w:val="00980464"/>
    <w:rsid w:val="00980559"/>
    <w:rsid w:val="00980796"/>
    <w:rsid w:val="0098083E"/>
    <w:rsid w:val="00980B72"/>
    <w:rsid w:val="00980CD5"/>
    <w:rsid w:val="009813E4"/>
    <w:rsid w:val="00981B03"/>
    <w:rsid w:val="00981C76"/>
    <w:rsid w:val="00981D9A"/>
    <w:rsid w:val="00981F2D"/>
    <w:rsid w:val="00982235"/>
    <w:rsid w:val="00982BBE"/>
    <w:rsid w:val="00982DE6"/>
    <w:rsid w:val="00983248"/>
    <w:rsid w:val="009832DC"/>
    <w:rsid w:val="009836B5"/>
    <w:rsid w:val="009836C1"/>
    <w:rsid w:val="00983A78"/>
    <w:rsid w:val="00983CC4"/>
    <w:rsid w:val="00983E9B"/>
    <w:rsid w:val="009840C0"/>
    <w:rsid w:val="0098423C"/>
    <w:rsid w:val="00984322"/>
    <w:rsid w:val="00984354"/>
    <w:rsid w:val="009848DE"/>
    <w:rsid w:val="00984CEF"/>
    <w:rsid w:val="00984ECC"/>
    <w:rsid w:val="00984F27"/>
    <w:rsid w:val="00985525"/>
    <w:rsid w:val="0098569B"/>
    <w:rsid w:val="009858FB"/>
    <w:rsid w:val="00985DA0"/>
    <w:rsid w:val="00985DE8"/>
    <w:rsid w:val="00986098"/>
    <w:rsid w:val="00986589"/>
    <w:rsid w:val="00986733"/>
    <w:rsid w:val="0098680E"/>
    <w:rsid w:val="00986B40"/>
    <w:rsid w:val="00986BE0"/>
    <w:rsid w:val="00986E13"/>
    <w:rsid w:val="00986FB4"/>
    <w:rsid w:val="009871C3"/>
    <w:rsid w:val="0098768E"/>
    <w:rsid w:val="00987704"/>
    <w:rsid w:val="009879E4"/>
    <w:rsid w:val="00987A27"/>
    <w:rsid w:val="00987D34"/>
    <w:rsid w:val="0099076C"/>
    <w:rsid w:val="00990B0A"/>
    <w:rsid w:val="00990D01"/>
    <w:rsid w:val="00990EE2"/>
    <w:rsid w:val="00990FD2"/>
    <w:rsid w:val="009910CD"/>
    <w:rsid w:val="0099111F"/>
    <w:rsid w:val="0099177E"/>
    <w:rsid w:val="00991D82"/>
    <w:rsid w:val="0099238C"/>
    <w:rsid w:val="0099243D"/>
    <w:rsid w:val="00992647"/>
    <w:rsid w:val="0099286B"/>
    <w:rsid w:val="00992A7B"/>
    <w:rsid w:val="00992F65"/>
    <w:rsid w:val="009930CB"/>
    <w:rsid w:val="00993137"/>
    <w:rsid w:val="0099320D"/>
    <w:rsid w:val="009933B8"/>
    <w:rsid w:val="0099340E"/>
    <w:rsid w:val="0099375B"/>
    <w:rsid w:val="0099385D"/>
    <w:rsid w:val="00993B52"/>
    <w:rsid w:val="00993EF6"/>
    <w:rsid w:val="0099409A"/>
    <w:rsid w:val="00994E74"/>
    <w:rsid w:val="009953CF"/>
    <w:rsid w:val="00995737"/>
    <w:rsid w:val="00995F7B"/>
    <w:rsid w:val="00996015"/>
    <w:rsid w:val="00996332"/>
    <w:rsid w:val="0099641C"/>
    <w:rsid w:val="00996500"/>
    <w:rsid w:val="009966AB"/>
    <w:rsid w:val="00996BD0"/>
    <w:rsid w:val="00996E8E"/>
    <w:rsid w:val="00996ED7"/>
    <w:rsid w:val="009970F7"/>
    <w:rsid w:val="0099732C"/>
    <w:rsid w:val="00997A48"/>
    <w:rsid w:val="00997AD3"/>
    <w:rsid w:val="00997CE9"/>
    <w:rsid w:val="009A01D7"/>
    <w:rsid w:val="009A0457"/>
    <w:rsid w:val="009A05A8"/>
    <w:rsid w:val="009A05B7"/>
    <w:rsid w:val="009A083C"/>
    <w:rsid w:val="009A09BC"/>
    <w:rsid w:val="009A0C78"/>
    <w:rsid w:val="009A0F8F"/>
    <w:rsid w:val="009A103A"/>
    <w:rsid w:val="009A106D"/>
    <w:rsid w:val="009A10CD"/>
    <w:rsid w:val="009A12F5"/>
    <w:rsid w:val="009A15FF"/>
    <w:rsid w:val="009A1AA4"/>
    <w:rsid w:val="009A1DF8"/>
    <w:rsid w:val="009A1F4F"/>
    <w:rsid w:val="009A217E"/>
    <w:rsid w:val="009A2357"/>
    <w:rsid w:val="009A25B6"/>
    <w:rsid w:val="009A2647"/>
    <w:rsid w:val="009A28E5"/>
    <w:rsid w:val="009A2C7E"/>
    <w:rsid w:val="009A370B"/>
    <w:rsid w:val="009A3908"/>
    <w:rsid w:val="009A3C7F"/>
    <w:rsid w:val="009A3DE5"/>
    <w:rsid w:val="009A424F"/>
    <w:rsid w:val="009A47FC"/>
    <w:rsid w:val="009A4954"/>
    <w:rsid w:val="009A4CBC"/>
    <w:rsid w:val="009A51EF"/>
    <w:rsid w:val="009A5206"/>
    <w:rsid w:val="009A5570"/>
    <w:rsid w:val="009A5726"/>
    <w:rsid w:val="009A5870"/>
    <w:rsid w:val="009A5997"/>
    <w:rsid w:val="009A5A0E"/>
    <w:rsid w:val="009A5BF0"/>
    <w:rsid w:val="009A6267"/>
    <w:rsid w:val="009A6649"/>
    <w:rsid w:val="009A670D"/>
    <w:rsid w:val="009A6934"/>
    <w:rsid w:val="009A69FB"/>
    <w:rsid w:val="009A6E43"/>
    <w:rsid w:val="009A6FEC"/>
    <w:rsid w:val="009A757C"/>
    <w:rsid w:val="009A7701"/>
    <w:rsid w:val="009A78D4"/>
    <w:rsid w:val="009A7AB8"/>
    <w:rsid w:val="009A7B0A"/>
    <w:rsid w:val="009B0237"/>
    <w:rsid w:val="009B0BC1"/>
    <w:rsid w:val="009B0E8A"/>
    <w:rsid w:val="009B0FBD"/>
    <w:rsid w:val="009B1172"/>
    <w:rsid w:val="009B1256"/>
    <w:rsid w:val="009B1397"/>
    <w:rsid w:val="009B1621"/>
    <w:rsid w:val="009B1998"/>
    <w:rsid w:val="009B2002"/>
    <w:rsid w:val="009B20FF"/>
    <w:rsid w:val="009B235C"/>
    <w:rsid w:val="009B244D"/>
    <w:rsid w:val="009B25D0"/>
    <w:rsid w:val="009B2772"/>
    <w:rsid w:val="009B2E41"/>
    <w:rsid w:val="009B2FAF"/>
    <w:rsid w:val="009B340E"/>
    <w:rsid w:val="009B3540"/>
    <w:rsid w:val="009B359A"/>
    <w:rsid w:val="009B3B6E"/>
    <w:rsid w:val="009B3D37"/>
    <w:rsid w:val="009B3EFB"/>
    <w:rsid w:val="009B41A1"/>
    <w:rsid w:val="009B43B2"/>
    <w:rsid w:val="009B4486"/>
    <w:rsid w:val="009B44AB"/>
    <w:rsid w:val="009B4542"/>
    <w:rsid w:val="009B49A7"/>
    <w:rsid w:val="009B4F51"/>
    <w:rsid w:val="009B4F70"/>
    <w:rsid w:val="009B4FBA"/>
    <w:rsid w:val="009B53D2"/>
    <w:rsid w:val="009B5668"/>
    <w:rsid w:val="009B581F"/>
    <w:rsid w:val="009B5C92"/>
    <w:rsid w:val="009B5EFA"/>
    <w:rsid w:val="009B6F0D"/>
    <w:rsid w:val="009B6FBB"/>
    <w:rsid w:val="009B7327"/>
    <w:rsid w:val="009B745E"/>
    <w:rsid w:val="009B76DE"/>
    <w:rsid w:val="009B798A"/>
    <w:rsid w:val="009B7A9B"/>
    <w:rsid w:val="009B7DC0"/>
    <w:rsid w:val="009B7FD0"/>
    <w:rsid w:val="009C00D2"/>
    <w:rsid w:val="009C016A"/>
    <w:rsid w:val="009C0181"/>
    <w:rsid w:val="009C0365"/>
    <w:rsid w:val="009C058E"/>
    <w:rsid w:val="009C08AC"/>
    <w:rsid w:val="009C09F5"/>
    <w:rsid w:val="009C0B48"/>
    <w:rsid w:val="009C0E12"/>
    <w:rsid w:val="009C0EFC"/>
    <w:rsid w:val="009C1135"/>
    <w:rsid w:val="009C16B3"/>
    <w:rsid w:val="009C1B68"/>
    <w:rsid w:val="009C1CCC"/>
    <w:rsid w:val="009C2297"/>
    <w:rsid w:val="009C2308"/>
    <w:rsid w:val="009C27D3"/>
    <w:rsid w:val="009C2C00"/>
    <w:rsid w:val="009C2D39"/>
    <w:rsid w:val="009C31DB"/>
    <w:rsid w:val="009C33A3"/>
    <w:rsid w:val="009C38EB"/>
    <w:rsid w:val="009C39A9"/>
    <w:rsid w:val="009C3ACE"/>
    <w:rsid w:val="009C4885"/>
    <w:rsid w:val="009C488A"/>
    <w:rsid w:val="009C5003"/>
    <w:rsid w:val="009C562D"/>
    <w:rsid w:val="009C581F"/>
    <w:rsid w:val="009C5966"/>
    <w:rsid w:val="009C635F"/>
    <w:rsid w:val="009C64FA"/>
    <w:rsid w:val="009C6598"/>
    <w:rsid w:val="009C6739"/>
    <w:rsid w:val="009C6820"/>
    <w:rsid w:val="009C6B5A"/>
    <w:rsid w:val="009C718A"/>
    <w:rsid w:val="009C76BC"/>
    <w:rsid w:val="009C79FA"/>
    <w:rsid w:val="009C7BFA"/>
    <w:rsid w:val="009C7ED6"/>
    <w:rsid w:val="009D0145"/>
    <w:rsid w:val="009D01DD"/>
    <w:rsid w:val="009D0445"/>
    <w:rsid w:val="009D06EA"/>
    <w:rsid w:val="009D094F"/>
    <w:rsid w:val="009D0C85"/>
    <w:rsid w:val="009D10D3"/>
    <w:rsid w:val="009D11B3"/>
    <w:rsid w:val="009D1451"/>
    <w:rsid w:val="009D183D"/>
    <w:rsid w:val="009D1D76"/>
    <w:rsid w:val="009D1E42"/>
    <w:rsid w:val="009D21FE"/>
    <w:rsid w:val="009D223F"/>
    <w:rsid w:val="009D2425"/>
    <w:rsid w:val="009D246B"/>
    <w:rsid w:val="009D24CD"/>
    <w:rsid w:val="009D271E"/>
    <w:rsid w:val="009D29DD"/>
    <w:rsid w:val="009D2CBB"/>
    <w:rsid w:val="009D2E5D"/>
    <w:rsid w:val="009D2F44"/>
    <w:rsid w:val="009D34EB"/>
    <w:rsid w:val="009D3777"/>
    <w:rsid w:val="009D3CD2"/>
    <w:rsid w:val="009D45C2"/>
    <w:rsid w:val="009D4706"/>
    <w:rsid w:val="009D477F"/>
    <w:rsid w:val="009D5092"/>
    <w:rsid w:val="009D5099"/>
    <w:rsid w:val="009D5158"/>
    <w:rsid w:val="009D51A5"/>
    <w:rsid w:val="009D5264"/>
    <w:rsid w:val="009D5730"/>
    <w:rsid w:val="009D5C7C"/>
    <w:rsid w:val="009D5D48"/>
    <w:rsid w:val="009D5EEF"/>
    <w:rsid w:val="009D6110"/>
    <w:rsid w:val="009D63C3"/>
    <w:rsid w:val="009D6564"/>
    <w:rsid w:val="009D710C"/>
    <w:rsid w:val="009D7596"/>
    <w:rsid w:val="009D77F1"/>
    <w:rsid w:val="009D7D61"/>
    <w:rsid w:val="009E00B3"/>
    <w:rsid w:val="009E03BB"/>
    <w:rsid w:val="009E0460"/>
    <w:rsid w:val="009E04E9"/>
    <w:rsid w:val="009E0998"/>
    <w:rsid w:val="009E1254"/>
    <w:rsid w:val="009E17B6"/>
    <w:rsid w:val="009E17BA"/>
    <w:rsid w:val="009E1A6E"/>
    <w:rsid w:val="009E1A8E"/>
    <w:rsid w:val="009E1E83"/>
    <w:rsid w:val="009E1E95"/>
    <w:rsid w:val="009E1EC6"/>
    <w:rsid w:val="009E2065"/>
    <w:rsid w:val="009E244E"/>
    <w:rsid w:val="009E248A"/>
    <w:rsid w:val="009E24C9"/>
    <w:rsid w:val="009E2D0B"/>
    <w:rsid w:val="009E2E46"/>
    <w:rsid w:val="009E2EA2"/>
    <w:rsid w:val="009E2F22"/>
    <w:rsid w:val="009E300D"/>
    <w:rsid w:val="009E30C5"/>
    <w:rsid w:val="009E3419"/>
    <w:rsid w:val="009E353D"/>
    <w:rsid w:val="009E40AF"/>
    <w:rsid w:val="009E4719"/>
    <w:rsid w:val="009E51E9"/>
    <w:rsid w:val="009E51ED"/>
    <w:rsid w:val="009E553B"/>
    <w:rsid w:val="009E560A"/>
    <w:rsid w:val="009E57F4"/>
    <w:rsid w:val="009E5B00"/>
    <w:rsid w:val="009E5BD6"/>
    <w:rsid w:val="009E5E4F"/>
    <w:rsid w:val="009E5F2E"/>
    <w:rsid w:val="009E5FFC"/>
    <w:rsid w:val="009E6553"/>
    <w:rsid w:val="009E66CE"/>
    <w:rsid w:val="009E6D98"/>
    <w:rsid w:val="009E6E0E"/>
    <w:rsid w:val="009E6F06"/>
    <w:rsid w:val="009E7343"/>
    <w:rsid w:val="009E7348"/>
    <w:rsid w:val="009E77EA"/>
    <w:rsid w:val="009E7A92"/>
    <w:rsid w:val="009E7E15"/>
    <w:rsid w:val="009E7F4B"/>
    <w:rsid w:val="009F0442"/>
    <w:rsid w:val="009F06AB"/>
    <w:rsid w:val="009F0852"/>
    <w:rsid w:val="009F098A"/>
    <w:rsid w:val="009F0A01"/>
    <w:rsid w:val="009F0BF0"/>
    <w:rsid w:val="009F1341"/>
    <w:rsid w:val="009F16F5"/>
    <w:rsid w:val="009F1764"/>
    <w:rsid w:val="009F1879"/>
    <w:rsid w:val="009F1DC9"/>
    <w:rsid w:val="009F23B3"/>
    <w:rsid w:val="009F2537"/>
    <w:rsid w:val="009F2650"/>
    <w:rsid w:val="009F266B"/>
    <w:rsid w:val="009F28C7"/>
    <w:rsid w:val="009F2AB7"/>
    <w:rsid w:val="009F34E1"/>
    <w:rsid w:val="009F3BCA"/>
    <w:rsid w:val="009F4048"/>
    <w:rsid w:val="009F4153"/>
    <w:rsid w:val="009F4213"/>
    <w:rsid w:val="009F4249"/>
    <w:rsid w:val="009F429C"/>
    <w:rsid w:val="009F4711"/>
    <w:rsid w:val="009F479C"/>
    <w:rsid w:val="009F4A65"/>
    <w:rsid w:val="009F4CB4"/>
    <w:rsid w:val="009F4DA6"/>
    <w:rsid w:val="009F51ED"/>
    <w:rsid w:val="009F52AA"/>
    <w:rsid w:val="009F542D"/>
    <w:rsid w:val="009F54ED"/>
    <w:rsid w:val="009F596A"/>
    <w:rsid w:val="009F5CF2"/>
    <w:rsid w:val="009F5E66"/>
    <w:rsid w:val="009F6066"/>
    <w:rsid w:val="009F6285"/>
    <w:rsid w:val="009F6297"/>
    <w:rsid w:val="009F64F5"/>
    <w:rsid w:val="009F6657"/>
    <w:rsid w:val="009F6A1D"/>
    <w:rsid w:val="009F6D56"/>
    <w:rsid w:val="009F6FBA"/>
    <w:rsid w:val="009F7076"/>
    <w:rsid w:val="009F728B"/>
    <w:rsid w:val="009F7702"/>
    <w:rsid w:val="009F7DCA"/>
    <w:rsid w:val="009F7F58"/>
    <w:rsid w:val="00A0005B"/>
    <w:rsid w:val="00A010A7"/>
    <w:rsid w:val="00A0134E"/>
    <w:rsid w:val="00A015A9"/>
    <w:rsid w:val="00A01749"/>
    <w:rsid w:val="00A01FDB"/>
    <w:rsid w:val="00A02248"/>
    <w:rsid w:val="00A02514"/>
    <w:rsid w:val="00A0275E"/>
    <w:rsid w:val="00A02908"/>
    <w:rsid w:val="00A02BA6"/>
    <w:rsid w:val="00A02DA9"/>
    <w:rsid w:val="00A02FCD"/>
    <w:rsid w:val="00A03370"/>
    <w:rsid w:val="00A03546"/>
    <w:rsid w:val="00A037E2"/>
    <w:rsid w:val="00A03B44"/>
    <w:rsid w:val="00A03B8B"/>
    <w:rsid w:val="00A03C50"/>
    <w:rsid w:val="00A03D83"/>
    <w:rsid w:val="00A03F64"/>
    <w:rsid w:val="00A044CF"/>
    <w:rsid w:val="00A04B70"/>
    <w:rsid w:val="00A05185"/>
    <w:rsid w:val="00A05903"/>
    <w:rsid w:val="00A05B0B"/>
    <w:rsid w:val="00A05E18"/>
    <w:rsid w:val="00A0651C"/>
    <w:rsid w:val="00A065A3"/>
    <w:rsid w:val="00A0688C"/>
    <w:rsid w:val="00A06B19"/>
    <w:rsid w:val="00A06C05"/>
    <w:rsid w:val="00A06D10"/>
    <w:rsid w:val="00A0723D"/>
    <w:rsid w:val="00A075F7"/>
    <w:rsid w:val="00A07650"/>
    <w:rsid w:val="00A076E5"/>
    <w:rsid w:val="00A07948"/>
    <w:rsid w:val="00A07B4B"/>
    <w:rsid w:val="00A07CED"/>
    <w:rsid w:val="00A07D22"/>
    <w:rsid w:val="00A07D90"/>
    <w:rsid w:val="00A10499"/>
    <w:rsid w:val="00A106FC"/>
    <w:rsid w:val="00A109A4"/>
    <w:rsid w:val="00A10B3C"/>
    <w:rsid w:val="00A10BF7"/>
    <w:rsid w:val="00A10C61"/>
    <w:rsid w:val="00A1189E"/>
    <w:rsid w:val="00A12155"/>
    <w:rsid w:val="00A12206"/>
    <w:rsid w:val="00A125BE"/>
    <w:rsid w:val="00A12858"/>
    <w:rsid w:val="00A12B6E"/>
    <w:rsid w:val="00A12CA2"/>
    <w:rsid w:val="00A12E40"/>
    <w:rsid w:val="00A12F8F"/>
    <w:rsid w:val="00A132BD"/>
    <w:rsid w:val="00A138CB"/>
    <w:rsid w:val="00A138E9"/>
    <w:rsid w:val="00A13BA1"/>
    <w:rsid w:val="00A13CF1"/>
    <w:rsid w:val="00A13F38"/>
    <w:rsid w:val="00A140C9"/>
    <w:rsid w:val="00A14199"/>
    <w:rsid w:val="00A141CD"/>
    <w:rsid w:val="00A141DF"/>
    <w:rsid w:val="00A14434"/>
    <w:rsid w:val="00A14499"/>
    <w:rsid w:val="00A1473C"/>
    <w:rsid w:val="00A1499D"/>
    <w:rsid w:val="00A149F6"/>
    <w:rsid w:val="00A153D8"/>
    <w:rsid w:val="00A158EC"/>
    <w:rsid w:val="00A15974"/>
    <w:rsid w:val="00A15E84"/>
    <w:rsid w:val="00A16280"/>
    <w:rsid w:val="00A163FA"/>
    <w:rsid w:val="00A16AE0"/>
    <w:rsid w:val="00A16C66"/>
    <w:rsid w:val="00A17151"/>
    <w:rsid w:val="00A17541"/>
    <w:rsid w:val="00A177C4"/>
    <w:rsid w:val="00A177D6"/>
    <w:rsid w:val="00A17830"/>
    <w:rsid w:val="00A17BD0"/>
    <w:rsid w:val="00A17D69"/>
    <w:rsid w:val="00A200B6"/>
    <w:rsid w:val="00A20285"/>
    <w:rsid w:val="00A20835"/>
    <w:rsid w:val="00A20B32"/>
    <w:rsid w:val="00A20D7A"/>
    <w:rsid w:val="00A20F99"/>
    <w:rsid w:val="00A21075"/>
    <w:rsid w:val="00A215CB"/>
    <w:rsid w:val="00A2178B"/>
    <w:rsid w:val="00A218BE"/>
    <w:rsid w:val="00A219E3"/>
    <w:rsid w:val="00A21CEA"/>
    <w:rsid w:val="00A21D78"/>
    <w:rsid w:val="00A21E7B"/>
    <w:rsid w:val="00A21F99"/>
    <w:rsid w:val="00A22062"/>
    <w:rsid w:val="00A227CB"/>
    <w:rsid w:val="00A228C8"/>
    <w:rsid w:val="00A22AD4"/>
    <w:rsid w:val="00A22B60"/>
    <w:rsid w:val="00A2343C"/>
    <w:rsid w:val="00A237D9"/>
    <w:rsid w:val="00A23A5B"/>
    <w:rsid w:val="00A23C25"/>
    <w:rsid w:val="00A2400D"/>
    <w:rsid w:val="00A246B1"/>
    <w:rsid w:val="00A246D5"/>
    <w:rsid w:val="00A250C8"/>
    <w:rsid w:val="00A2568B"/>
    <w:rsid w:val="00A257CE"/>
    <w:rsid w:val="00A26298"/>
    <w:rsid w:val="00A26585"/>
    <w:rsid w:val="00A26D00"/>
    <w:rsid w:val="00A26DEC"/>
    <w:rsid w:val="00A26DF8"/>
    <w:rsid w:val="00A2716F"/>
    <w:rsid w:val="00A27277"/>
    <w:rsid w:val="00A272A7"/>
    <w:rsid w:val="00A27572"/>
    <w:rsid w:val="00A27834"/>
    <w:rsid w:val="00A27CA9"/>
    <w:rsid w:val="00A3030B"/>
    <w:rsid w:val="00A30443"/>
    <w:rsid w:val="00A30664"/>
    <w:rsid w:val="00A30B85"/>
    <w:rsid w:val="00A30C5B"/>
    <w:rsid w:val="00A30C66"/>
    <w:rsid w:val="00A30E3B"/>
    <w:rsid w:val="00A30EE8"/>
    <w:rsid w:val="00A310EC"/>
    <w:rsid w:val="00A313BD"/>
    <w:rsid w:val="00A3184F"/>
    <w:rsid w:val="00A31DE7"/>
    <w:rsid w:val="00A31FDD"/>
    <w:rsid w:val="00A32178"/>
    <w:rsid w:val="00A32440"/>
    <w:rsid w:val="00A32C09"/>
    <w:rsid w:val="00A330D7"/>
    <w:rsid w:val="00A33520"/>
    <w:rsid w:val="00A33701"/>
    <w:rsid w:val="00A337AC"/>
    <w:rsid w:val="00A339D3"/>
    <w:rsid w:val="00A33F5C"/>
    <w:rsid w:val="00A34358"/>
    <w:rsid w:val="00A343A0"/>
    <w:rsid w:val="00A343D0"/>
    <w:rsid w:val="00A3485E"/>
    <w:rsid w:val="00A34A6C"/>
    <w:rsid w:val="00A34A78"/>
    <w:rsid w:val="00A34D28"/>
    <w:rsid w:val="00A34F49"/>
    <w:rsid w:val="00A34FAE"/>
    <w:rsid w:val="00A3507B"/>
    <w:rsid w:val="00A354EF"/>
    <w:rsid w:val="00A357D5"/>
    <w:rsid w:val="00A35D0A"/>
    <w:rsid w:val="00A3606E"/>
    <w:rsid w:val="00A36577"/>
    <w:rsid w:val="00A366DF"/>
    <w:rsid w:val="00A367EA"/>
    <w:rsid w:val="00A368AC"/>
    <w:rsid w:val="00A368BB"/>
    <w:rsid w:val="00A36D97"/>
    <w:rsid w:val="00A36EFB"/>
    <w:rsid w:val="00A36F36"/>
    <w:rsid w:val="00A37152"/>
    <w:rsid w:val="00A3736B"/>
    <w:rsid w:val="00A3771E"/>
    <w:rsid w:val="00A37C0B"/>
    <w:rsid w:val="00A400EB"/>
    <w:rsid w:val="00A40109"/>
    <w:rsid w:val="00A40304"/>
    <w:rsid w:val="00A4059B"/>
    <w:rsid w:val="00A40B5A"/>
    <w:rsid w:val="00A40C15"/>
    <w:rsid w:val="00A41381"/>
    <w:rsid w:val="00A415AA"/>
    <w:rsid w:val="00A417B7"/>
    <w:rsid w:val="00A4184C"/>
    <w:rsid w:val="00A41895"/>
    <w:rsid w:val="00A41CAE"/>
    <w:rsid w:val="00A42065"/>
    <w:rsid w:val="00A42078"/>
    <w:rsid w:val="00A4217E"/>
    <w:rsid w:val="00A428D9"/>
    <w:rsid w:val="00A42A19"/>
    <w:rsid w:val="00A42B29"/>
    <w:rsid w:val="00A43292"/>
    <w:rsid w:val="00A4479D"/>
    <w:rsid w:val="00A44AC3"/>
    <w:rsid w:val="00A44C77"/>
    <w:rsid w:val="00A450CA"/>
    <w:rsid w:val="00A45172"/>
    <w:rsid w:val="00A451A2"/>
    <w:rsid w:val="00A4532B"/>
    <w:rsid w:val="00A45760"/>
    <w:rsid w:val="00A457D1"/>
    <w:rsid w:val="00A45C33"/>
    <w:rsid w:val="00A45CF9"/>
    <w:rsid w:val="00A4609E"/>
    <w:rsid w:val="00A4643E"/>
    <w:rsid w:val="00A46A46"/>
    <w:rsid w:val="00A46B74"/>
    <w:rsid w:val="00A46BC8"/>
    <w:rsid w:val="00A46F6D"/>
    <w:rsid w:val="00A46F8D"/>
    <w:rsid w:val="00A46FFA"/>
    <w:rsid w:val="00A47092"/>
    <w:rsid w:val="00A478BC"/>
    <w:rsid w:val="00A4795E"/>
    <w:rsid w:val="00A47A3F"/>
    <w:rsid w:val="00A47A66"/>
    <w:rsid w:val="00A47B05"/>
    <w:rsid w:val="00A47B89"/>
    <w:rsid w:val="00A4A0A6"/>
    <w:rsid w:val="00A50473"/>
    <w:rsid w:val="00A504AC"/>
    <w:rsid w:val="00A504EF"/>
    <w:rsid w:val="00A5069E"/>
    <w:rsid w:val="00A50BBD"/>
    <w:rsid w:val="00A510EC"/>
    <w:rsid w:val="00A516B8"/>
    <w:rsid w:val="00A51748"/>
    <w:rsid w:val="00A517C5"/>
    <w:rsid w:val="00A51A13"/>
    <w:rsid w:val="00A51AC9"/>
    <w:rsid w:val="00A51E45"/>
    <w:rsid w:val="00A51E51"/>
    <w:rsid w:val="00A5290B"/>
    <w:rsid w:val="00A5389E"/>
    <w:rsid w:val="00A53F22"/>
    <w:rsid w:val="00A543EB"/>
    <w:rsid w:val="00A547B3"/>
    <w:rsid w:val="00A548FE"/>
    <w:rsid w:val="00A55490"/>
    <w:rsid w:val="00A5568E"/>
    <w:rsid w:val="00A5583D"/>
    <w:rsid w:val="00A55A93"/>
    <w:rsid w:val="00A55AF8"/>
    <w:rsid w:val="00A55C66"/>
    <w:rsid w:val="00A55E24"/>
    <w:rsid w:val="00A5612F"/>
    <w:rsid w:val="00A5642E"/>
    <w:rsid w:val="00A56D04"/>
    <w:rsid w:val="00A57560"/>
    <w:rsid w:val="00A605AB"/>
    <w:rsid w:val="00A60B25"/>
    <w:rsid w:val="00A60CD8"/>
    <w:rsid w:val="00A60E14"/>
    <w:rsid w:val="00A615B5"/>
    <w:rsid w:val="00A616AD"/>
    <w:rsid w:val="00A61A2B"/>
    <w:rsid w:val="00A61E45"/>
    <w:rsid w:val="00A61E50"/>
    <w:rsid w:val="00A61EC9"/>
    <w:rsid w:val="00A6211F"/>
    <w:rsid w:val="00A62635"/>
    <w:rsid w:val="00A62989"/>
    <w:rsid w:val="00A62E28"/>
    <w:rsid w:val="00A62ED1"/>
    <w:rsid w:val="00A63094"/>
    <w:rsid w:val="00A6309D"/>
    <w:rsid w:val="00A634B2"/>
    <w:rsid w:val="00A634B9"/>
    <w:rsid w:val="00A63902"/>
    <w:rsid w:val="00A63F1A"/>
    <w:rsid w:val="00A641A8"/>
    <w:rsid w:val="00A641CC"/>
    <w:rsid w:val="00A6462D"/>
    <w:rsid w:val="00A647E4"/>
    <w:rsid w:val="00A648A0"/>
    <w:rsid w:val="00A64A53"/>
    <w:rsid w:val="00A64ADE"/>
    <w:rsid w:val="00A64AE0"/>
    <w:rsid w:val="00A6554F"/>
    <w:rsid w:val="00A655FA"/>
    <w:rsid w:val="00A65649"/>
    <w:rsid w:val="00A65B67"/>
    <w:rsid w:val="00A65C5B"/>
    <w:rsid w:val="00A65D57"/>
    <w:rsid w:val="00A6638B"/>
    <w:rsid w:val="00A66584"/>
    <w:rsid w:val="00A66A80"/>
    <w:rsid w:val="00A66D1A"/>
    <w:rsid w:val="00A6716F"/>
    <w:rsid w:val="00A675FC"/>
    <w:rsid w:val="00A676D0"/>
    <w:rsid w:val="00A67789"/>
    <w:rsid w:val="00A677D1"/>
    <w:rsid w:val="00A6786B"/>
    <w:rsid w:val="00A67A2C"/>
    <w:rsid w:val="00A67FFA"/>
    <w:rsid w:val="00A7007E"/>
    <w:rsid w:val="00A705C4"/>
    <w:rsid w:val="00A706E9"/>
    <w:rsid w:val="00A709CF"/>
    <w:rsid w:val="00A70AE6"/>
    <w:rsid w:val="00A70D8B"/>
    <w:rsid w:val="00A710CA"/>
    <w:rsid w:val="00A7173B"/>
    <w:rsid w:val="00A71D1D"/>
    <w:rsid w:val="00A71E92"/>
    <w:rsid w:val="00A720EB"/>
    <w:rsid w:val="00A722CE"/>
    <w:rsid w:val="00A7257B"/>
    <w:rsid w:val="00A7264D"/>
    <w:rsid w:val="00A7265B"/>
    <w:rsid w:val="00A7280E"/>
    <w:rsid w:val="00A72985"/>
    <w:rsid w:val="00A7302E"/>
    <w:rsid w:val="00A732D1"/>
    <w:rsid w:val="00A73749"/>
    <w:rsid w:val="00A73848"/>
    <w:rsid w:val="00A73A1B"/>
    <w:rsid w:val="00A73B5A"/>
    <w:rsid w:val="00A73CC0"/>
    <w:rsid w:val="00A73D14"/>
    <w:rsid w:val="00A73E4F"/>
    <w:rsid w:val="00A73F6E"/>
    <w:rsid w:val="00A73F7E"/>
    <w:rsid w:val="00A74058"/>
    <w:rsid w:val="00A74205"/>
    <w:rsid w:val="00A74F22"/>
    <w:rsid w:val="00A74F41"/>
    <w:rsid w:val="00A74F85"/>
    <w:rsid w:val="00A75067"/>
    <w:rsid w:val="00A7514B"/>
    <w:rsid w:val="00A75703"/>
    <w:rsid w:val="00A757FA"/>
    <w:rsid w:val="00A7585A"/>
    <w:rsid w:val="00A7597F"/>
    <w:rsid w:val="00A75BA0"/>
    <w:rsid w:val="00A75E13"/>
    <w:rsid w:val="00A7612B"/>
    <w:rsid w:val="00A76776"/>
    <w:rsid w:val="00A769E9"/>
    <w:rsid w:val="00A76CEA"/>
    <w:rsid w:val="00A76FEB"/>
    <w:rsid w:val="00A7704F"/>
    <w:rsid w:val="00A770F0"/>
    <w:rsid w:val="00A77271"/>
    <w:rsid w:val="00A77277"/>
    <w:rsid w:val="00A77726"/>
    <w:rsid w:val="00A77880"/>
    <w:rsid w:val="00A77920"/>
    <w:rsid w:val="00A77C26"/>
    <w:rsid w:val="00A77D59"/>
    <w:rsid w:val="00A80413"/>
    <w:rsid w:val="00A8091F"/>
    <w:rsid w:val="00A81114"/>
    <w:rsid w:val="00A8131C"/>
    <w:rsid w:val="00A81401"/>
    <w:rsid w:val="00A81664"/>
    <w:rsid w:val="00A819A1"/>
    <w:rsid w:val="00A819E2"/>
    <w:rsid w:val="00A81E95"/>
    <w:rsid w:val="00A8201C"/>
    <w:rsid w:val="00A82495"/>
    <w:rsid w:val="00A82567"/>
    <w:rsid w:val="00A829D3"/>
    <w:rsid w:val="00A82DC0"/>
    <w:rsid w:val="00A8311E"/>
    <w:rsid w:val="00A8340D"/>
    <w:rsid w:val="00A83460"/>
    <w:rsid w:val="00A83D77"/>
    <w:rsid w:val="00A83FD7"/>
    <w:rsid w:val="00A84D67"/>
    <w:rsid w:val="00A84DF4"/>
    <w:rsid w:val="00A8543B"/>
    <w:rsid w:val="00A85654"/>
    <w:rsid w:val="00A85731"/>
    <w:rsid w:val="00A859D7"/>
    <w:rsid w:val="00A85DB2"/>
    <w:rsid w:val="00A86311"/>
    <w:rsid w:val="00A8658E"/>
    <w:rsid w:val="00A8679F"/>
    <w:rsid w:val="00A86DF3"/>
    <w:rsid w:val="00A878ED"/>
    <w:rsid w:val="00A87A7D"/>
    <w:rsid w:val="00A87C73"/>
    <w:rsid w:val="00A87CB7"/>
    <w:rsid w:val="00A87E95"/>
    <w:rsid w:val="00A90266"/>
    <w:rsid w:val="00A90568"/>
    <w:rsid w:val="00A906DC"/>
    <w:rsid w:val="00A908AB"/>
    <w:rsid w:val="00A908F2"/>
    <w:rsid w:val="00A90C58"/>
    <w:rsid w:val="00A90E5E"/>
    <w:rsid w:val="00A90EEC"/>
    <w:rsid w:val="00A91567"/>
    <w:rsid w:val="00A91763"/>
    <w:rsid w:val="00A917BF"/>
    <w:rsid w:val="00A91842"/>
    <w:rsid w:val="00A92377"/>
    <w:rsid w:val="00A92993"/>
    <w:rsid w:val="00A92ED6"/>
    <w:rsid w:val="00A93326"/>
    <w:rsid w:val="00A934FE"/>
    <w:rsid w:val="00A935BE"/>
    <w:rsid w:val="00A94064"/>
    <w:rsid w:val="00A9427E"/>
    <w:rsid w:val="00A9447D"/>
    <w:rsid w:val="00A945CA"/>
    <w:rsid w:val="00A94789"/>
    <w:rsid w:val="00A94A4E"/>
    <w:rsid w:val="00A94FCD"/>
    <w:rsid w:val="00A95056"/>
    <w:rsid w:val="00A9556C"/>
    <w:rsid w:val="00A95F86"/>
    <w:rsid w:val="00A960C1"/>
    <w:rsid w:val="00A96344"/>
    <w:rsid w:val="00A9679B"/>
    <w:rsid w:val="00A96887"/>
    <w:rsid w:val="00A96A23"/>
    <w:rsid w:val="00A97762"/>
    <w:rsid w:val="00A97786"/>
    <w:rsid w:val="00A978FE"/>
    <w:rsid w:val="00A97DFA"/>
    <w:rsid w:val="00A97E72"/>
    <w:rsid w:val="00A97EF3"/>
    <w:rsid w:val="00AA0451"/>
    <w:rsid w:val="00AA0B0F"/>
    <w:rsid w:val="00AA0CCD"/>
    <w:rsid w:val="00AA0D3E"/>
    <w:rsid w:val="00AA112B"/>
    <w:rsid w:val="00AA1166"/>
    <w:rsid w:val="00AA11A6"/>
    <w:rsid w:val="00AA158C"/>
    <w:rsid w:val="00AA1621"/>
    <w:rsid w:val="00AA17BD"/>
    <w:rsid w:val="00AA1F6F"/>
    <w:rsid w:val="00AA20B3"/>
    <w:rsid w:val="00AA2106"/>
    <w:rsid w:val="00AA237D"/>
    <w:rsid w:val="00AA252D"/>
    <w:rsid w:val="00AA2855"/>
    <w:rsid w:val="00AA2CC2"/>
    <w:rsid w:val="00AA2CD1"/>
    <w:rsid w:val="00AA2E90"/>
    <w:rsid w:val="00AA2FA3"/>
    <w:rsid w:val="00AA318A"/>
    <w:rsid w:val="00AA378F"/>
    <w:rsid w:val="00AA39FB"/>
    <w:rsid w:val="00AA3D8D"/>
    <w:rsid w:val="00AA43CF"/>
    <w:rsid w:val="00AA4592"/>
    <w:rsid w:val="00AA489F"/>
    <w:rsid w:val="00AA4B6B"/>
    <w:rsid w:val="00AA4CD2"/>
    <w:rsid w:val="00AA4D8B"/>
    <w:rsid w:val="00AA51E6"/>
    <w:rsid w:val="00AA60F4"/>
    <w:rsid w:val="00AA60FC"/>
    <w:rsid w:val="00AA637E"/>
    <w:rsid w:val="00AA65B1"/>
    <w:rsid w:val="00AA670E"/>
    <w:rsid w:val="00AA676A"/>
    <w:rsid w:val="00AA6E59"/>
    <w:rsid w:val="00AA7231"/>
    <w:rsid w:val="00AA7A1B"/>
    <w:rsid w:val="00AA7BCB"/>
    <w:rsid w:val="00AA7E80"/>
    <w:rsid w:val="00AA7FD7"/>
    <w:rsid w:val="00AB0956"/>
    <w:rsid w:val="00AB0A6D"/>
    <w:rsid w:val="00AB10E3"/>
    <w:rsid w:val="00AB1AC9"/>
    <w:rsid w:val="00AB1B65"/>
    <w:rsid w:val="00AB1B97"/>
    <w:rsid w:val="00AB2192"/>
    <w:rsid w:val="00AB22E4"/>
    <w:rsid w:val="00AB2419"/>
    <w:rsid w:val="00AB24A8"/>
    <w:rsid w:val="00AB2548"/>
    <w:rsid w:val="00AB2B14"/>
    <w:rsid w:val="00AB2EB5"/>
    <w:rsid w:val="00AB2EE6"/>
    <w:rsid w:val="00AB3237"/>
    <w:rsid w:val="00AB32EA"/>
    <w:rsid w:val="00AB36A1"/>
    <w:rsid w:val="00AB37C7"/>
    <w:rsid w:val="00AB3B0B"/>
    <w:rsid w:val="00AB3D3B"/>
    <w:rsid w:val="00AB4018"/>
    <w:rsid w:val="00AB40B1"/>
    <w:rsid w:val="00AB42DD"/>
    <w:rsid w:val="00AB4592"/>
    <w:rsid w:val="00AB4F10"/>
    <w:rsid w:val="00AB52BE"/>
    <w:rsid w:val="00AB66A4"/>
    <w:rsid w:val="00AB687C"/>
    <w:rsid w:val="00AB6B0C"/>
    <w:rsid w:val="00AB6CB2"/>
    <w:rsid w:val="00AB6D0C"/>
    <w:rsid w:val="00AB7341"/>
    <w:rsid w:val="00AB7ADC"/>
    <w:rsid w:val="00AB7CA3"/>
    <w:rsid w:val="00AC001C"/>
    <w:rsid w:val="00AC0062"/>
    <w:rsid w:val="00AC02FA"/>
    <w:rsid w:val="00AC0FB8"/>
    <w:rsid w:val="00AC0FFA"/>
    <w:rsid w:val="00AC1136"/>
    <w:rsid w:val="00AC1823"/>
    <w:rsid w:val="00AC1A40"/>
    <w:rsid w:val="00AC2338"/>
    <w:rsid w:val="00AC2353"/>
    <w:rsid w:val="00AC256B"/>
    <w:rsid w:val="00AC259E"/>
    <w:rsid w:val="00AC277F"/>
    <w:rsid w:val="00AC2DE5"/>
    <w:rsid w:val="00AC35FC"/>
    <w:rsid w:val="00AC369A"/>
    <w:rsid w:val="00AC3E10"/>
    <w:rsid w:val="00AC3EED"/>
    <w:rsid w:val="00AC43C8"/>
    <w:rsid w:val="00AC4A9A"/>
    <w:rsid w:val="00AC4C9E"/>
    <w:rsid w:val="00AC5132"/>
    <w:rsid w:val="00AC51AE"/>
    <w:rsid w:val="00AC5D35"/>
    <w:rsid w:val="00AC5D4F"/>
    <w:rsid w:val="00AC6463"/>
    <w:rsid w:val="00AC67D9"/>
    <w:rsid w:val="00AC6A9B"/>
    <w:rsid w:val="00AC6D11"/>
    <w:rsid w:val="00AC6ED0"/>
    <w:rsid w:val="00AC71F2"/>
    <w:rsid w:val="00AC731E"/>
    <w:rsid w:val="00AC753B"/>
    <w:rsid w:val="00AC7976"/>
    <w:rsid w:val="00AC7991"/>
    <w:rsid w:val="00AC799C"/>
    <w:rsid w:val="00AC79FC"/>
    <w:rsid w:val="00AD01C3"/>
    <w:rsid w:val="00AD12CF"/>
    <w:rsid w:val="00AD146D"/>
    <w:rsid w:val="00AD16DD"/>
    <w:rsid w:val="00AD1B51"/>
    <w:rsid w:val="00AD1B5F"/>
    <w:rsid w:val="00AD2162"/>
    <w:rsid w:val="00AD2229"/>
    <w:rsid w:val="00AD28F7"/>
    <w:rsid w:val="00AD2CD6"/>
    <w:rsid w:val="00AD2D7F"/>
    <w:rsid w:val="00AD2E7E"/>
    <w:rsid w:val="00AD3168"/>
    <w:rsid w:val="00AD3563"/>
    <w:rsid w:val="00AD3892"/>
    <w:rsid w:val="00AD3B50"/>
    <w:rsid w:val="00AD3CD9"/>
    <w:rsid w:val="00AD3FB0"/>
    <w:rsid w:val="00AD42DD"/>
    <w:rsid w:val="00AD4565"/>
    <w:rsid w:val="00AD484F"/>
    <w:rsid w:val="00AD4AD6"/>
    <w:rsid w:val="00AD4F37"/>
    <w:rsid w:val="00AD4FCC"/>
    <w:rsid w:val="00AD5001"/>
    <w:rsid w:val="00AD52D6"/>
    <w:rsid w:val="00AD5316"/>
    <w:rsid w:val="00AD547F"/>
    <w:rsid w:val="00AD57A8"/>
    <w:rsid w:val="00AD5865"/>
    <w:rsid w:val="00AD5953"/>
    <w:rsid w:val="00AD5BB6"/>
    <w:rsid w:val="00AD5CEB"/>
    <w:rsid w:val="00AD5EB7"/>
    <w:rsid w:val="00AD5EEC"/>
    <w:rsid w:val="00AD683B"/>
    <w:rsid w:val="00AD6EE1"/>
    <w:rsid w:val="00AD7026"/>
    <w:rsid w:val="00AD7043"/>
    <w:rsid w:val="00AD72F6"/>
    <w:rsid w:val="00AD73A1"/>
    <w:rsid w:val="00AD77DD"/>
    <w:rsid w:val="00AD7866"/>
    <w:rsid w:val="00AD7923"/>
    <w:rsid w:val="00AD7B8D"/>
    <w:rsid w:val="00AD7C9E"/>
    <w:rsid w:val="00AE0543"/>
    <w:rsid w:val="00AE06CC"/>
    <w:rsid w:val="00AE0775"/>
    <w:rsid w:val="00AE0A04"/>
    <w:rsid w:val="00AE0DB2"/>
    <w:rsid w:val="00AE0EBE"/>
    <w:rsid w:val="00AE1158"/>
    <w:rsid w:val="00AE11FA"/>
    <w:rsid w:val="00AE1214"/>
    <w:rsid w:val="00AE14B1"/>
    <w:rsid w:val="00AE14F0"/>
    <w:rsid w:val="00AE1838"/>
    <w:rsid w:val="00AE1B7A"/>
    <w:rsid w:val="00AE1CF7"/>
    <w:rsid w:val="00AE1DAD"/>
    <w:rsid w:val="00AE1DFA"/>
    <w:rsid w:val="00AE2544"/>
    <w:rsid w:val="00AE26E4"/>
    <w:rsid w:val="00AE27BB"/>
    <w:rsid w:val="00AE28DE"/>
    <w:rsid w:val="00AE2AD1"/>
    <w:rsid w:val="00AE2B30"/>
    <w:rsid w:val="00AE2F45"/>
    <w:rsid w:val="00AE371C"/>
    <w:rsid w:val="00AE3805"/>
    <w:rsid w:val="00AE3B1B"/>
    <w:rsid w:val="00AE3C51"/>
    <w:rsid w:val="00AE3E60"/>
    <w:rsid w:val="00AE3E99"/>
    <w:rsid w:val="00AE4273"/>
    <w:rsid w:val="00AE46FE"/>
    <w:rsid w:val="00AE49A7"/>
    <w:rsid w:val="00AE4ABE"/>
    <w:rsid w:val="00AE4BB0"/>
    <w:rsid w:val="00AE4D23"/>
    <w:rsid w:val="00AE503D"/>
    <w:rsid w:val="00AE563F"/>
    <w:rsid w:val="00AE5700"/>
    <w:rsid w:val="00AE5749"/>
    <w:rsid w:val="00AE599C"/>
    <w:rsid w:val="00AE5BE7"/>
    <w:rsid w:val="00AE5D87"/>
    <w:rsid w:val="00AE5E28"/>
    <w:rsid w:val="00AE6880"/>
    <w:rsid w:val="00AE6FD4"/>
    <w:rsid w:val="00AE6FDF"/>
    <w:rsid w:val="00AE752E"/>
    <w:rsid w:val="00AE7609"/>
    <w:rsid w:val="00AE78E9"/>
    <w:rsid w:val="00AE799D"/>
    <w:rsid w:val="00AF00DB"/>
    <w:rsid w:val="00AF017E"/>
    <w:rsid w:val="00AF045E"/>
    <w:rsid w:val="00AF115F"/>
    <w:rsid w:val="00AF16C3"/>
    <w:rsid w:val="00AF16F8"/>
    <w:rsid w:val="00AF1DB5"/>
    <w:rsid w:val="00AF1E3A"/>
    <w:rsid w:val="00AF1F43"/>
    <w:rsid w:val="00AF1FCA"/>
    <w:rsid w:val="00AF212B"/>
    <w:rsid w:val="00AF26F9"/>
    <w:rsid w:val="00AF27E6"/>
    <w:rsid w:val="00AF28CA"/>
    <w:rsid w:val="00AF3062"/>
    <w:rsid w:val="00AF32F7"/>
    <w:rsid w:val="00AF3355"/>
    <w:rsid w:val="00AF3419"/>
    <w:rsid w:val="00AF37B7"/>
    <w:rsid w:val="00AF3D25"/>
    <w:rsid w:val="00AF3F14"/>
    <w:rsid w:val="00AF461D"/>
    <w:rsid w:val="00AF462F"/>
    <w:rsid w:val="00AF4673"/>
    <w:rsid w:val="00AF4A0C"/>
    <w:rsid w:val="00AF4A93"/>
    <w:rsid w:val="00AF4AAC"/>
    <w:rsid w:val="00AF55FA"/>
    <w:rsid w:val="00AF5E2F"/>
    <w:rsid w:val="00AF5F46"/>
    <w:rsid w:val="00AF5F7A"/>
    <w:rsid w:val="00AF6048"/>
    <w:rsid w:val="00AF60CE"/>
    <w:rsid w:val="00AF6A4A"/>
    <w:rsid w:val="00AF6E68"/>
    <w:rsid w:val="00AF70F7"/>
    <w:rsid w:val="00AF792C"/>
    <w:rsid w:val="00AF79F4"/>
    <w:rsid w:val="00AF7B32"/>
    <w:rsid w:val="00AF7CC4"/>
    <w:rsid w:val="00AF7E9B"/>
    <w:rsid w:val="00B0044D"/>
    <w:rsid w:val="00B004A4"/>
    <w:rsid w:val="00B008AC"/>
    <w:rsid w:val="00B00B1B"/>
    <w:rsid w:val="00B00C20"/>
    <w:rsid w:val="00B01269"/>
    <w:rsid w:val="00B0144E"/>
    <w:rsid w:val="00B01604"/>
    <w:rsid w:val="00B0189F"/>
    <w:rsid w:val="00B01D78"/>
    <w:rsid w:val="00B02395"/>
    <w:rsid w:val="00B02682"/>
    <w:rsid w:val="00B02E29"/>
    <w:rsid w:val="00B02E90"/>
    <w:rsid w:val="00B03701"/>
    <w:rsid w:val="00B03949"/>
    <w:rsid w:val="00B03953"/>
    <w:rsid w:val="00B03A62"/>
    <w:rsid w:val="00B03CB2"/>
    <w:rsid w:val="00B03F49"/>
    <w:rsid w:val="00B0408E"/>
    <w:rsid w:val="00B043B5"/>
    <w:rsid w:val="00B0441A"/>
    <w:rsid w:val="00B044C6"/>
    <w:rsid w:val="00B04652"/>
    <w:rsid w:val="00B04731"/>
    <w:rsid w:val="00B04CCD"/>
    <w:rsid w:val="00B04DFB"/>
    <w:rsid w:val="00B04F67"/>
    <w:rsid w:val="00B04FE4"/>
    <w:rsid w:val="00B0506F"/>
    <w:rsid w:val="00B05091"/>
    <w:rsid w:val="00B050A2"/>
    <w:rsid w:val="00B052EF"/>
    <w:rsid w:val="00B05476"/>
    <w:rsid w:val="00B05864"/>
    <w:rsid w:val="00B05961"/>
    <w:rsid w:val="00B05E34"/>
    <w:rsid w:val="00B06077"/>
    <w:rsid w:val="00B0632B"/>
    <w:rsid w:val="00B065AF"/>
    <w:rsid w:val="00B065F9"/>
    <w:rsid w:val="00B0680D"/>
    <w:rsid w:val="00B07049"/>
    <w:rsid w:val="00B07336"/>
    <w:rsid w:val="00B07509"/>
    <w:rsid w:val="00B10047"/>
    <w:rsid w:val="00B100CC"/>
    <w:rsid w:val="00B100F9"/>
    <w:rsid w:val="00B10716"/>
    <w:rsid w:val="00B10768"/>
    <w:rsid w:val="00B10CC4"/>
    <w:rsid w:val="00B1114C"/>
    <w:rsid w:val="00B11993"/>
    <w:rsid w:val="00B1224D"/>
    <w:rsid w:val="00B12DD1"/>
    <w:rsid w:val="00B12E28"/>
    <w:rsid w:val="00B13251"/>
    <w:rsid w:val="00B1343E"/>
    <w:rsid w:val="00B13564"/>
    <w:rsid w:val="00B13A03"/>
    <w:rsid w:val="00B141EB"/>
    <w:rsid w:val="00B1445D"/>
    <w:rsid w:val="00B145F8"/>
    <w:rsid w:val="00B149D2"/>
    <w:rsid w:val="00B14B16"/>
    <w:rsid w:val="00B14B1D"/>
    <w:rsid w:val="00B14BDD"/>
    <w:rsid w:val="00B14CF8"/>
    <w:rsid w:val="00B14D07"/>
    <w:rsid w:val="00B15097"/>
    <w:rsid w:val="00B15409"/>
    <w:rsid w:val="00B15554"/>
    <w:rsid w:val="00B157A6"/>
    <w:rsid w:val="00B15BD8"/>
    <w:rsid w:val="00B15FB4"/>
    <w:rsid w:val="00B15FC3"/>
    <w:rsid w:val="00B16121"/>
    <w:rsid w:val="00B167C3"/>
    <w:rsid w:val="00B167F2"/>
    <w:rsid w:val="00B16C3E"/>
    <w:rsid w:val="00B16D6E"/>
    <w:rsid w:val="00B16D88"/>
    <w:rsid w:val="00B16E6E"/>
    <w:rsid w:val="00B176CC"/>
    <w:rsid w:val="00B1771E"/>
    <w:rsid w:val="00B17E36"/>
    <w:rsid w:val="00B2011B"/>
    <w:rsid w:val="00B202A1"/>
    <w:rsid w:val="00B2047D"/>
    <w:rsid w:val="00B204DD"/>
    <w:rsid w:val="00B20693"/>
    <w:rsid w:val="00B20CD8"/>
    <w:rsid w:val="00B20E3B"/>
    <w:rsid w:val="00B2135B"/>
    <w:rsid w:val="00B213F2"/>
    <w:rsid w:val="00B2147E"/>
    <w:rsid w:val="00B217FB"/>
    <w:rsid w:val="00B21904"/>
    <w:rsid w:val="00B21935"/>
    <w:rsid w:val="00B21E89"/>
    <w:rsid w:val="00B2203D"/>
    <w:rsid w:val="00B22655"/>
    <w:rsid w:val="00B2280A"/>
    <w:rsid w:val="00B22962"/>
    <w:rsid w:val="00B22A8A"/>
    <w:rsid w:val="00B22D2E"/>
    <w:rsid w:val="00B23352"/>
    <w:rsid w:val="00B233F9"/>
    <w:rsid w:val="00B234B5"/>
    <w:rsid w:val="00B238F8"/>
    <w:rsid w:val="00B239B2"/>
    <w:rsid w:val="00B23C36"/>
    <w:rsid w:val="00B242E0"/>
    <w:rsid w:val="00B2444D"/>
    <w:rsid w:val="00B246C6"/>
    <w:rsid w:val="00B249F7"/>
    <w:rsid w:val="00B24E07"/>
    <w:rsid w:val="00B25839"/>
    <w:rsid w:val="00B25C01"/>
    <w:rsid w:val="00B25EEA"/>
    <w:rsid w:val="00B25EF6"/>
    <w:rsid w:val="00B26473"/>
    <w:rsid w:val="00B26540"/>
    <w:rsid w:val="00B265BE"/>
    <w:rsid w:val="00B266F1"/>
    <w:rsid w:val="00B26932"/>
    <w:rsid w:val="00B26ACB"/>
    <w:rsid w:val="00B26CED"/>
    <w:rsid w:val="00B27BC6"/>
    <w:rsid w:val="00B27CD7"/>
    <w:rsid w:val="00B27D98"/>
    <w:rsid w:val="00B303B7"/>
    <w:rsid w:val="00B30BDC"/>
    <w:rsid w:val="00B30C90"/>
    <w:rsid w:val="00B30D57"/>
    <w:rsid w:val="00B30D85"/>
    <w:rsid w:val="00B30F7C"/>
    <w:rsid w:val="00B31095"/>
    <w:rsid w:val="00B316A1"/>
    <w:rsid w:val="00B319BB"/>
    <w:rsid w:val="00B31A29"/>
    <w:rsid w:val="00B31C52"/>
    <w:rsid w:val="00B31E6F"/>
    <w:rsid w:val="00B31F25"/>
    <w:rsid w:val="00B33A39"/>
    <w:rsid w:val="00B34393"/>
    <w:rsid w:val="00B34457"/>
    <w:rsid w:val="00B34521"/>
    <w:rsid w:val="00B34A2E"/>
    <w:rsid w:val="00B34C6D"/>
    <w:rsid w:val="00B34F72"/>
    <w:rsid w:val="00B35602"/>
    <w:rsid w:val="00B35B06"/>
    <w:rsid w:val="00B35BAE"/>
    <w:rsid w:val="00B35CCF"/>
    <w:rsid w:val="00B3616B"/>
    <w:rsid w:val="00B36361"/>
    <w:rsid w:val="00B36966"/>
    <w:rsid w:val="00B37481"/>
    <w:rsid w:val="00B37639"/>
    <w:rsid w:val="00B3765A"/>
    <w:rsid w:val="00B3776C"/>
    <w:rsid w:val="00B37969"/>
    <w:rsid w:val="00B379C1"/>
    <w:rsid w:val="00B37BDC"/>
    <w:rsid w:val="00B40A48"/>
    <w:rsid w:val="00B40DE4"/>
    <w:rsid w:val="00B40EF3"/>
    <w:rsid w:val="00B40FEB"/>
    <w:rsid w:val="00B4102B"/>
    <w:rsid w:val="00B41163"/>
    <w:rsid w:val="00B4116E"/>
    <w:rsid w:val="00B41236"/>
    <w:rsid w:val="00B416F2"/>
    <w:rsid w:val="00B417C1"/>
    <w:rsid w:val="00B41B2A"/>
    <w:rsid w:val="00B41C20"/>
    <w:rsid w:val="00B41CC8"/>
    <w:rsid w:val="00B41E6F"/>
    <w:rsid w:val="00B4246A"/>
    <w:rsid w:val="00B4269D"/>
    <w:rsid w:val="00B426B7"/>
    <w:rsid w:val="00B4280D"/>
    <w:rsid w:val="00B428E9"/>
    <w:rsid w:val="00B42963"/>
    <w:rsid w:val="00B42B0A"/>
    <w:rsid w:val="00B42BD2"/>
    <w:rsid w:val="00B42C6A"/>
    <w:rsid w:val="00B42D53"/>
    <w:rsid w:val="00B43193"/>
    <w:rsid w:val="00B43225"/>
    <w:rsid w:val="00B43289"/>
    <w:rsid w:val="00B432C3"/>
    <w:rsid w:val="00B43571"/>
    <w:rsid w:val="00B43659"/>
    <w:rsid w:val="00B4398B"/>
    <w:rsid w:val="00B439BF"/>
    <w:rsid w:val="00B43D6F"/>
    <w:rsid w:val="00B43FF7"/>
    <w:rsid w:val="00B44180"/>
    <w:rsid w:val="00B444DE"/>
    <w:rsid w:val="00B448FE"/>
    <w:rsid w:val="00B451DF"/>
    <w:rsid w:val="00B45342"/>
    <w:rsid w:val="00B459F3"/>
    <w:rsid w:val="00B45CB2"/>
    <w:rsid w:val="00B4601B"/>
    <w:rsid w:val="00B46072"/>
    <w:rsid w:val="00B46281"/>
    <w:rsid w:val="00B46665"/>
    <w:rsid w:val="00B46B9B"/>
    <w:rsid w:val="00B4732B"/>
    <w:rsid w:val="00B4745A"/>
    <w:rsid w:val="00B479CE"/>
    <w:rsid w:val="00B47A33"/>
    <w:rsid w:val="00B50491"/>
    <w:rsid w:val="00B50637"/>
    <w:rsid w:val="00B508AF"/>
    <w:rsid w:val="00B50B42"/>
    <w:rsid w:val="00B50C38"/>
    <w:rsid w:val="00B50E2F"/>
    <w:rsid w:val="00B50F65"/>
    <w:rsid w:val="00B5117C"/>
    <w:rsid w:val="00B514BC"/>
    <w:rsid w:val="00B5169F"/>
    <w:rsid w:val="00B51E7B"/>
    <w:rsid w:val="00B52294"/>
    <w:rsid w:val="00B5244C"/>
    <w:rsid w:val="00B52A44"/>
    <w:rsid w:val="00B52B2C"/>
    <w:rsid w:val="00B52F3C"/>
    <w:rsid w:val="00B531EB"/>
    <w:rsid w:val="00B53F92"/>
    <w:rsid w:val="00B541DE"/>
    <w:rsid w:val="00B542E1"/>
    <w:rsid w:val="00B543C4"/>
    <w:rsid w:val="00B54798"/>
    <w:rsid w:val="00B54DEE"/>
    <w:rsid w:val="00B5558B"/>
    <w:rsid w:val="00B55633"/>
    <w:rsid w:val="00B557B7"/>
    <w:rsid w:val="00B559E0"/>
    <w:rsid w:val="00B55DF2"/>
    <w:rsid w:val="00B55E55"/>
    <w:rsid w:val="00B5626B"/>
    <w:rsid w:val="00B56291"/>
    <w:rsid w:val="00B5659E"/>
    <w:rsid w:val="00B56A13"/>
    <w:rsid w:val="00B5725A"/>
    <w:rsid w:val="00B572F3"/>
    <w:rsid w:val="00B57612"/>
    <w:rsid w:val="00B57618"/>
    <w:rsid w:val="00B5770C"/>
    <w:rsid w:val="00B57880"/>
    <w:rsid w:val="00B57931"/>
    <w:rsid w:val="00B57A09"/>
    <w:rsid w:val="00B57D09"/>
    <w:rsid w:val="00B6012B"/>
    <w:rsid w:val="00B60235"/>
    <w:rsid w:val="00B60347"/>
    <w:rsid w:val="00B60A28"/>
    <w:rsid w:val="00B60A75"/>
    <w:rsid w:val="00B60BD5"/>
    <w:rsid w:val="00B60C9E"/>
    <w:rsid w:val="00B60F8C"/>
    <w:rsid w:val="00B612D2"/>
    <w:rsid w:val="00B6136B"/>
    <w:rsid w:val="00B614F7"/>
    <w:rsid w:val="00B61639"/>
    <w:rsid w:val="00B616CC"/>
    <w:rsid w:val="00B616FD"/>
    <w:rsid w:val="00B617FF"/>
    <w:rsid w:val="00B61C7B"/>
    <w:rsid w:val="00B61D72"/>
    <w:rsid w:val="00B61DC7"/>
    <w:rsid w:val="00B61E90"/>
    <w:rsid w:val="00B620F0"/>
    <w:rsid w:val="00B62605"/>
    <w:rsid w:val="00B627EF"/>
    <w:rsid w:val="00B63238"/>
    <w:rsid w:val="00B6390F"/>
    <w:rsid w:val="00B6395F"/>
    <w:rsid w:val="00B63E74"/>
    <w:rsid w:val="00B63EF2"/>
    <w:rsid w:val="00B64019"/>
    <w:rsid w:val="00B64186"/>
    <w:rsid w:val="00B64328"/>
    <w:rsid w:val="00B6459C"/>
    <w:rsid w:val="00B647D9"/>
    <w:rsid w:val="00B64AB8"/>
    <w:rsid w:val="00B64DB6"/>
    <w:rsid w:val="00B64F42"/>
    <w:rsid w:val="00B650CF"/>
    <w:rsid w:val="00B65425"/>
    <w:rsid w:val="00B65465"/>
    <w:rsid w:val="00B65633"/>
    <w:rsid w:val="00B656DE"/>
    <w:rsid w:val="00B65924"/>
    <w:rsid w:val="00B65A76"/>
    <w:rsid w:val="00B65B1D"/>
    <w:rsid w:val="00B65B86"/>
    <w:rsid w:val="00B65D5A"/>
    <w:rsid w:val="00B662CB"/>
    <w:rsid w:val="00B666E9"/>
    <w:rsid w:val="00B6691F"/>
    <w:rsid w:val="00B66ABA"/>
    <w:rsid w:val="00B66B79"/>
    <w:rsid w:val="00B66C37"/>
    <w:rsid w:val="00B66E42"/>
    <w:rsid w:val="00B66FDA"/>
    <w:rsid w:val="00B673B3"/>
    <w:rsid w:val="00B67462"/>
    <w:rsid w:val="00B67480"/>
    <w:rsid w:val="00B6778A"/>
    <w:rsid w:val="00B677DC"/>
    <w:rsid w:val="00B678AA"/>
    <w:rsid w:val="00B679B9"/>
    <w:rsid w:val="00B67CF1"/>
    <w:rsid w:val="00B70324"/>
    <w:rsid w:val="00B709BA"/>
    <w:rsid w:val="00B70B15"/>
    <w:rsid w:val="00B70BDA"/>
    <w:rsid w:val="00B70C5A"/>
    <w:rsid w:val="00B70D22"/>
    <w:rsid w:val="00B71258"/>
    <w:rsid w:val="00B713CB"/>
    <w:rsid w:val="00B7141B"/>
    <w:rsid w:val="00B717FF"/>
    <w:rsid w:val="00B7189C"/>
    <w:rsid w:val="00B718DC"/>
    <w:rsid w:val="00B71926"/>
    <w:rsid w:val="00B71976"/>
    <w:rsid w:val="00B71ACD"/>
    <w:rsid w:val="00B71D69"/>
    <w:rsid w:val="00B71E42"/>
    <w:rsid w:val="00B71E54"/>
    <w:rsid w:val="00B7215D"/>
    <w:rsid w:val="00B7220F"/>
    <w:rsid w:val="00B727CB"/>
    <w:rsid w:val="00B73815"/>
    <w:rsid w:val="00B73D74"/>
    <w:rsid w:val="00B73ED4"/>
    <w:rsid w:val="00B7431D"/>
    <w:rsid w:val="00B745E4"/>
    <w:rsid w:val="00B747CF"/>
    <w:rsid w:val="00B74802"/>
    <w:rsid w:val="00B7486D"/>
    <w:rsid w:val="00B74ADE"/>
    <w:rsid w:val="00B74B16"/>
    <w:rsid w:val="00B74C78"/>
    <w:rsid w:val="00B74DBA"/>
    <w:rsid w:val="00B75205"/>
    <w:rsid w:val="00B7527B"/>
    <w:rsid w:val="00B75709"/>
    <w:rsid w:val="00B75970"/>
    <w:rsid w:val="00B75B70"/>
    <w:rsid w:val="00B75F37"/>
    <w:rsid w:val="00B760DA"/>
    <w:rsid w:val="00B7621A"/>
    <w:rsid w:val="00B76386"/>
    <w:rsid w:val="00B7653D"/>
    <w:rsid w:val="00B76A20"/>
    <w:rsid w:val="00B76C27"/>
    <w:rsid w:val="00B77029"/>
    <w:rsid w:val="00B7702C"/>
    <w:rsid w:val="00B7714D"/>
    <w:rsid w:val="00B77292"/>
    <w:rsid w:val="00B77838"/>
    <w:rsid w:val="00B778E8"/>
    <w:rsid w:val="00B778F6"/>
    <w:rsid w:val="00B77AF3"/>
    <w:rsid w:val="00B803CA"/>
    <w:rsid w:val="00B805FA"/>
    <w:rsid w:val="00B80910"/>
    <w:rsid w:val="00B80A33"/>
    <w:rsid w:val="00B80DEC"/>
    <w:rsid w:val="00B8107F"/>
    <w:rsid w:val="00B817C8"/>
    <w:rsid w:val="00B819BD"/>
    <w:rsid w:val="00B81AB0"/>
    <w:rsid w:val="00B81BBE"/>
    <w:rsid w:val="00B81E79"/>
    <w:rsid w:val="00B81E9E"/>
    <w:rsid w:val="00B82065"/>
    <w:rsid w:val="00B82DAF"/>
    <w:rsid w:val="00B82F2E"/>
    <w:rsid w:val="00B83238"/>
    <w:rsid w:val="00B8330E"/>
    <w:rsid w:val="00B8373D"/>
    <w:rsid w:val="00B837C8"/>
    <w:rsid w:val="00B83CF4"/>
    <w:rsid w:val="00B83F4D"/>
    <w:rsid w:val="00B846AB"/>
    <w:rsid w:val="00B8483F"/>
    <w:rsid w:val="00B84C25"/>
    <w:rsid w:val="00B84D6E"/>
    <w:rsid w:val="00B84DE4"/>
    <w:rsid w:val="00B84FDB"/>
    <w:rsid w:val="00B85199"/>
    <w:rsid w:val="00B85212"/>
    <w:rsid w:val="00B85CDB"/>
    <w:rsid w:val="00B85D6C"/>
    <w:rsid w:val="00B86160"/>
    <w:rsid w:val="00B8677C"/>
    <w:rsid w:val="00B869D9"/>
    <w:rsid w:val="00B86BD6"/>
    <w:rsid w:val="00B876E2"/>
    <w:rsid w:val="00B87B57"/>
    <w:rsid w:val="00B87B87"/>
    <w:rsid w:val="00B87E4F"/>
    <w:rsid w:val="00B9059B"/>
    <w:rsid w:val="00B90A8C"/>
    <w:rsid w:val="00B90F66"/>
    <w:rsid w:val="00B91320"/>
    <w:rsid w:val="00B91935"/>
    <w:rsid w:val="00B919A1"/>
    <w:rsid w:val="00B919D2"/>
    <w:rsid w:val="00B91F03"/>
    <w:rsid w:val="00B92193"/>
    <w:rsid w:val="00B92352"/>
    <w:rsid w:val="00B9256A"/>
    <w:rsid w:val="00B925F4"/>
    <w:rsid w:val="00B92C74"/>
    <w:rsid w:val="00B92CFF"/>
    <w:rsid w:val="00B9341E"/>
    <w:rsid w:val="00B935BB"/>
    <w:rsid w:val="00B9384D"/>
    <w:rsid w:val="00B938CA"/>
    <w:rsid w:val="00B93B38"/>
    <w:rsid w:val="00B93B66"/>
    <w:rsid w:val="00B93D27"/>
    <w:rsid w:val="00B93DAB"/>
    <w:rsid w:val="00B93EE6"/>
    <w:rsid w:val="00B93F9A"/>
    <w:rsid w:val="00B94014"/>
    <w:rsid w:val="00B9428F"/>
    <w:rsid w:val="00B943E8"/>
    <w:rsid w:val="00B949B6"/>
    <w:rsid w:val="00B949C5"/>
    <w:rsid w:val="00B94C44"/>
    <w:rsid w:val="00B94DCE"/>
    <w:rsid w:val="00B94EED"/>
    <w:rsid w:val="00B94F74"/>
    <w:rsid w:val="00B956E1"/>
    <w:rsid w:val="00B9683E"/>
    <w:rsid w:val="00B96973"/>
    <w:rsid w:val="00B97088"/>
    <w:rsid w:val="00B9732A"/>
    <w:rsid w:val="00B974D4"/>
    <w:rsid w:val="00B97A00"/>
    <w:rsid w:val="00B97D7F"/>
    <w:rsid w:val="00BA020D"/>
    <w:rsid w:val="00BA0227"/>
    <w:rsid w:val="00BA0443"/>
    <w:rsid w:val="00BA0796"/>
    <w:rsid w:val="00BA07FA"/>
    <w:rsid w:val="00BA0A44"/>
    <w:rsid w:val="00BA0BEC"/>
    <w:rsid w:val="00BA0D5F"/>
    <w:rsid w:val="00BA0DAA"/>
    <w:rsid w:val="00BA0DB2"/>
    <w:rsid w:val="00BA0DFD"/>
    <w:rsid w:val="00BA0F62"/>
    <w:rsid w:val="00BA1296"/>
    <w:rsid w:val="00BA1355"/>
    <w:rsid w:val="00BA13B2"/>
    <w:rsid w:val="00BA150E"/>
    <w:rsid w:val="00BA1523"/>
    <w:rsid w:val="00BA161E"/>
    <w:rsid w:val="00BA17D0"/>
    <w:rsid w:val="00BA1B47"/>
    <w:rsid w:val="00BA1B6A"/>
    <w:rsid w:val="00BA2006"/>
    <w:rsid w:val="00BA21C6"/>
    <w:rsid w:val="00BA2305"/>
    <w:rsid w:val="00BA2314"/>
    <w:rsid w:val="00BA235C"/>
    <w:rsid w:val="00BA2645"/>
    <w:rsid w:val="00BA35BC"/>
    <w:rsid w:val="00BA3AF5"/>
    <w:rsid w:val="00BA3B9B"/>
    <w:rsid w:val="00BA3D7D"/>
    <w:rsid w:val="00BA3F8B"/>
    <w:rsid w:val="00BA4B0B"/>
    <w:rsid w:val="00BA4EAE"/>
    <w:rsid w:val="00BA4ED5"/>
    <w:rsid w:val="00BA5121"/>
    <w:rsid w:val="00BA5AFE"/>
    <w:rsid w:val="00BA5CD3"/>
    <w:rsid w:val="00BA5F4A"/>
    <w:rsid w:val="00BA64BE"/>
    <w:rsid w:val="00BA6D97"/>
    <w:rsid w:val="00BA6FEC"/>
    <w:rsid w:val="00BA7064"/>
    <w:rsid w:val="00BA7403"/>
    <w:rsid w:val="00BA77B4"/>
    <w:rsid w:val="00BA77C3"/>
    <w:rsid w:val="00BB0093"/>
    <w:rsid w:val="00BB0164"/>
    <w:rsid w:val="00BB0202"/>
    <w:rsid w:val="00BB034B"/>
    <w:rsid w:val="00BB06F9"/>
    <w:rsid w:val="00BB08F8"/>
    <w:rsid w:val="00BB11C0"/>
    <w:rsid w:val="00BB1555"/>
    <w:rsid w:val="00BB178B"/>
    <w:rsid w:val="00BB1B2A"/>
    <w:rsid w:val="00BB1B2F"/>
    <w:rsid w:val="00BB2001"/>
    <w:rsid w:val="00BB2045"/>
    <w:rsid w:val="00BB2B9B"/>
    <w:rsid w:val="00BB2CDC"/>
    <w:rsid w:val="00BB2D50"/>
    <w:rsid w:val="00BB3209"/>
    <w:rsid w:val="00BB3263"/>
    <w:rsid w:val="00BB3432"/>
    <w:rsid w:val="00BB35CB"/>
    <w:rsid w:val="00BB37F2"/>
    <w:rsid w:val="00BB3A2F"/>
    <w:rsid w:val="00BB3B13"/>
    <w:rsid w:val="00BB3ECA"/>
    <w:rsid w:val="00BB42BD"/>
    <w:rsid w:val="00BB45D2"/>
    <w:rsid w:val="00BB4BBB"/>
    <w:rsid w:val="00BB4BFF"/>
    <w:rsid w:val="00BB4CB1"/>
    <w:rsid w:val="00BB4DA7"/>
    <w:rsid w:val="00BB4ED3"/>
    <w:rsid w:val="00BB52BD"/>
    <w:rsid w:val="00BB5396"/>
    <w:rsid w:val="00BB54AD"/>
    <w:rsid w:val="00BB5629"/>
    <w:rsid w:val="00BB57EA"/>
    <w:rsid w:val="00BB5935"/>
    <w:rsid w:val="00BB5B6E"/>
    <w:rsid w:val="00BB5D4C"/>
    <w:rsid w:val="00BB604B"/>
    <w:rsid w:val="00BB6056"/>
    <w:rsid w:val="00BB635C"/>
    <w:rsid w:val="00BB68AF"/>
    <w:rsid w:val="00BB6A80"/>
    <w:rsid w:val="00BB74E8"/>
    <w:rsid w:val="00BB753B"/>
    <w:rsid w:val="00BB75D1"/>
    <w:rsid w:val="00BB7854"/>
    <w:rsid w:val="00BB78B1"/>
    <w:rsid w:val="00BB7B21"/>
    <w:rsid w:val="00BB7D86"/>
    <w:rsid w:val="00BB7E78"/>
    <w:rsid w:val="00BC0166"/>
    <w:rsid w:val="00BC02C7"/>
    <w:rsid w:val="00BC035D"/>
    <w:rsid w:val="00BC038D"/>
    <w:rsid w:val="00BC0BC6"/>
    <w:rsid w:val="00BC1890"/>
    <w:rsid w:val="00BC1B43"/>
    <w:rsid w:val="00BC1EC5"/>
    <w:rsid w:val="00BC2021"/>
    <w:rsid w:val="00BC3070"/>
    <w:rsid w:val="00BC3412"/>
    <w:rsid w:val="00BC34BB"/>
    <w:rsid w:val="00BC35E7"/>
    <w:rsid w:val="00BC3652"/>
    <w:rsid w:val="00BC3681"/>
    <w:rsid w:val="00BC3A68"/>
    <w:rsid w:val="00BC3FD2"/>
    <w:rsid w:val="00BC41A0"/>
    <w:rsid w:val="00BC4D81"/>
    <w:rsid w:val="00BC4F2E"/>
    <w:rsid w:val="00BC5397"/>
    <w:rsid w:val="00BC53DE"/>
    <w:rsid w:val="00BC59A8"/>
    <w:rsid w:val="00BC6168"/>
    <w:rsid w:val="00BC63F0"/>
    <w:rsid w:val="00BC640E"/>
    <w:rsid w:val="00BC6486"/>
    <w:rsid w:val="00BC674F"/>
    <w:rsid w:val="00BC69DB"/>
    <w:rsid w:val="00BC69FC"/>
    <w:rsid w:val="00BC6D91"/>
    <w:rsid w:val="00BC705B"/>
    <w:rsid w:val="00BC71C2"/>
    <w:rsid w:val="00BC725D"/>
    <w:rsid w:val="00BC75C9"/>
    <w:rsid w:val="00BC7778"/>
    <w:rsid w:val="00BC79F3"/>
    <w:rsid w:val="00BC7CAB"/>
    <w:rsid w:val="00BD001B"/>
    <w:rsid w:val="00BD0539"/>
    <w:rsid w:val="00BD05BA"/>
    <w:rsid w:val="00BD068A"/>
    <w:rsid w:val="00BD095D"/>
    <w:rsid w:val="00BD1268"/>
    <w:rsid w:val="00BD1320"/>
    <w:rsid w:val="00BD1467"/>
    <w:rsid w:val="00BD165F"/>
    <w:rsid w:val="00BD17E8"/>
    <w:rsid w:val="00BD184F"/>
    <w:rsid w:val="00BD1E9F"/>
    <w:rsid w:val="00BD2064"/>
    <w:rsid w:val="00BD221F"/>
    <w:rsid w:val="00BD22E4"/>
    <w:rsid w:val="00BD2768"/>
    <w:rsid w:val="00BD29F9"/>
    <w:rsid w:val="00BD2C4F"/>
    <w:rsid w:val="00BD2C84"/>
    <w:rsid w:val="00BD314E"/>
    <w:rsid w:val="00BD3600"/>
    <w:rsid w:val="00BD4CCE"/>
    <w:rsid w:val="00BD4E42"/>
    <w:rsid w:val="00BD549A"/>
    <w:rsid w:val="00BD5588"/>
    <w:rsid w:val="00BD55A7"/>
    <w:rsid w:val="00BD58AD"/>
    <w:rsid w:val="00BD5AF8"/>
    <w:rsid w:val="00BD60DA"/>
    <w:rsid w:val="00BD623F"/>
    <w:rsid w:val="00BD647A"/>
    <w:rsid w:val="00BD685C"/>
    <w:rsid w:val="00BD6C02"/>
    <w:rsid w:val="00BD6FD6"/>
    <w:rsid w:val="00BD712E"/>
    <w:rsid w:val="00BD73CF"/>
    <w:rsid w:val="00BD73FF"/>
    <w:rsid w:val="00BD7405"/>
    <w:rsid w:val="00BD7462"/>
    <w:rsid w:val="00BD76B3"/>
    <w:rsid w:val="00BD76DA"/>
    <w:rsid w:val="00BD7D2E"/>
    <w:rsid w:val="00BD7EE7"/>
    <w:rsid w:val="00BD7F66"/>
    <w:rsid w:val="00BE02C9"/>
    <w:rsid w:val="00BE0310"/>
    <w:rsid w:val="00BE032F"/>
    <w:rsid w:val="00BE06FB"/>
    <w:rsid w:val="00BE0D63"/>
    <w:rsid w:val="00BE0D93"/>
    <w:rsid w:val="00BE0F84"/>
    <w:rsid w:val="00BE1067"/>
    <w:rsid w:val="00BE13EC"/>
    <w:rsid w:val="00BE1563"/>
    <w:rsid w:val="00BE15F7"/>
    <w:rsid w:val="00BE174A"/>
    <w:rsid w:val="00BE1A04"/>
    <w:rsid w:val="00BE20F7"/>
    <w:rsid w:val="00BE2157"/>
    <w:rsid w:val="00BE2229"/>
    <w:rsid w:val="00BE2975"/>
    <w:rsid w:val="00BE2991"/>
    <w:rsid w:val="00BE2D43"/>
    <w:rsid w:val="00BE3035"/>
    <w:rsid w:val="00BE3157"/>
    <w:rsid w:val="00BE38A1"/>
    <w:rsid w:val="00BE3B76"/>
    <w:rsid w:val="00BE4371"/>
    <w:rsid w:val="00BE489A"/>
    <w:rsid w:val="00BE4A59"/>
    <w:rsid w:val="00BE4ECB"/>
    <w:rsid w:val="00BE4EF7"/>
    <w:rsid w:val="00BE5116"/>
    <w:rsid w:val="00BE51D3"/>
    <w:rsid w:val="00BE5638"/>
    <w:rsid w:val="00BE56F1"/>
    <w:rsid w:val="00BE584B"/>
    <w:rsid w:val="00BE5933"/>
    <w:rsid w:val="00BE5A0C"/>
    <w:rsid w:val="00BE5B00"/>
    <w:rsid w:val="00BE5D7E"/>
    <w:rsid w:val="00BE5E33"/>
    <w:rsid w:val="00BE5F36"/>
    <w:rsid w:val="00BE68A7"/>
    <w:rsid w:val="00BE6F68"/>
    <w:rsid w:val="00BE6FD3"/>
    <w:rsid w:val="00BE70D8"/>
    <w:rsid w:val="00BE7CF3"/>
    <w:rsid w:val="00BF01BD"/>
    <w:rsid w:val="00BF0272"/>
    <w:rsid w:val="00BF05E6"/>
    <w:rsid w:val="00BF074A"/>
    <w:rsid w:val="00BF08B1"/>
    <w:rsid w:val="00BF0BFA"/>
    <w:rsid w:val="00BF0FAF"/>
    <w:rsid w:val="00BF1267"/>
    <w:rsid w:val="00BF1557"/>
    <w:rsid w:val="00BF167D"/>
    <w:rsid w:val="00BF200D"/>
    <w:rsid w:val="00BF200E"/>
    <w:rsid w:val="00BF229F"/>
    <w:rsid w:val="00BF23FB"/>
    <w:rsid w:val="00BF2B2A"/>
    <w:rsid w:val="00BF3D54"/>
    <w:rsid w:val="00BF3F24"/>
    <w:rsid w:val="00BF420A"/>
    <w:rsid w:val="00BF42A6"/>
    <w:rsid w:val="00BF45D9"/>
    <w:rsid w:val="00BF4695"/>
    <w:rsid w:val="00BF48B0"/>
    <w:rsid w:val="00BF4A46"/>
    <w:rsid w:val="00BF4B23"/>
    <w:rsid w:val="00BF56F0"/>
    <w:rsid w:val="00BF576C"/>
    <w:rsid w:val="00BF5B91"/>
    <w:rsid w:val="00BF5FC7"/>
    <w:rsid w:val="00BF6164"/>
    <w:rsid w:val="00BF63B2"/>
    <w:rsid w:val="00BF63E2"/>
    <w:rsid w:val="00BF6475"/>
    <w:rsid w:val="00BF69C7"/>
    <w:rsid w:val="00BF6B7F"/>
    <w:rsid w:val="00BF6D0E"/>
    <w:rsid w:val="00BF6D3A"/>
    <w:rsid w:val="00BF6F52"/>
    <w:rsid w:val="00BF6FE2"/>
    <w:rsid w:val="00BF7304"/>
    <w:rsid w:val="00BF74FE"/>
    <w:rsid w:val="00BF7752"/>
    <w:rsid w:val="00BF78C5"/>
    <w:rsid w:val="00BF7B22"/>
    <w:rsid w:val="00BF7E14"/>
    <w:rsid w:val="00C00005"/>
    <w:rsid w:val="00C006F2"/>
    <w:rsid w:val="00C008AA"/>
    <w:rsid w:val="00C008CD"/>
    <w:rsid w:val="00C008F0"/>
    <w:rsid w:val="00C013E9"/>
    <w:rsid w:val="00C01BCA"/>
    <w:rsid w:val="00C01E75"/>
    <w:rsid w:val="00C02549"/>
    <w:rsid w:val="00C02987"/>
    <w:rsid w:val="00C02AB2"/>
    <w:rsid w:val="00C02E60"/>
    <w:rsid w:val="00C02E84"/>
    <w:rsid w:val="00C02F28"/>
    <w:rsid w:val="00C03018"/>
    <w:rsid w:val="00C03102"/>
    <w:rsid w:val="00C036CB"/>
    <w:rsid w:val="00C03B47"/>
    <w:rsid w:val="00C0431E"/>
    <w:rsid w:val="00C049F1"/>
    <w:rsid w:val="00C04A54"/>
    <w:rsid w:val="00C04E01"/>
    <w:rsid w:val="00C05223"/>
    <w:rsid w:val="00C056B7"/>
    <w:rsid w:val="00C05813"/>
    <w:rsid w:val="00C059BD"/>
    <w:rsid w:val="00C05C9F"/>
    <w:rsid w:val="00C05FD8"/>
    <w:rsid w:val="00C06084"/>
    <w:rsid w:val="00C06152"/>
    <w:rsid w:val="00C0641A"/>
    <w:rsid w:val="00C06464"/>
    <w:rsid w:val="00C069D6"/>
    <w:rsid w:val="00C0717F"/>
    <w:rsid w:val="00C076FA"/>
    <w:rsid w:val="00C078CC"/>
    <w:rsid w:val="00C07906"/>
    <w:rsid w:val="00C079F0"/>
    <w:rsid w:val="00C07AD8"/>
    <w:rsid w:val="00C07E8D"/>
    <w:rsid w:val="00C10620"/>
    <w:rsid w:val="00C108D2"/>
    <w:rsid w:val="00C10E4F"/>
    <w:rsid w:val="00C11391"/>
    <w:rsid w:val="00C11852"/>
    <w:rsid w:val="00C11D7A"/>
    <w:rsid w:val="00C11E5E"/>
    <w:rsid w:val="00C123E5"/>
    <w:rsid w:val="00C1284B"/>
    <w:rsid w:val="00C129FF"/>
    <w:rsid w:val="00C12CD1"/>
    <w:rsid w:val="00C12E0E"/>
    <w:rsid w:val="00C12E2E"/>
    <w:rsid w:val="00C13162"/>
    <w:rsid w:val="00C133AF"/>
    <w:rsid w:val="00C134A4"/>
    <w:rsid w:val="00C13753"/>
    <w:rsid w:val="00C13C6E"/>
    <w:rsid w:val="00C141D7"/>
    <w:rsid w:val="00C14D61"/>
    <w:rsid w:val="00C15BFC"/>
    <w:rsid w:val="00C15C6A"/>
    <w:rsid w:val="00C15C80"/>
    <w:rsid w:val="00C15CCF"/>
    <w:rsid w:val="00C15ECF"/>
    <w:rsid w:val="00C162DB"/>
    <w:rsid w:val="00C164AD"/>
    <w:rsid w:val="00C164C5"/>
    <w:rsid w:val="00C16858"/>
    <w:rsid w:val="00C169B4"/>
    <w:rsid w:val="00C16B91"/>
    <w:rsid w:val="00C17670"/>
    <w:rsid w:val="00C17B73"/>
    <w:rsid w:val="00C17DE6"/>
    <w:rsid w:val="00C20786"/>
    <w:rsid w:val="00C20D73"/>
    <w:rsid w:val="00C20DFF"/>
    <w:rsid w:val="00C21133"/>
    <w:rsid w:val="00C21230"/>
    <w:rsid w:val="00C213EE"/>
    <w:rsid w:val="00C214C0"/>
    <w:rsid w:val="00C21B11"/>
    <w:rsid w:val="00C220F0"/>
    <w:rsid w:val="00C22564"/>
    <w:rsid w:val="00C226B0"/>
    <w:rsid w:val="00C22D20"/>
    <w:rsid w:val="00C22EA1"/>
    <w:rsid w:val="00C22F10"/>
    <w:rsid w:val="00C23523"/>
    <w:rsid w:val="00C2398B"/>
    <w:rsid w:val="00C239AC"/>
    <w:rsid w:val="00C23B10"/>
    <w:rsid w:val="00C23DF6"/>
    <w:rsid w:val="00C23E0F"/>
    <w:rsid w:val="00C23E1C"/>
    <w:rsid w:val="00C24022"/>
    <w:rsid w:val="00C244AD"/>
    <w:rsid w:val="00C248A6"/>
    <w:rsid w:val="00C24C08"/>
    <w:rsid w:val="00C24FDD"/>
    <w:rsid w:val="00C24FE0"/>
    <w:rsid w:val="00C25212"/>
    <w:rsid w:val="00C25ADC"/>
    <w:rsid w:val="00C25EC4"/>
    <w:rsid w:val="00C263F1"/>
    <w:rsid w:val="00C268C0"/>
    <w:rsid w:val="00C26A79"/>
    <w:rsid w:val="00C26AAE"/>
    <w:rsid w:val="00C26F48"/>
    <w:rsid w:val="00C2716E"/>
    <w:rsid w:val="00C27679"/>
    <w:rsid w:val="00C27E5E"/>
    <w:rsid w:val="00C27E92"/>
    <w:rsid w:val="00C301C2"/>
    <w:rsid w:val="00C30603"/>
    <w:rsid w:val="00C30A97"/>
    <w:rsid w:val="00C30BE9"/>
    <w:rsid w:val="00C30D0A"/>
    <w:rsid w:val="00C312C1"/>
    <w:rsid w:val="00C31760"/>
    <w:rsid w:val="00C317ED"/>
    <w:rsid w:val="00C319F5"/>
    <w:rsid w:val="00C31EF2"/>
    <w:rsid w:val="00C322C5"/>
    <w:rsid w:val="00C32544"/>
    <w:rsid w:val="00C32994"/>
    <w:rsid w:val="00C32CE8"/>
    <w:rsid w:val="00C32D2F"/>
    <w:rsid w:val="00C332E1"/>
    <w:rsid w:val="00C339C7"/>
    <w:rsid w:val="00C33B1B"/>
    <w:rsid w:val="00C33F24"/>
    <w:rsid w:val="00C3416E"/>
    <w:rsid w:val="00C34202"/>
    <w:rsid w:val="00C345B9"/>
    <w:rsid w:val="00C34819"/>
    <w:rsid w:val="00C34A2B"/>
    <w:rsid w:val="00C34D8F"/>
    <w:rsid w:val="00C35157"/>
    <w:rsid w:val="00C35875"/>
    <w:rsid w:val="00C35A78"/>
    <w:rsid w:val="00C35AF1"/>
    <w:rsid w:val="00C362D8"/>
    <w:rsid w:val="00C3785B"/>
    <w:rsid w:val="00C37DCF"/>
    <w:rsid w:val="00C400F1"/>
    <w:rsid w:val="00C402FD"/>
    <w:rsid w:val="00C404CF"/>
    <w:rsid w:val="00C4061E"/>
    <w:rsid w:val="00C40B1A"/>
    <w:rsid w:val="00C40CB8"/>
    <w:rsid w:val="00C41448"/>
    <w:rsid w:val="00C41E93"/>
    <w:rsid w:val="00C42162"/>
    <w:rsid w:val="00C42A19"/>
    <w:rsid w:val="00C42CC9"/>
    <w:rsid w:val="00C4332B"/>
    <w:rsid w:val="00C43604"/>
    <w:rsid w:val="00C43613"/>
    <w:rsid w:val="00C43B33"/>
    <w:rsid w:val="00C44051"/>
    <w:rsid w:val="00C4440E"/>
    <w:rsid w:val="00C444DC"/>
    <w:rsid w:val="00C445BD"/>
    <w:rsid w:val="00C44908"/>
    <w:rsid w:val="00C44AFC"/>
    <w:rsid w:val="00C44B2C"/>
    <w:rsid w:val="00C44C73"/>
    <w:rsid w:val="00C450B6"/>
    <w:rsid w:val="00C453D7"/>
    <w:rsid w:val="00C45552"/>
    <w:rsid w:val="00C45698"/>
    <w:rsid w:val="00C45C97"/>
    <w:rsid w:val="00C45D20"/>
    <w:rsid w:val="00C469CF"/>
    <w:rsid w:val="00C46D78"/>
    <w:rsid w:val="00C4752A"/>
    <w:rsid w:val="00C47832"/>
    <w:rsid w:val="00C47D7A"/>
    <w:rsid w:val="00C47E51"/>
    <w:rsid w:val="00C505AA"/>
    <w:rsid w:val="00C50699"/>
    <w:rsid w:val="00C50C02"/>
    <w:rsid w:val="00C5104A"/>
    <w:rsid w:val="00C512CB"/>
    <w:rsid w:val="00C513CE"/>
    <w:rsid w:val="00C51448"/>
    <w:rsid w:val="00C51B9A"/>
    <w:rsid w:val="00C51D2B"/>
    <w:rsid w:val="00C524BA"/>
    <w:rsid w:val="00C529A2"/>
    <w:rsid w:val="00C529B3"/>
    <w:rsid w:val="00C52B3B"/>
    <w:rsid w:val="00C52BC4"/>
    <w:rsid w:val="00C52DC9"/>
    <w:rsid w:val="00C52DF4"/>
    <w:rsid w:val="00C532E8"/>
    <w:rsid w:val="00C53734"/>
    <w:rsid w:val="00C53E10"/>
    <w:rsid w:val="00C53FDD"/>
    <w:rsid w:val="00C54160"/>
    <w:rsid w:val="00C542A2"/>
    <w:rsid w:val="00C547B6"/>
    <w:rsid w:val="00C5482D"/>
    <w:rsid w:val="00C549F8"/>
    <w:rsid w:val="00C54ADE"/>
    <w:rsid w:val="00C54AF2"/>
    <w:rsid w:val="00C54E06"/>
    <w:rsid w:val="00C54F91"/>
    <w:rsid w:val="00C55166"/>
    <w:rsid w:val="00C551E9"/>
    <w:rsid w:val="00C551F8"/>
    <w:rsid w:val="00C55251"/>
    <w:rsid w:val="00C554B5"/>
    <w:rsid w:val="00C555C0"/>
    <w:rsid w:val="00C5572F"/>
    <w:rsid w:val="00C55812"/>
    <w:rsid w:val="00C55C65"/>
    <w:rsid w:val="00C55D3C"/>
    <w:rsid w:val="00C55D4E"/>
    <w:rsid w:val="00C56004"/>
    <w:rsid w:val="00C56143"/>
    <w:rsid w:val="00C56162"/>
    <w:rsid w:val="00C56173"/>
    <w:rsid w:val="00C56352"/>
    <w:rsid w:val="00C56A00"/>
    <w:rsid w:val="00C56C4F"/>
    <w:rsid w:val="00C56C60"/>
    <w:rsid w:val="00C56F95"/>
    <w:rsid w:val="00C57329"/>
    <w:rsid w:val="00C5777A"/>
    <w:rsid w:val="00C57817"/>
    <w:rsid w:val="00C57A3E"/>
    <w:rsid w:val="00C57A78"/>
    <w:rsid w:val="00C57BD4"/>
    <w:rsid w:val="00C600D2"/>
    <w:rsid w:val="00C6048C"/>
    <w:rsid w:val="00C60827"/>
    <w:rsid w:val="00C6084A"/>
    <w:rsid w:val="00C60B34"/>
    <w:rsid w:val="00C6133F"/>
    <w:rsid w:val="00C6138D"/>
    <w:rsid w:val="00C61582"/>
    <w:rsid w:val="00C6185B"/>
    <w:rsid w:val="00C61EC1"/>
    <w:rsid w:val="00C62061"/>
    <w:rsid w:val="00C62076"/>
    <w:rsid w:val="00C620FC"/>
    <w:rsid w:val="00C6222D"/>
    <w:rsid w:val="00C623F0"/>
    <w:rsid w:val="00C624EE"/>
    <w:rsid w:val="00C62915"/>
    <w:rsid w:val="00C62BDF"/>
    <w:rsid w:val="00C62BE9"/>
    <w:rsid w:val="00C62C3A"/>
    <w:rsid w:val="00C62E7A"/>
    <w:rsid w:val="00C6304A"/>
    <w:rsid w:val="00C631B2"/>
    <w:rsid w:val="00C63950"/>
    <w:rsid w:val="00C63A75"/>
    <w:rsid w:val="00C63B6D"/>
    <w:rsid w:val="00C6459D"/>
    <w:rsid w:val="00C64A4E"/>
    <w:rsid w:val="00C64CC6"/>
    <w:rsid w:val="00C6515E"/>
    <w:rsid w:val="00C651FC"/>
    <w:rsid w:val="00C65734"/>
    <w:rsid w:val="00C6591F"/>
    <w:rsid w:val="00C659D7"/>
    <w:rsid w:val="00C65F8D"/>
    <w:rsid w:val="00C664F0"/>
    <w:rsid w:val="00C66CB3"/>
    <w:rsid w:val="00C66CE4"/>
    <w:rsid w:val="00C66D43"/>
    <w:rsid w:val="00C67061"/>
    <w:rsid w:val="00C670F8"/>
    <w:rsid w:val="00C67518"/>
    <w:rsid w:val="00C67679"/>
    <w:rsid w:val="00C67854"/>
    <w:rsid w:val="00C67C64"/>
    <w:rsid w:val="00C67DB9"/>
    <w:rsid w:val="00C67E82"/>
    <w:rsid w:val="00C70097"/>
    <w:rsid w:val="00C701CA"/>
    <w:rsid w:val="00C702E9"/>
    <w:rsid w:val="00C708D5"/>
    <w:rsid w:val="00C70A6F"/>
    <w:rsid w:val="00C70C7F"/>
    <w:rsid w:val="00C70F70"/>
    <w:rsid w:val="00C70F76"/>
    <w:rsid w:val="00C71084"/>
    <w:rsid w:val="00C71093"/>
    <w:rsid w:val="00C71418"/>
    <w:rsid w:val="00C71541"/>
    <w:rsid w:val="00C716EB"/>
    <w:rsid w:val="00C717CE"/>
    <w:rsid w:val="00C71ADB"/>
    <w:rsid w:val="00C71B22"/>
    <w:rsid w:val="00C725CF"/>
    <w:rsid w:val="00C7267F"/>
    <w:rsid w:val="00C727C4"/>
    <w:rsid w:val="00C72ADD"/>
    <w:rsid w:val="00C72CDA"/>
    <w:rsid w:val="00C735F3"/>
    <w:rsid w:val="00C737B8"/>
    <w:rsid w:val="00C73BB7"/>
    <w:rsid w:val="00C74005"/>
    <w:rsid w:val="00C7415E"/>
    <w:rsid w:val="00C74225"/>
    <w:rsid w:val="00C743EE"/>
    <w:rsid w:val="00C7446C"/>
    <w:rsid w:val="00C7460B"/>
    <w:rsid w:val="00C74654"/>
    <w:rsid w:val="00C74687"/>
    <w:rsid w:val="00C74895"/>
    <w:rsid w:val="00C74A06"/>
    <w:rsid w:val="00C74AD2"/>
    <w:rsid w:val="00C74D48"/>
    <w:rsid w:val="00C756AD"/>
    <w:rsid w:val="00C75702"/>
    <w:rsid w:val="00C75A31"/>
    <w:rsid w:val="00C75B77"/>
    <w:rsid w:val="00C75BBB"/>
    <w:rsid w:val="00C75D72"/>
    <w:rsid w:val="00C76298"/>
    <w:rsid w:val="00C773BF"/>
    <w:rsid w:val="00C7756A"/>
    <w:rsid w:val="00C77C05"/>
    <w:rsid w:val="00C77CA8"/>
    <w:rsid w:val="00C77DA7"/>
    <w:rsid w:val="00C80093"/>
    <w:rsid w:val="00C8043D"/>
    <w:rsid w:val="00C8067A"/>
    <w:rsid w:val="00C808F4"/>
    <w:rsid w:val="00C80953"/>
    <w:rsid w:val="00C80B80"/>
    <w:rsid w:val="00C80D8C"/>
    <w:rsid w:val="00C80DBC"/>
    <w:rsid w:val="00C81161"/>
    <w:rsid w:val="00C81448"/>
    <w:rsid w:val="00C8152B"/>
    <w:rsid w:val="00C8159E"/>
    <w:rsid w:val="00C81951"/>
    <w:rsid w:val="00C823D4"/>
    <w:rsid w:val="00C82443"/>
    <w:rsid w:val="00C824F1"/>
    <w:rsid w:val="00C82770"/>
    <w:rsid w:val="00C827BE"/>
    <w:rsid w:val="00C82897"/>
    <w:rsid w:val="00C82D8F"/>
    <w:rsid w:val="00C8321B"/>
    <w:rsid w:val="00C832F8"/>
    <w:rsid w:val="00C833AA"/>
    <w:rsid w:val="00C83757"/>
    <w:rsid w:val="00C837A2"/>
    <w:rsid w:val="00C837F9"/>
    <w:rsid w:val="00C8397E"/>
    <w:rsid w:val="00C83B8A"/>
    <w:rsid w:val="00C83D54"/>
    <w:rsid w:val="00C83E0F"/>
    <w:rsid w:val="00C84236"/>
    <w:rsid w:val="00C84321"/>
    <w:rsid w:val="00C84519"/>
    <w:rsid w:val="00C847FA"/>
    <w:rsid w:val="00C84A24"/>
    <w:rsid w:val="00C84A46"/>
    <w:rsid w:val="00C84C40"/>
    <w:rsid w:val="00C84E4C"/>
    <w:rsid w:val="00C85966"/>
    <w:rsid w:val="00C85B18"/>
    <w:rsid w:val="00C85CF7"/>
    <w:rsid w:val="00C85DB4"/>
    <w:rsid w:val="00C86000"/>
    <w:rsid w:val="00C8647A"/>
    <w:rsid w:val="00C864A6"/>
    <w:rsid w:val="00C86516"/>
    <w:rsid w:val="00C86D0E"/>
    <w:rsid w:val="00C86F3E"/>
    <w:rsid w:val="00C87727"/>
    <w:rsid w:val="00C8777C"/>
    <w:rsid w:val="00C87E08"/>
    <w:rsid w:val="00C9067B"/>
    <w:rsid w:val="00C909CD"/>
    <w:rsid w:val="00C90B3D"/>
    <w:rsid w:val="00C90B43"/>
    <w:rsid w:val="00C90CBC"/>
    <w:rsid w:val="00C9103D"/>
    <w:rsid w:val="00C91064"/>
    <w:rsid w:val="00C91A42"/>
    <w:rsid w:val="00C91E50"/>
    <w:rsid w:val="00C91F23"/>
    <w:rsid w:val="00C9275D"/>
    <w:rsid w:val="00C92817"/>
    <w:rsid w:val="00C92D49"/>
    <w:rsid w:val="00C92DA5"/>
    <w:rsid w:val="00C93016"/>
    <w:rsid w:val="00C93306"/>
    <w:rsid w:val="00C93373"/>
    <w:rsid w:val="00C933CC"/>
    <w:rsid w:val="00C93423"/>
    <w:rsid w:val="00C936D7"/>
    <w:rsid w:val="00C937FC"/>
    <w:rsid w:val="00C93B76"/>
    <w:rsid w:val="00C93D2B"/>
    <w:rsid w:val="00C93F94"/>
    <w:rsid w:val="00C94270"/>
    <w:rsid w:val="00C94844"/>
    <w:rsid w:val="00C94C13"/>
    <w:rsid w:val="00C94CB6"/>
    <w:rsid w:val="00C9503F"/>
    <w:rsid w:val="00C95542"/>
    <w:rsid w:val="00C959FD"/>
    <w:rsid w:val="00C95AC2"/>
    <w:rsid w:val="00C95C35"/>
    <w:rsid w:val="00C962B4"/>
    <w:rsid w:val="00C962C3"/>
    <w:rsid w:val="00C964D7"/>
    <w:rsid w:val="00C964E6"/>
    <w:rsid w:val="00C967B0"/>
    <w:rsid w:val="00C967B2"/>
    <w:rsid w:val="00C96855"/>
    <w:rsid w:val="00C96A25"/>
    <w:rsid w:val="00C96C0F"/>
    <w:rsid w:val="00C96C50"/>
    <w:rsid w:val="00C96FF1"/>
    <w:rsid w:val="00C97031"/>
    <w:rsid w:val="00C97076"/>
    <w:rsid w:val="00C97447"/>
    <w:rsid w:val="00C97BA2"/>
    <w:rsid w:val="00C97F6D"/>
    <w:rsid w:val="00CA005D"/>
    <w:rsid w:val="00CA0E38"/>
    <w:rsid w:val="00CA12BD"/>
    <w:rsid w:val="00CA13C2"/>
    <w:rsid w:val="00CA17EE"/>
    <w:rsid w:val="00CA1876"/>
    <w:rsid w:val="00CA1B7D"/>
    <w:rsid w:val="00CA1BF5"/>
    <w:rsid w:val="00CA1C77"/>
    <w:rsid w:val="00CA1FAB"/>
    <w:rsid w:val="00CA2299"/>
    <w:rsid w:val="00CA2656"/>
    <w:rsid w:val="00CA2A37"/>
    <w:rsid w:val="00CA2C6B"/>
    <w:rsid w:val="00CA2E68"/>
    <w:rsid w:val="00CA35AD"/>
    <w:rsid w:val="00CA3BE2"/>
    <w:rsid w:val="00CA3DFB"/>
    <w:rsid w:val="00CA3EB3"/>
    <w:rsid w:val="00CA404F"/>
    <w:rsid w:val="00CA46E7"/>
    <w:rsid w:val="00CA4A1D"/>
    <w:rsid w:val="00CA4B0D"/>
    <w:rsid w:val="00CA4B34"/>
    <w:rsid w:val="00CA4E92"/>
    <w:rsid w:val="00CA5542"/>
    <w:rsid w:val="00CA558D"/>
    <w:rsid w:val="00CA5E4A"/>
    <w:rsid w:val="00CA5F18"/>
    <w:rsid w:val="00CA6040"/>
    <w:rsid w:val="00CA62EB"/>
    <w:rsid w:val="00CA6328"/>
    <w:rsid w:val="00CA6356"/>
    <w:rsid w:val="00CA63D8"/>
    <w:rsid w:val="00CA6782"/>
    <w:rsid w:val="00CA6FF1"/>
    <w:rsid w:val="00CA71EB"/>
    <w:rsid w:val="00CA73B7"/>
    <w:rsid w:val="00CA74E0"/>
    <w:rsid w:val="00CA76B4"/>
    <w:rsid w:val="00CA7B39"/>
    <w:rsid w:val="00CA7B84"/>
    <w:rsid w:val="00CA7CD3"/>
    <w:rsid w:val="00CA7FCB"/>
    <w:rsid w:val="00CAA772"/>
    <w:rsid w:val="00CB04DD"/>
    <w:rsid w:val="00CB0658"/>
    <w:rsid w:val="00CB0DE0"/>
    <w:rsid w:val="00CB0F8A"/>
    <w:rsid w:val="00CB12E7"/>
    <w:rsid w:val="00CB1A53"/>
    <w:rsid w:val="00CB2052"/>
    <w:rsid w:val="00CB2437"/>
    <w:rsid w:val="00CB25E5"/>
    <w:rsid w:val="00CB2986"/>
    <w:rsid w:val="00CB2C71"/>
    <w:rsid w:val="00CB2F0A"/>
    <w:rsid w:val="00CB2FFE"/>
    <w:rsid w:val="00CB3282"/>
    <w:rsid w:val="00CB33B3"/>
    <w:rsid w:val="00CB34D4"/>
    <w:rsid w:val="00CB397C"/>
    <w:rsid w:val="00CB3AA7"/>
    <w:rsid w:val="00CB3E04"/>
    <w:rsid w:val="00CB3FCC"/>
    <w:rsid w:val="00CB42D6"/>
    <w:rsid w:val="00CB4574"/>
    <w:rsid w:val="00CB45A2"/>
    <w:rsid w:val="00CB4ADA"/>
    <w:rsid w:val="00CB4C6F"/>
    <w:rsid w:val="00CB50C6"/>
    <w:rsid w:val="00CB56C0"/>
    <w:rsid w:val="00CB59F8"/>
    <w:rsid w:val="00CB5B62"/>
    <w:rsid w:val="00CB6003"/>
    <w:rsid w:val="00CB6609"/>
    <w:rsid w:val="00CB689B"/>
    <w:rsid w:val="00CB6CFA"/>
    <w:rsid w:val="00CB6D70"/>
    <w:rsid w:val="00CB6E35"/>
    <w:rsid w:val="00CB77C7"/>
    <w:rsid w:val="00CB7BB0"/>
    <w:rsid w:val="00CB7C1C"/>
    <w:rsid w:val="00CB7F88"/>
    <w:rsid w:val="00CC0014"/>
    <w:rsid w:val="00CC0170"/>
    <w:rsid w:val="00CC0209"/>
    <w:rsid w:val="00CC02F2"/>
    <w:rsid w:val="00CC06F0"/>
    <w:rsid w:val="00CC0F9B"/>
    <w:rsid w:val="00CC116B"/>
    <w:rsid w:val="00CC1395"/>
    <w:rsid w:val="00CC179C"/>
    <w:rsid w:val="00CC1A3C"/>
    <w:rsid w:val="00CC1B1C"/>
    <w:rsid w:val="00CC2156"/>
    <w:rsid w:val="00CC21EC"/>
    <w:rsid w:val="00CC28D9"/>
    <w:rsid w:val="00CC2B2E"/>
    <w:rsid w:val="00CC2E1B"/>
    <w:rsid w:val="00CC2EDB"/>
    <w:rsid w:val="00CC33D3"/>
    <w:rsid w:val="00CC33E9"/>
    <w:rsid w:val="00CC358B"/>
    <w:rsid w:val="00CC39FB"/>
    <w:rsid w:val="00CC3E49"/>
    <w:rsid w:val="00CC4489"/>
    <w:rsid w:val="00CC461F"/>
    <w:rsid w:val="00CC4726"/>
    <w:rsid w:val="00CC4873"/>
    <w:rsid w:val="00CC4B49"/>
    <w:rsid w:val="00CC4B9E"/>
    <w:rsid w:val="00CC5161"/>
    <w:rsid w:val="00CC545D"/>
    <w:rsid w:val="00CC5633"/>
    <w:rsid w:val="00CC57C6"/>
    <w:rsid w:val="00CC5A44"/>
    <w:rsid w:val="00CC5B50"/>
    <w:rsid w:val="00CC5BB1"/>
    <w:rsid w:val="00CC5FAD"/>
    <w:rsid w:val="00CC6675"/>
    <w:rsid w:val="00CC6699"/>
    <w:rsid w:val="00CC6734"/>
    <w:rsid w:val="00CC67A5"/>
    <w:rsid w:val="00CC69E7"/>
    <w:rsid w:val="00CC6A6C"/>
    <w:rsid w:val="00CC6CA5"/>
    <w:rsid w:val="00CC70A2"/>
    <w:rsid w:val="00CC756D"/>
    <w:rsid w:val="00CC78D4"/>
    <w:rsid w:val="00CC7CC6"/>
    <w:rsid w:val="00CD00A5"/>
    <w:rsid w:val="00CD0395"/>
    <w:rsid w:val="00CD03BC"/>
    <w:rsid w:val="00CD0518"/>
    <w:rsid w:val="00CD083E"/>
    <w:rsid w:val="00CD0908"/>
    <w:rsid w:val="00CD0D73"/>
    <w:rsid w:val="00CD0E36"/>
    <w:rsid w:val="00CD1065"/>
    <w:rsid w:val="00CD10CC"/>
    <w:rsid w:val="00CD1679"/>
    <w:rsid w:val="00CD16CC"/>
    <w:rsid w:val="00CD1722"/>
    <w:rsid w:val="00CD1992"/>
    <w:rsid w:val="00CD201E"/>
    <w:rsid w:val="00CD294F"/>
    <w:rsid w:val="00CD2BF8"/>
    <w:rsid w:val="00CD3060"/>
    <w:rsid w:val="00CD324F"/>
    <w:rsid w:val="00CD3943"/>
    <w:rsid w:val="00CD3BAE"/>
    <w:rsid w:val="00CD3BB7"/>
    <w:rsid w:val="00CD456F"/>
    <w:rsid w:val="00CD4878"/>
    <w:rsid w:val="00CD4B0D"/>
    <w:rsid w:val="00CD4C6B"/>
    <w:rsid w:val="00CD4DE3"/>
    <w:rsid w:val="00CD5659"/>
    <w:rsid w:val="00CD5B64"/>
    <w:rsid w:val="00CD5B7D"/>
    <w:rsid w:val="00CD6538"/>
    <w:rsid w:val="00CD6722"/>
    <w:rsid w:val="00CD6932"/>
    <w:rsid w:val="00CD6957"/>
    <w:rsid w:val="00CD6B29"/>
    <w:rsid w:val="00CD6B78"/>
    <w:rsid w:val="00CD6E5E"/>
    <w:rsid w:val="00CD7199"/>
    <w:rsid w:val="00CD739C"/>
    <w:rsid w:val="00CD75FF"/>
    <w:rsid w:val="00CD7C5A"/>
    <w:rsid w:val="00CD7E51"/>
    <w:rsid w:val="00CD7ED1"/>
    <w:rsid w:val="00CD7FB4"/>
    <w:rsid w:val="00CE0505"/>
    <w:rsid w:val="00CE0671"/>
    <w:rsid w:val="00CE081F"/>
    <w:rsid w:val="00CE0B95"/>
    <w:rsid w:val="00CE0C94"/>
    <w:rsid w:val="00CE0CCC"/>
    <w:rsid w:val="00CE10B9"/>
    <w:rsid w:val="00CE10C4"/>
    <w:rsid w:val="00CE143A"/>
    <w:rsid w:val="00CE156E"/>
    <w:rsid w:val="00CE18B7"/>
    <w:rsid w:val="00CE1BC8"/>
    <w:rsid w:val="00CE1D07"/>
    <w:rsid w:val="00CE1ED6"/>
    <w:rsid w:val="00CE234F"/>
    <w:rsid w:val="00CE2422"/>
    <w:rsid w:val="00CE25C2"/>
    <w:rsid w:val="00CE272F"/>
    <w:rsid w:val="00CE27AC"/>
    <w:rsid w:val="00CE27D5"/>
    <w:rsid w:val="00CE2AD3"/>
    <w:rsid w:val="00CE2BB8"/>
    <w:rsid w:val="00CE2D8E"/>
    <w:rsid w:val="00CE306D"/>
    <w:rsid w:val="00CE337B"/>
    <w:rsid w:val="00CE3450"/>
    <w:rsid w:val="00CE3DFD"/>
    <w:rsid w:val="00CE3EFE"/>
    <w:rsid w:val="00CE4343"/>
    <w:rsid w:val="00CE4479"/>
    <w:rsid w:val="00CE4904"/>
    <w:rsid w:val="00CE4C6C"/>
    <w:rsid w:val="00CE4CBE"/>
    <w:rsid w:val="00CE4D63"/>
    <w:rsid w:val="00CE4DC6"/>
    <w:rsid w:val="00CE4FE2"/>
    <w:rsid w:val="00CE5432"/>
    <w:rsid w:val="00CE579F"/>
    <w:rsid w:val="00CE6918"/>
    <w:rsid w:val="00CE6C10"/>
    <w:rsid w:val="00CE6C72"/>
    <w:rsid w:val="00CE6CB3"/>
    <w:rsid w:val="00CE6CF0"/>
    <w:rsid w:val="00CE6EC1"/>
    <w:rsid w:val="00CE7001"/>
    <w:rsid w:val="00CE73D9"/>
    <w:rsid w:val="00CE7677"/>
    <w:rsid w:val="00CE767F"/>
    <w:rsid w:val="00CE776F"/>
    <w:rsid w:val="00CE780C"/>
    <w:rsid w:val="00CE7C6B"/>
    <w:rsid w:val="00CE7D73"/>
    <w:rsid w:val="00CE7E17"/>
    <w:rsid w:val="00CF06C2"/>
    <w:rsid w:val="00CF06C9"/>
    <w:rsid w:val="00CF07F8"/>
    <w:rsid w:val="00CF0935"/>
    <w:rsid w:val="00CF09F8"/>
    <w:rsid w:val="00CF0BA5"/>
    <w:rsid w:val="00CF0BD9"/>
    <w:rsid w:val="00CF0E64"/>
    <w:rsid w:val="00CF16F3"/>
    <w:rsid w:val="00CF1A3A"/>
    <w:rsid w:val="00CF1A60"/>
    <w:rsid w:val="00CF1BEA"/>
    <w:rsid w:val="00CF2333"/>
    <w:rsid w:val="00CF234F"/>
    <w:rsid w:val="00CF2CF3"/>
    <w:rsid w:val="00CF2D47"/>
    <w:rsid w:val="00CF3020"/>
    <w:rsid w:val="00CF3202"/>
    <w:rsid w:val="00CF33F2"/>
    <w:rsid w:val="00CF346F"/>
    <w:rsid w:val="00CF3617"/>
    <w:rsid w:val="00CF36CB"/>
    <w:rsid w:val="00CF3D53"/>
    <w:rsid w:val="00CF3DFB"/>
    <w:rsid w:val="00CF4175"/>
    <w:rsid w:val="00CF46D3"/>
    <w:rsid w:val="00CF473E"/>
    <w:rsid w:val="00CF4D45"/>
    <w:rsid w:val="00CF4EFF"/>
    <w:rsid w:val="00CF4F4D"/>
    <w:rsid w:val="00CF5396"/>
    <w:rsid w:val="00CF56EB"/>
    <w:rsid w:val="00CF57C1"/>
    <w:rsid w:val="00CF58FE"/>
    <w:rsid w:val="00CF5B70"/>
    <w:rsid w:val="00CF5C4F"/>
    <w:rsid w:val="00CF5D8E"/>
    <w:rsid w:val="00CF5F17"/>
    <w:rsid w:val="00CF62B7"/>
    <w:rsid w:val="00CF6963"/>
    <w:rsid w:val="00CF6A0D"/>
    <w:rsid w:val="00CF6A86"/>
    <w:rsid w:val="00CF6C8D"/>
    <w:rsid w:val="00CF6CCB"/>
    <w:rsid w:val="00CF6F2E"/>
    <w:rsid w:val="00CF7102"/>
    <w:rsid w:val="00CF757D"/>
    <w:rsid w:val="00CF78F1"/>
    <w:rsid w:val="00CF792D"/>
    <w:rsid w:val="00CF7993"/>
    <w:rsid w:val="00CF7D90"/>
    <w:rsid w:val="00CF7F25"/>
    <w:rsid w:val="00CF7F7F"/>
    <w:rsid w:val="00D003FD"/>
    <w:rsid w:val="00D00850"/>
    <w:rsid w:val="00D009D4"/>
    <w:rsid w:val="00D00D15"/>
    <w:rsid w:val="00D00DE3"/>
    <w:rsid w:val="00D00E2D"/>
    <w:rsid w:val="00D00FD7"/>
    <w:rsid w:val="00D011C7"/>
    <w:rsid w:val="00D0141C"/>
    <w:rsid w:val="00D0206E"/>
    <w:rsid w:val="00D02D95"/>
    <w:rsid w:val="00D02EBC"/>
    <w:rsid w:val="00D03136"/>
    <w:rsid w:val="00D033AF"/>
    <w:rsid w:val="00D03418"/>
    <w:rsid w:val="00D034A7"/>
    <w:rsid w:val="00D03975"/>
    <w:rsid w:val="00D03A10"/>
    <w:rsid w:val="00D03A8E"/>
    <w:rsid w:val="00D03FC6"/>
    <w:rsid w:val="00D04112"/>
    <w:rsid w:val="00D04366"/>
    <w:rsid w:val="00D04743"/>
    <w:rsid w:val="00D047F2"/>
    <w:rsid w:val="00D04951"/>
    <w:rsid w:val="00D049BD"/>
    <w:rsid w:val="00D04D37"/>
    <w:rsid w:val="00D05169"/>
    <w:rsid w:val="00D051D1"/>
    <w:rsid w:val="00D0528A"/>
    <w:rsid w:val="00D05312"/>
    <w:rsid w:val="00D05350"/>
    <w:rsid w:val="00D054BA"/>
    <w:rsid w:val="00D0561C"/>
    <w:rsid w:val="00D059D9"/>
    <w:rsid w:val="00D05EE3"/>
    <w:rsid w:val="00D06096"/>
    <w:rsid w:val="00D06506"/>
    <w:rsid w:val="00D066DF"/>
    <w:rsid w:val="00D06726"/>
    <w:rsid w:val="00D06B58"/>
    <w:rsid w:val="00D06C55"/>
    <w:rsid w:val="00D06F57"/>
    <w:rsid w:val="00D07420"/>
    <w:rsid w:val="00D0744C"/>
    <w:rsid w:val="00D0759E"/>
    <w:rsid w:val="00D0781D"/>
    <w:rsid w:val="00D07D7E"/>
    <w:rsid w:val="00D07DE7"/>
    <w:rsid w:val="00D10CCF"/>
    <w:rsid w:val="00D11532"/>
    <w:rsid w:val="00D115D2"/>
    <w:rsid w:val="00D11734"/>
    <w:rsid w:val="00D11B3F"/>
    <w:rsid w:val="00D12149"/>
    <w:rsid w:val="00D126B8"/>
    <w:rsid w:val="00D13148"/>
    <w:rsid w:val="00D13553"/>
    <w:rsid w:val="00D135AA"/>
    <w:rsid w:val="00D137CE"/>
    <w:rsid w:val="00D13804"/>
    <w:rsid w:val="00D13B54"/>
    <w:rsid w:val="00D13C0D"/>
    <w:rsid w:val="00D13C0F"/>
    <w:rsid w:val="00D1416B"/>
    <w:rsid w:val="00D14EA7"/>
    <w:rsid w:val="00D14EED"/>
    <w:rsid w:val="00D15011"/>
    <w:rsid w:val="00D153FE"/>
    <w:rsid w:val="00D15732"/>
    <w:rsid w:val="00D15798"/>
    <w:rsid w:val="00D158DE"/>
    <w:rsid w:val="00D15EE5"/>
    <w:rsid w:val="00D15FEC"/>
    <w:rsid w:val="00D162B7"/>
    <w:rsid w:val="00D1659E"/>
    <w:rsid w:val="00D168B2"/>
    <w:rsid w:val="00D16A89"/>
    <w:rsid w:val="00D16B95"/>
    <w:rsid w:val="00D16C8C"/>
    <w:rsid w:val="00D16DFA"/>
    <w:rsid w:val="00D16E45"/>
    <w:rsid w:val="00D16F82"/>
    <w:rsid w:val="00D17349"/>
    <w:rsid w:val="00D174E8"/>
    <w:rsid w:val="00D174EA"/>
    <w:rsid w:val="00D17524"/>
    <w:rsid w:val="00D177EE"/>
    <w:rsid w:val="00D17AE1"/>
    <w:rsid w:val="00D17D59"/>
    <w:rsid w:val="00D17D61"/>
    <w:rsid w:val="00D17E4F"/>
    <w:rsid w:val="00D17F84"/>
    <w:rsid w:val="00D20108"/>
    <w:rsid w:val="00D201CE"/>
    <w:rsid w:val="00D20671"/>
    <w:rsid w:val="00D213BC"/>
    <w:rsid w:val="00D21418"/>
    <w:rsid w:val="00D215DE"/>
    <w:rsid w:val="00D21666"/>
    <w:rsid w:val="00D217BA"/>
    <w:rsid w:val="00D21878"/>
    <w:rsid w:val="00D219E1"/>
    <w:rsid w:val="00D21AF7"/>
    <w:rsid w:val="00D21DEE"/>
    <w:rsid w:val="00D22042"/>
    <w:rsid w:val="00D2215C"/>
    <w:rsid w:val="00D224EC"/>
    <w:rsid w:val="00D22E4F"/>
    <w:rsid w:val="00D22F1D"/>
    <w:rsid w:val="00D2321D"/>
    <w:rsid w:val="00D2329D"/>
    <w:rsid w:val="00D233DB"/>
    <w:rsid w:val="00D23489"/>
    <w:rsid w:val="00D23546"/>
    <w:rsid w:val="00D23699"/>
    <w:rsid w:val="00D23713"/>
    <w:rsid w:val="00D23787"/>
    <w:rsid w:val="00D238A5"/>
    <w:rsid w:val="00D2427A"/>
    <w:rsid w:val="00D24717"/>
    <w:rsid w:val="00D24935"/>
    <w:rsid w:val="00D24AB6"/>
    <w:rsid w:val="00D24AF9"/>
    <w:rsid w:val="00D24F65"/>
    <w:rsid w:val="00D24FEC"/>
    <w:rsid w:val="00D25518"/>
    <w:rsid w:val="00D256E1"/>
    <w:rsid w:val="00D25C64"/>
    <w:rsid w:val="00D25C94"/>
    <w:rsid w:val="00D26046"/>
    <w:rsid w:val="00D2641C"/>
    <w:rsid w:val="00D26DF4"/>
    <w:rsid w:val="00D26E53"/>
    <w:rsid w:val="00D26EA1"/>
    <w:rsid w:val="00D26FAF"/>
    <w:rsid w:val="00D26FB4"/>
    <w:rsid w:val="00D274D6"/>
    <w:rsid w:val="00D27831"/>
    <w:rsid w:val="00D27AB5"/>
    <w:rsid w:val="00D27D13"/>
    <w:rsid w:val="00D27EBB"/>
    <w:rsid w:val="00D301C8"/>
    <w:rsid w:val="00D3033F"/>
    <w:rsid w:val="00D3052E"/>
    <w:rsid w:val="00D307AE"/>
    <w:rsid w:val="00D307FA"/>
    <w:rsid w:val="00D30C07"/>
    <w:rsid w:val="00D30EBC"/>
    <w:rsid w:val="00D31053"/>
    <w:rsid w:val="00D3171F"/>
    <w:rsid w:val="00D317F5"/>
    <w:rsid w:val="00D321CD"/>
    <w:rsid w:val="00D32450"/>
    <w:rsid w:val="00D3247A"/>
    <w:rsid w:val="00D3295B"/>
    <w:rsid w:val="00D32DD2"/>
    <w:rsid w:val="00D33375"/>
    <w:rsid w:val="00D333B0"/>
    <w:rsid w:val="00D33449"/>
    <w:rsid w:val="00D3359B"/>
    <w:rsid w:val="00D33CD1"/>
    <w:rsid w:val="00D33F95"/>
    <w:rsid w:val="00D34139"/>
    <w:rsid w:val="00D34400"/>
    <w:rsid w:val="00D345BA"/>
    <w:rsid w:val="00D3463A"/>
    <w:rsid w:val="00D346B9"/>
    <w:rsid w:val="00D349CC"/>
    <w:rsid w:val="00D34A98"/>
    <w:rsid w:val="00D34B83"/>
    <w:rsid w:val="00D3548C"/>
    <w:rsid w:val="00D3556C"/>
    <w:rsid w:val="00D359B4"/>
    <w:rsid w:val="00D35BC8"/>
    <w:rsid w:val="00D35EA2"/>
    <w:rsid w:val="00D3641A"/>
    <w:rsid w:val="00D3669C"/>
    <w:rsid w:val="00D369C1"/>
    <w:rsid w:val="00D36A3E"/>
    <w:rsid w:val="00D36D07"/>
    <w:rsid w:val="00D36DDF"/>
    <w:rsid w:val="00D36EA7"/>
    <w:rsid w:val="00D37107"/>
    <w:rsid w:val="00D37310"/>
    <w:rsid w:val="00D373EC"/>
    <w:rsid w:val="00D374A2"/>
    <w:rsid w:val="00D375E1"/>
    <w:rsid w:val="00D37DFC"/>
    <w:rsid w:val="00D4057A"/>
    <w:rsid w:val="00D40777"/>
    <w:rsid w:val="00D407E4"/>
    <w:rsid w:val="00D409EB"/>
    <w:rsid w:val="00D40A74"/>
    <w:rsid w:val="00D40A7B"/>
    <w:rsid w:val="00D40D70"/>
    <w:rsid w:val="00D40DE2"/>
    <w:rsid w:val="00D41644"/>
    <w:rsid w:val="00D418FE"/>
    <w:rsid w:val="00D41A1F"/>
    <w:rsid w:val="00D41AF1"/>
    <w:rsid w:val="00D422E7"/>
    <w:rsid w:val="00D42957"/>
    <w:rsid w:val="00D42BD7"/>
    <w:rsid w:val="00D430E4"/>
    <w:rsid w:val="00D437EF"/>
    <w:rsid w:val="00D43977"/>
    <w:rsid w:val="00D43BDB"/>
    <w:rsid w:val="00D43C15"/>
    <w:rsid w:val="00D43C88"/>
    <w:rsid w:val="00D43D10"/>
    <w:rsid w:val="00D440B1"/>
    <w:rsid w:val="00D44142"/>
    <w:rsid w:val="00D443C4"/>
    <w:rsid w:val="00D4468B"/>
    <w:rsid w:val="00D44726"/>
    <w:rsid w:val="00D4498D"/>
    <w:rsid w:val="00D44A40"/>
    <w:rsid w:val="00D4541D"/>
    <w:rsid w:val="00D45BB9"/>
    <w:rsid w:val="00D45C4D"/>
    <w:rsid w:val="00D4604D"/>
    <w:rsid w:val="00D46691"/>
    <w:rsid w:val="00D466CA"/>
    <w:rsid w:val="00D46851"/>
    <w:rsid w:val="00D46914"/>
    <w:rsid w:val="00D46E77"/>
    <w:rsid w:val="00D4710B"/>
    <w:rsid w:val="00D47BBB"/>
    <w:rsid w:val="00D47C04"/>
    <w:rsid w:val="00D47EAF"/>
    <w:rsid w:val="00D50048"/>
    <w:rsid w:val="00D50581"/>
    <w:rsid w:val="00D506B9"/>
    <w:rsid w:val="00D50772"/>
    <w:rsid w:val="00D51460"/>
    <w:rsid w:val="00D51461"/>
    <w:rsid w:val="00D5149A"/>
    <w:rsid w:val="00D517D3"/>
    <w:rsid w:val="00D5184A"/>
    <w:rsid w:val="00D51A6B"/>
    <w:rsid w:val="00D51BD3"/>
    <w:rsid w:val="00D51E2C"/>
    <w:rsid w:val="00D522CB"/>
    <w:rsid w:val="00D52308"/>
    <w:rsid w:val="00D523B2"/>
    <w:rsid w:val="00D525EE"/>
    <w:rsid w:val="00D52C75"/>
    <w:rsid w:val="00D53093"/>
    <w:rsid w:val="00D5311A"/>
    <w:rsid w:val="00D531B1"/>
    <w:rsid w:val="00D53757"/>
    <w:rsid w:val="00D539CA"/>
    <w:rsid w:val="00D53A93"/>
    <w:rsid w:val="00D53F39"/>
    <w:rsid w:val="00D5451D"/>
    <w:rsid w:val="00D545DB"/>
    <w:rsid w:val="00D54CE6"/>
    <w:rsid w:val="00D54DBC"/>
    <w:rsid w:val="00D54E2E"/>
    <w:rsid w:val="00D54FA0"/>
    <w:rsid w:val="00D55048"/>
    <w:rsid w:val="00D55598"/>
    <w:rsid w:val="00D555F9"/>
    <w:rsid w:val="00D55804"/>
    <w:rsid w:val="00D55A2C"/>
    <w:rsid w:val="00D55D03"/>
    <w:rsid w:val="00D5680C"/>
    <w:rsid w:val="00D56843"/>
    <w:rsid w:val="00D5688D"/>
    <w:rsid w:val="00D570AD"/>
    <w:rsid w:val="00D571B3"/>
    <w:rsid w:val="00D5733B"/>
    <w:rsid w:val="00D57348"/>
    <w:rsid w:val="00D57468"/>
    <w:rsid w:val="00D576B5"/>
    <w:rsid w:val="00D5772F"/>
    <w:rsid w:val="00D57990"/>
    <w:rsid w:val="00D57B33"/>
    <w:rsid w:val="00D57BD4"/>
    <w:rsid w:val="00D57BD8"/>
    <w:rsid w:val="00D57D20"/>
    <w:rsid w:val="00D57DDF"/>
    <w:rsid w:val="00D60016"/>
    <w:rsid w:val="00D60662"/>
    <w:rsid w:val="00D6071A"/>
    <w:rsid w:val="00D60974"/>
    <w:rsid w:val="00D611DE"/>
    <w:rsid w:val="00D61243"/>
    <w:rsid w:val="00D61255"/>
    <w:rsid w:val="00D6132A"/>
    <w:rsid w:val="00D61448"/>
    <w:rsid w:val="00D61683"/>
    <w:rsid w:val="00D617AD"/>
    <w:rsid w:val="00D61FAE"/>
    <w:rsid w:val="00D621EB"/>
    <w:rsid w:val="00D622FA"/>
    <w:rsid w:val="00D6253D"/>
    <w:rsid w:val="00D6269C"/>
    <w:rsid w:val="00D62933"/>
    <w:rsid w:val="00D629C8"/>
    <w:rsid w:val="00D62C2A"/>
    <w:rsid w:val="00D62C5E"/>
    <w:rsid w:val="00D62CD1"/>
    <w:rsid w:val="00D62CFD"/>
    <w:rsid w:val="00D62F51"/>
    <w:rsid w:val="00D63325"/>
    <w:rsid w:val="00D6390E"/>
    <w:rsid w:val="00D63A53"/>
    <w:rsid w:val="00D643AE"/>
    <w:rsid w:val="00D643C4"/>
    <w:rsid w:val="00D643DC"/>
    <w:rsid w:val="00D6465F"/>
    <w:rsid w:val="00D647F9"/>
    <w:rsid w:val="00D64ADC"/>
    <w:rsid w:val="00D64DF1"/>
    <w:rsid w:val="00D64FAB"/>
    <w:rsid w:val="00D6538C"/>
    <w:rsid w:val="00D653C6"/>
    <w:rsid w:val="00D659A6"/>
    <w:rsid w:val="00D665AA"/>
    <w:rsid w:val="00D66682"/>
    <w:rsid w:val="00D667A0"/>
    <w:rsid w:val="00D6680B"/>
    <w:rsid w:val="00D66932"/>
    <w:rsid w:val="00D6713A"/>
    <w:rsid w:val="00D6791B"/>
    <w:rsid w:val="00D67C61"/>
    <w:rsid w:val="00D67DC2"/>
    <w:rsid w:val="00D67FC3"/>
    <w:rsid w:val="00D7004E"/>
    <w:rsid w:val="00D704AA"/>
    <w:rsid w:val="00D706FF"/>
    <w:rsid w:val="00D707A4"/>
    <w:rsid w:val="00D70B7B"/>
    <w:rsid w:val="00D70D74"/>
    <w:rsid w:val="00D71175"/>
    <w:rsid w:val="00D71B60"/>
    <w:rsid w:val="00D7232D"/>
    <w:rsid w:val="00D725F5"/>
    <w:rsid w:val="00D727A8"/>
    <w:rsid w:val="00D727B9"/>
    <w:rsid w:val="00D7293C"/>
    <w:rsid w:val="00D72DAB"/>
    <w:rsid w:val="00D72E82"/>
    <w:rsid w:val="00D73232"/>
    <w:rsid w:val="00D7356D"/>
    <w:rsid w:val="00D7372F"/>
    <w:rsid w:val="00D73B0A"/>
    <w:rsid w:val="00D73D67"/>
    <w:rsid w:val="00D73F03"/>
    <w:rsid w:val="00D741BC"/>
    <w:rsid w:val="00D74214"/>
    <w:rsid w:val="00D74AF2"/>
    <w:rsid w:val="00D74BA9"/>
    <w:rsid w:val="00D74D3C"/>
    <w:rsid w:val="00D7501B"/>
    <w:rsid w:val="00D753EE"/>
    <w:rsid w:val="00D7549E"/>
    <w:rsid w:val="00D75A1E"/>
    <w:rsid w:val="00D75C4A"/>
    <w:rsid w:val="00D7609B"/>
    <w:rsid w:val="00D766E7"/>
    <w:rsid w:val="00D76BE9"/>
    <w:rsid w:val="00D76E35"/>
    <w:rsid w:val="00D7729C"/>
    <w:rsid w:val="00D773B1"/>
    <w:rsid w:val="00D77407"/>
    <w:rsid w:val="00D7783D"/>
    <w:rsid w:val="00D77B93"/>
    <w:rsid w:val="00D8002E"/>
    <w:rsid w:val="00D802D9"/>
    <w:rsid w:val="00D804EA"/>
    <w:rsid w:val="00D808AA"/>
    <w:rsid w:val="00D809FA"/>
    <w:rsid w:val="00D8104D"/>
    <w:rsid w:val="00D812B1"/>
    <w:rsid w:val="00D813D4"/>
    <w:rsid w:val="00D81837"/>
    <w:rsid w:val="00D818F6"/>
    <w:rsid w:val="00D8206A"/>
    <w:rsid w:val="00D82394"/>
    <w:rsid w:val="00D82605"/>
    <w:rsid w:val="00D829FD"/>
    <w:rsid w:val="00D82A0E"/>
    <w:rsid w:val="00D82B5D"/>
    <w:rsid w:val="00D82B90"/>
    <w:rsid w:val="00D82C69"/>
    <w:rsid w:val="00D82C9B"/>
    <w:rsid w:val="00D82CC3"/>
    <w:rsid w:val="00D82F35"/>
    <w:rsid w:val="00D83545"/>
    <w:rsid w:val="00D835ED"/>
    <w:rsid w:val="00D8387A"/>
    <w:rsid w:val="00D8387E"/>
    <w:rsid w:val="00D83CA5"/>
    <w:rsid w:val="00D8418A"/>
    <w:rsid w:val="00D843A7"/>
    <w:rsid w:val="00D84696"/>
    <w:rsid w:val="00D84732"/>
    <w:rsid w:val="00D8477E"/>
    <w:rsid w:val="00D847FF"/>
    <w:rsid w:val="00D848CC"/>
    <w:rsid w:val="00D84975"/>
    <w:rsid w:val="00D8497A"/>
    <w:rsid w:val="00D84CC5"/>
    <w:rsid w:val="00D84E6D"/>
    <w:rsid w:val="00D8507A"/>
    <w:rsid w:val="00D8572C"/>
    <w:rsid w:val="00D85B09"/>
    <w:rsid w:val="00D86088"/>
    <w:rsid w:val="00D863D7"/>
    <w:rsid w:val="00D86759"/>
    <w:rsid w:val="00D86A3C"/>
    <w:rsid w:val="00D86A9A"/>
    <w:rsid w:val="00D86BF5"/>
    <w:rsid w:val="00D86C7D"/>
    <w:rsid w:val="00D86D15"/>
    <w:rsid w:val="00D86E91"/>
    <w:rsid w:val="00D87001"/>
    <w:rsid w:val="00D870B7"/>
    <w:rsid w:val="00D8739F"/>
    <w:rsid w:val="00D87A56"/>
    <w:rsid w:val="00D87B27"/>
    <w:rsid w:val="00D87D04"/>
    <w:rsid w:val="00D87E90"/>
    <w:rsid w:val="00D901F5"/>
    <w:rsid w:val="00D90859"/>
    <w:rsid w:val="00D90AE8"/>
    <w:rsid w:val="00D9145B"/>
    <w:rsid w:val="00D91D02"/>
    <w:rsid w:val="00D91E9B"/>
    <w:rsid w:val="00D925F3"/>
    <w:rsid w:val="00D92630"/>
    <w:rsid w:val="00D92867"/>
    <w:rsid w:val="00D92A50"/>
    <w:rsid w:val="00D92E42"/>
    <w:rsid w:val="00D92F64"/>
    <w:rsid w:val="00D93045"/>
    <w:rsid w:val="00D935F0"/>
    <w:rsid w:val="00D9367E"/>
    <w:rsid w:val="00D94003"/>
    <w:rsid w:val="00D94560"/>
    <w:rsid w:val="00D9498A"/>
    <w:rsid w:val="00D94B21"/>
    <w:rsid w:val="00D94E60"/>
    <w:rsid w:val="00D9519A"/>
    <w:rsid w:val="00D952A2"/>
    <w:rsid w:val="00D95594"/>
    <w:rsid w:val="00D95AAD"/>
    <w:rsid w:val="00D95BF2"/>
    <w:rsid w:val="00D95CCE"/>
    <w:rsid w:val="00D95CDD"/>
    <w:rsid w:val="00D95E3E"/>
    <w:rsid w:val="00D95EA5"/>
    <w:rsid w:val="00D960FD"/>
    <w:rsid w:val="00D962D7"/>
    <w:rsid w:val="00D9664B"/>
    <w:rsid w:val="00D96685"/>
    <w:rsid w:val="00D96B48"/>
    <w:rsid w:val="00D96B71"/>
    <w:rsid w:val="00D96B97"/>
    <w:rsid w:val="00D972B8"/>
    <w:rsid w:val="00D9735D"/>
    <w:rsid w:val="00D97370"/>
    <w:rsid w:val="00D9747C"/>
    <w:rsid w:val="00D975B6"/>
    <w:rsid w:val="00D97841"/>
    <w:rsid w:val="00D97BBC"/>
    <w:rsid w:val="00D97C2A"/>
    <w:rsid w:val="00D97F67"/>
    <w:rsid w:val="00DA036E"/>
    <w:rsid w:val="00DA0443"/>
    <w:rsid w:val="00DA0450"/>
    <w:rsid w:val="00DA0517"/>
    <w:rsid w:val="00DA0665"/>
    <w:rsid w:val="00DA0696"/>
    <w:rsid w:val="00DA06E9"/>
    <w:rsid w:val="00DA07DD"/>
    <w:rsid w:val="00DA0AC9"/>
    <w:rsid w:val="00DA0B82"/>
    <w:rsid w:val="00DA0C39"/>
    <w:rsid w:val="00DA0EC9"/>
    <w:rsid w:val="00DA1204"/>
    <w:rsid w:val="00DA13AA"/>
    <w:rsid w:val="00DA1789"/>
    <w:rsid w:val="00DA1968"/>
    <w:rsid w:val="00DA1A7A"/>
    <w:rsid w:val="00DA1FA9"/>
    <w:rsid w:val="00DA204E"/>
    <w:rsid w:val="00DA272E"/>
    <w:rsid w:val="00DA2736"/>
    <w:rsid w:val="00DA2919"/>
    <w:rsid w:val="00DA295D"/>
    <w:rsid w:val="00DA2A3E"/>
    <w:rsid w:val="00DA2B08"/>
    <w:rsid w:val="00DA2C42"/>
    <w:rsid w:val="00DA2CEE"/>
    <w:rsid w:val="00DA2EFB"/>
    <w:rsid w:val="00DA2F1D"/>
    <w:rsid w:val="00DA31DA"/>
    <w:rsid w:val="00DA3248"/>
    <w:rsid w:val="00DA38B9"/>
    <w:rsid w:val="00DA48CE"/>
    <w:rsid w:val="00DA4927"/>
    <w:rsid w:val="00DA4BF5"/>
    <w:rsid w:val="00DA5132"/>
    <w:rsid w:val="00DA589A"/>
    <w:rsid w:val="00DA5F08"/>
    <w:rsid w:val="00DA5FCC"/>
    <w:rsid w:val="00DA6064"/>
    <w:rsid w:val="00DA63E4"/>
    <w:rsid w:val="00DA65CC"/>
    <w:rsid w:val="00DA668B"/>
    <w:rsid w:val="00DA6B04"/>
    <w:rsid w:val="00DA73E5"/>
    <w:rsid w:val="00DA757B"/>
    <w:rsid w:val="00DA76BA"/>
    <w:rsid w:val="00DA78E7"/>
    <w:rsid w:val="00DA7A96"/>
    <w:rsid w:val="00DA7AE1"/>
    <w:rsid w:val="00DA7E59"/>
    <w:rsid w:val="00DB02F7"/>
    <w:rsid w:val="00DB0490"/>
    <w:rsid w:val="00DB0BD1"/>
    <w:rsid w:val="00DB0CEB"/>
    <w:rsid w:val="00DB0CFB"/>
    <w:rsid w:val="00DB0EEF"/>
    <w:rsid w:val="00DB11BB"/>
    <w:rsid w:val="00DB1357"/>
    <w:rsid w:val="00DB1413"/>
    <w:rsid w:val="00DB1544"/>
    <w:rsid w:val="00DB16E9"/>
    <w:rsid w:val="00DB1772"/>
    <w:rsid w:val="00DB19C1"/>
    <w:rsid w:val="00DB1B81"/>
    <w:rsid w:val="00DB1CE0"/>
    <w:rsid w:val="00DB22A4"/>
    <w:rsid w:val="00DB254A"/>
    <w:rsid w:val="00DB25B6"/>
    <w:rsid w:val="00DB28FE"/>
    <w:rsid w:val="00DB29DB"/>
    <w:rsid w:val="00DB2A3E"/>
    <w:rsid w:val="00DB2EDD"/>
    <w:rsid w:val="00DB3407"/>
    <w:rsid w:val="00DB3B4A"/>
    <w:rsid w:val="00DB3D1C"/>
    <w:rsid w:val="00DB3F54"/>
    <w:rsid w:val="00DB3F91"/>
    <w:rsid w:val="00DB4292"/>
    <w:rsid w:val="00DB4456"/>
    <w:rsid w:val="00DB4BA4"/>
    <w:rsid w:val="00DB4D5B"/>
    <w:rsid w:val="00DB4DD1"/>
    <w:rsid w:val="00DB4DFF"/>
    <w:rsid w:val="00DB5046"/>
    <w:rsid w:val="00DB506A"/>
    <w:rsid w:val="00DB5112"/>
    <w:rsid w:val="00DB52F6"/>
    <w:rsid w:val="00DB5519"/>
    <w:rsid w:val="00DB5523"/>
    <w:rsid w:val="00DB5639"/>
    <w:rsid w:val="00DB5676"/>
    <w:rsid w:val="00DB5794"/>
    <w:rsid w:val="00DB58B8"/>
    <w:rsid w:val="00DB595D"/>
    <w:rsid w:val="00DB5BD0"/>
    <w:rsid w:val="00DB6130"/>
    <w:rsid w:val="00DB614A"/>
    <w:rsid w:val="00DB637D"/>
    <w:rsid w:val="00DB65D8"/>
    <w:rsid w:val="00DB6911"/>
    <w:rsid w:val="00DB6A4B"/>
    <w:rsid w:val="00DB6D5D"/>
    <w:rsid w:val="00DB7087"/>
    <w:rsid w:val="00DB7430"/>
    <w:rsid w:val="00DB74AF"/>
    <w:rsid w:val="00DB79B5"/>
    <w:rsid w:val="00DB7D08"/>
    <w:rsid w:val="00DC0040"/>
    <w:rsid w:val="00DC004D"/>
    <w:rsid w:val="00DC01E1"/>
    <w:rsid w:val="00DC05E5"/>
    <w:rsid w:val="00DC0A00"/>
    <w:rsid w:val="00DC0A70"/>
    <w:rsid w:val="00DC0D70"/>
    <w:rsid w:val="00DC1012"/>
    <w:rsid w:val="00DC104A"/>
    <w:rsid w:val="00DC10C9"/>
    <w:rsid w:val="00DC1556"/>
    <w:rsid w:val="00DC1E89"/>
    <w:rsid w:val="00DC1EE6"/>
    <w:rsid w:val="00DC24C0"/>
    <w:rsid w:val="00DC26C7"/>
    <w:rsid w:val="00DC26F4"/>
    <w:rsid w:val="00DC284B"/>
    <w:rsid w:val="00DC2B04"/>
    <w:rsid w:val="00DC2DAE"/>
    <w:rsid w:val="00DC2DF5"/>
    <w:rsid w:val="00DC3793"/>
    <w:rsid w:val="00DC386C"/>
    <w:rsid w:val="00DC393F"/>
    <w:rsid w:val="00DC3DD6"/>
    <w:rsid w:val="00DC4057"/>
    <w:rsid w:val="00DC44FB"/>
    <w:rsid w:val="00DC4645"/>
    <w:rsid w:val="00DC4721"/>
    <w:rsid w:val="00DC48C0"/>
    <w:rsid w:val="00DC4D6D"/>
    <w:rsid w:val="00DC4EBE"/>
    <w:rsid w:val="00DC52CC"/>
    <w:rsid w:val="00DC5372"/>
    <w:rsid w:val="00DC540E"/>
    <w:rsid w:val="00DC542D"/>
    <w:rsid w:val="00DC5E99"/>
    <w:rsid w:val="00DC5F68"/>
    <w:rsid w:val="00DC6243"/>
    <w:rsid w:val="00DC6279"/>
    <w:rsid w:val="00DC6313"/>
    <w:rsid w:val="00DC6B63"/>
    <w:rsid w:val="00DC6F6B"/>
    <w:rsid w:val="00DC7499"/>
    <w:rsid w:val="00DC770D"/>
    <w:rsid w:val="00DC77CD"/>
    <w:rsid w:val="00DC7A6C"/>
    <w:rsid w:val="00DC7FC9"/>
    <w:rsid w:val="00DD029D"/>
    <w:rsid w:val="00DD02AF"/>
    <w:rsid w:val="00DD036A"/>
    <w:rsid w:val="00DD044B"/>
    <w:rsid w:val="00DD0805"/>
    <w:rsid w:val="00DD0CC0"/>
    <w:rsid w:val="00DD0E21"/>
    <w:rsid w:val="00DD0E95"/>
    <w:rsid w:val="00DD0EE3"/>
    <w:rsid w:val="00DD0F7A"/>
    <w:rsid w:val="00DD11F0"/>
    <w:rsid w:val="00DD14C0"/>
    <w:rsid w:val="00DD17D5"/>
    <w:rsid w:val="00DD17D6"/>
    <w:rsid w:val="00DD19F5"/>
    <w:rsid w:val="00DD1B87"/>
    <w:rsid w:val="00DD1E2B"/>
    <w:rsid w:val="00DD1E9B"/>
    <w:rsid w:val="00DD1F00"/>
    <w:rsid w:val="00DD1F2E"/>
    <w:rsid w:val="00DD1F95"/>
    <w:rsid w:val="00DD1FE8"/>
    <w:rsid w:val="00DD28E5"/>
    <w:rsid w:val="00DD2B02"/>
    <w:rsid w:val="00DD2C09"/>
    <w:rsid w:val="00DD2C2C"/>
    <w:rsid w:val="00DD2C71"/>
    <w:rsid w:val="00DD2CEA"/>
    <w:rsid w:val="00DD3029"/>
    <w:rsid w:val="00DD3252"/>
    <w:rsid w:val="00DD32EF"/>
    <w:rsid w:val="00DD35A6"/>
    <w:rsid w:val="00DD3E71"/>
    <w:rsid w:val="00DD3F14"/>
    <w:rsid w:val="00DD426C"/>
    <w:rsid w:val="00DD4335"/>
    <w:rsid w:val="00DD444E"/>
    <w:rsid w:val="00DD44DD"/>
    <w:rsid w:val="00DD4BA5"/>
    <w:rsid w:val="00DD4E3B"/>
    <w:rsid w:val="00DD528E"/>
    <w:rsid w:val="00DD55EA"/>
    <w:rsid w:val="00DD597D"/>
    <w:rsid w:val="00DD59A3"/>
    <w:rsid w:val="00DD6100"/>
    <w:rsid w:val="00DD61CE"/>
    <w:rsid w:val="00DD64CB"/>
    <w:rsid w:val="00DD679E"/>
    <w:rsid w:val="00DD68F3"/>
    <w:rsid w:val="00DD6A23"/>
    <w:rsid w:val="00DD6E56"/>
    <w:rsid w:val="00DD7311"/>
    <w:rsid w:val="00DD74BB"/>
    <w:rsid w:val="00DD7520"/>
    <w:rsid w:val="00DD791E"/>
    <w:rsid w:val="00DD7BDB"/>
    <w:rsid w:val="00DD7D77"/>
    <w:rsid w:val="00DD7D99"/>
    <w:rsid w:val="00DD7EFD"/>
    <w:rsid w:val="00DE0645"/>
    <w:rsid w:val="00DE0834"/>
    <w:rsid w:val="00DE0931"/>
    <w:rsid w:val="00DE093A"/>
    <w:rsid w:val="00DE0F30"/>
    <w:rsid w:val="00DE0F3F"/>
    <w:rsid w:val="00DE1081"/>
    <w:rsid w:val="00DE11E0"/>
    <w:rsid w:val="00DE120B"/>
    <w:rsid w:val="00DE123D"/>
    <w:rsid w:val="00DE1565"/>
    <w:rsid w:val="00DE20FE"/>
    <w:rsid w:val="00DE25D0"/>
    <w:rsid w:val="00DE276A"/>
    <w:rsid w:val="00DE2A27"/>
    <w:rsid w:val="00DE2ACB"/>
    <w:rsid w:val="00DE2EFC"/>
    <w:rsid w:val="00DE3123"/>
    <w:rsid w:val="00DE31B2"/>
    <w:rsid w:val="00DE3213"/>
    <w:rsid w:val="00DE33A4"/>
    <w:rsid w:val="00DE3403"/>
    <w:rsid w:val="00DE3729"/>
    <w:rsid w:val="00DE3C95"/>
    <w:rsid w:val="00DE3D06"/>
    <w:rsid w:val="00DE3E27"/>
    <w:rsid w:val="00DE402C"/>
    <w:rsid w:val="00DE4070"/>
    <w:rsid w:val="00DE41E5"/>
    <w:rsid w:val="00DE43F3"/>
    <w:rsid w:val="00DE44C8"/>
    <w:rsid w:val="00DE44D8"/>
    <w:rsid w:val="00DE4847"/>
    <w:rsid w:val="00DE48A5"/>
    <w:rsid w:val="00DE4F61"/>
    <w:rsid w:val="00DE57DD"/>
    <w:rsid w:val="00DE580C"/>
    <w:rsid w:val="00DE5886"/>
    <w:rsid w:val="00DE588E"/>
    <w:rsid w:val="00DE640F"/>
    <w:rsid w:val="00DE657F"/>
    <w:rsid w:val="00DE6A15"/>
    <w:rsid w:val="00DE6A99"/>
    <w:rsid w:val="00DE7013"/>
    <w:rsid w:val="00DE70E2"/>
    <w:rsid w:val="00DE7297"/>
    <w:rsid w:val="00DE744D"/>
    <w:rsid w:val="00DE7677"/>
    <w:rsid w:val="00DE7DC3"/>
    <w:rsid w:val="00DE7E17"/>
    <w:rsid w:val="00DF04F3"/>
    <w:rsid w:val="00DF056C"/>
    <w:rsid w:val="00DF0580"/>
    <w:rsid w:val="00DF069E"/>
    <w:rsid w:val="00DF07BE"/>
    <w:rsid w:val="00DF092B"/>
    <w:rsid w:val="00DF097C"/>
    <w:rsid w:val="00DF0A0D"/>
    <w:rsid w:val="00DF103F"/>
    <w:rsid w:val="00DF1083"/>
    <w:rsid w:val="00DF1EC7"/>
    <w:rsid w:val="00DF200F"/>
    <w:rsid w:val="00DF23FB"/>
    <w:rsid w:val="00DF2537"/>
    <w:rsid w:val="00DF2654"/>
    <w:rsid w:val="00DF26B8"/>
    <w:rsid w:val="00DF2A68"/>
    <w:rsid w:val="00DF2A9C"/>
    <w:rsid w:val="00DF313A"/>
    <w:rsid w:val="00DF33CC"/>
    <w:rsid w:val="00DF33F2"/>
    <w:rsid w:val="00DF3777"/>
    <w:rsid w:val="00DF39C3"/>
    <w:rsid w:val="00DF3BC3"/>
    <w:rsid w:val="00DF3CCC"/>
    <w:rsid w:val="00DF3DD0"/>
    <w:rsid w:val="00DF4204"/>
    <w:rsid w:val="00DF460C"/>
    <w:rsid w:val="00DF4652"/>
    <w:rsid w:val="00DF469A"/>
    <w:rsid w:val="00DF473A"/>
    <w:rsid w:val="00DF495D"/>
    <w:rsid w:val="00DF4983"/>
    <w:rsid w:val="00DF4D19"/>
    <w:rsid w:val="00DF4F52"/>
    <w:rsid w:val="00DF528A"/>
    <w:rsid w:val="00DF5913"/>
    <w:rsid w:val="00DF5A2D"/>
    <w:rsid w:val="00DF5AF9"/>
    <w:rsid w:val="00DF5D8D"/>
    <w:rsid w:val="00DF5D9B"/>
    <w:rsid w:val="00DF60BB"/>
    <w:rsid w:val="00DF6253"/>
    <w:rsid w:val="00DF6397"/>
    <w:rsid w:val="00DF67B7"/>
    <w:rsid w:val="00DF687F"/>
    <w:rsid w:val="00DF699B"/>
    <w:rsid w:val="00DF6D3F"/>
    <w:rsid w:val="00DF6FB1"/>
    <w:rsid w:val="00DF6FB9"/>
    <w:rsid w:val="00DF7965"/>
    <w:rsid w:val="00DF79C0"/>
    <w:rsid w:val="00DF7D7A"/>
    <w:rsid w:val="00DF7DC4"/>
    <w:rsid w:val="00E00219"/>
    <w:rsid w:val="00E009C4"/>
    <w:rsid w:val="00E009CB"/>
    <w:rsid w:val="00E00CB9"/>
    <w:rsid w:val="00E00D3E"/>
    <w:rsid w:val="00E0126A"/>
    <w:rsid w:val="00E016A9"/>
    <w:rsid w:val="00E01770"/>
    <w:rsid w:val="00E01798"/>
    <w:rsid w:val="00E019E7"/>
    <w:rsid w:val="00E01D51"/>
    <w:rsid w:val="00E0212E"/>
    <w:rsid w:val="00E02730"/>
    <w:rsid w:val="00E02790"/>
    <w:rsid w:val="00E029DE"/>
    <w:rsid w:val="00E02C17"/>
    <w:rsid w:val="00E030E2"/>
    <w:rsid w:val="00E0334E"/>
    <w:rsid w:val="00E03543"/>
    <w:rsid w:val="00E0359B"/>
    <w:rsid w:val="00E03C34"/>
    <w:rsid w:val="00E03E82"/>
    <w:rsid w:val="00E03FBD"/>
    <w:rsid w:val="00E04181"/>
    <w:rsid w:val="00E04303"/>
    <w:rsid w:val="00E04765"/>
    <w:rsid w:val="00E04ABA"/>
    <w:rsid w:val="00E04F2A"/>
    <w:rsid w:val="00E04F81"/>
    <w:rsid w:val="00E050BA"/>
    <w:rsid w:val="00E05291"/>
    <w:rsid w:val="00E0529C"/>
    <w:rsid w:val="00E05305"/>
    <w:rsid w:val="00E05756"/>
    <w:rsid w:val="00E05CB2"/>
    <w:rsid w:val="00E05CF4"/>
    <w:rsid w:val="00E05D4E"/>
    <w:rsid w:val="00E060E4"/>
    <w:rsid w:val="00E06A21"/>
    <w:rsid w:val="00E06A34"/>
    <w:rsid w:val="00E06A4F"/>
    <w:rsid w:val="00E06BC4"/>
    <w:rsid w:val="00E06BFB"/>
    <w:rsid w:val="00E06ED4"/>
    <w:rsid w:val="00E06F07"/>
    <w:rsid w:val="00E0724F"/>
    <w:rsid w:val="00E07266"/>
    <w:rsid w:val="00E073C2"/>
    <w:rsid w:val="00E079AF"/>
    <w:rsid w:val="00E07E0A"/>
    <w:rsid w:val="00E10747"/>
    <w:rsid w:val="00E10D2E"/>
    <w:rsid w:val="00E10EC5"/>
    <w:rsid w:val="00E11308"/>
    <w:rsid w:val="00E11416"/>
    <w:rsid w:val="00E11662"/>
    <w:rsid w:val="00E118B6"/>
    <w:rsid w:val="00E119D6"/>
    <w:rsid w:val="00E11ABD"/>
    <w:rsid w:val="00E11B75"/>
    <w:rsid w:val="00E11CC1"/>
    <w:rsid w:val="00E11CD4"/>
    <w:rsid w:val="00E12277"/>
    <w:rsid w:val="00E126C7"/>
    <w:rsid w:val="00E12775"/>
    <w:rsid w:val="00E12937"/>
    <w:rsid w:val="00E12AF2"/>
    <w:rsid w:val="00E12C47"/>
    <w:rsid w:val="00E12CAB"/>
    <w:rsid w:val="00E12D0E"/>
    <w:rsid w:val="00E12DC8"/>
    <w:rsid w:val="00E12DF5"/>
    <w:rsid w:val="00E13296"/>
    <w:rsid w:val="00E133D3"/>
    <w:rsid w:val="00E139B1"/>
    <w:rsid w:val="00E13A68"/>
    <w:rsid w:val="00E13E43"/>
    <w:rsid w:val="00E141B5"/>
    <w:rsid w:val="00E1421B"/>
    <w:rsid w:val="00E1428B"/>
    <w:rsid w:val="00E14400"/>
    <w:rsid w:val="00E1449E"/>
    <w:rsid w:val="00E14714"/>
    <w:rsid w:val="00E14D8F"/>
    <w:rsid w:val="00E14E35"/>
    <w:rsid w:val="00E151DD"/>
    <w:rsid w:val="00E155CF"/>
    <w:rsid w:val="00E15650"/>
    <w:rsid w:val="00E166D1"/>
    <w:rsid w:val="00E16AFF"/>
    <w:rsid w:val="00E17156"/>
    <w:rsid w:val="00E17465"/>
    <w:rsid w:val="00E17624"/>
    <w:rsid w:val="00E176BF"/>
    <w:rsid w:val="00E177BC"/>
    <w:rsid w:val="00E17984"/>
    <w:rsid w:val="00E202A2"/>
    <w:rsid w:val="00E203DD"/>
    <w:rsid w:val="00E20745"/>
    <w:rsid w:val="00E20899"/>
    <w:rsid w:val="00E20DAB"/>
    <w:rsid w:val="00E20FAC"/>
    <w:rsid w:val="00E212C0"/>
    <w:rsid w:val="00E212E6"/>
    <w:rsid w:val="00E21637"/>
    <w:rsid w:val="00E21D7B"/>
    <w:rsid w:val="00E21E66"/>
    <w:rsid w:val="00E21F80"/>
    <w:rsid w:val="00E224F0"/>
    <w:rsid w:val="00E22529"/>
    <w:rsid w:val="00E227B9"/>
    <w:rsid w:val="00E22D38"/>
    <w:rsid w:val="00E2342F"/>
    <w:rsid w:val="00E2346B"/>
    <w:rsid w:val="00E2352F"/>
    <w:rsid w:val="00E23903"/>
    <w:rsid w:val="00E23AF1"/>
    <w:rsid w:val="00E23B76"/>
    <w:rsid w:val="00E23DA0"/>
    <w:rsid w:val="00E23F09"/>
    <w:rsid w:val="00E244E2"/>
    <w:rsid w:val="00E246D3"/>
    <w:rsid w:val="00E246F1"/>
    <w:rsid w:val="00E24C35"/>
    <w:rsid w:val="00E24CF0"/>
    <w:rsid w:val="00E250C9"/>
    <w:rsid w:val="00E25260"/>
    <w:rsid w:val="00E25271"/>
    <w:rsid w:val="00E254C4"/>
    <w:rsid w:val="00E25927"/>
    <w:rsid w:val="00E25B75"/>
    <w:rsid w:val="00E25F95"/>
    <w:rsid w:val="00E26215"/>
    <w:rsid w:val="00E26714"/>
    <w:rsid w:val="00E26DF9"/>
    <w:rsid w:val="00E273FA"/>
    <w:rsid w:val="00E2757A"/>
    <w:rsid w:val="00E2757E"/>
    <w:rsid w:val="00E27593"/>
    <w:rsid w:val="00E27734"/>
    <w:rsid w:val="00E279E3"/>
    <w:rsid w:val="00E27C1D"/>
    <w:rsid w:val="00E27FF8"/>
    <w:rsid w:val="00E30066"/>
    <w:rsid w:val="00E306DF"/>
    <w:rsid w:val="00E31176"/>
    <w:rsid w:val="00E316D8"/>
    <w:rsid w:val="00E31AA6"/>
    <w:rsid w:val="00E31ABE"/>
    <w:rsid w:val="00E31F77"/>
    <w:rsid w:val="00E320EE"/>
    <w:rsid w:val="00E325CC"/>
    <w:rsid w:val="00E328FB"/>
    <w:rsid w:val="00E32AA2"/>
    <w:rsid w:val="00E32CB7"/>
    <w:rsid w:val="00E32E84"/>
    <w:rsid w:val="00E32F6D"/>
    <w:rsid w:val="00E33189"/>
    <w:rsid w:val="00E332A1"/>
    <w:rsid w:val="00E3331B"/>
    <w:rsid w:val="00E3354E"/>
    <w:rsid w:val="00E3373A"/>
    <w:rsid w:val="00E33E6A"/>
    <w:rsid w:val="00E33EA9"/>
    <w:rsid w:val="00E3410E"/>
    <w:rsid w:val="00E3415B"/>
    <w:rsid w:val="00E343EE"/>
    <w:rsid w:val="00E3443B"/>
    <w:rsid w:val="00E34C3E"/>
    <w:rsid w:val="00E35062"/>
    <w:rsid w:val="00E3514D"/>
    <w:rsid w:val="00E353D2"/>
    <w:rsid w:val="00E35BAD"/>
    <w:rsid w:val="00E35E23"/>
    <w:rsid w:val="00E36130"/>
    <w:rsid w:val="00E362B9"/>
    <w:rsid w:val="00E3662B"/>
    <w:rsid w:val="00E36A25"/>
    <w:rsid w:val="00E36A79"/>
    <w:rsid w:val="00E36ADD"/>
    <w:rsid w:val="00E36C40"/>
    <w:rsid w:val="00E372A0"/>
    <w:rsid w:val="00E372BA"/>
    <w:rsid w:val="00E37337"/>
    <w:rsid w:val="00E37867"/>
    <w:rsid w:val="00E37AD9"/>
    <w:rsid w:val="00E37D35"/>
    <w:rsid w:val="00E4066A"/>
    <w:rsid w:val="00E40750"/>
    <w:rsid w:val="00E407C4"/>
    <w:rsid w:val="00E4099C"/>
    <w:rsid w:val="00E410C6"/>
    <w:rsid w:val="00E41516"/>
    <w:rsid w:val="00E415F2"/>
    <w:rsid w:val="00E41993"/>
    <w:rsid w:val="00E41BB3"/>
    <w:rsid w:val="00E41F35"/>
    <w:rsid w:val="00E42366"/>
    <w:rsid w:val="00E4257E"/>
    <w:rsid w:val="00E42639"/>
    <w:rsid w:val="00E42A54"/>
    <w:rsid w:val="00E42D4B"/>
    <w:rsid w:val="00E42FB3"/>
    <w:rsid w:val="00E43158"/>
    <w:rsid w:val="00E43380"/>
    <w:rsid w:val="00E434E5"/>
    <w:rsid w:val="00E439B3"/>
    <w:rsid w:val="00E43CC1"/>
    <w:rsid w:val="00E43E19"/>
    <w:rsid w:val="00E43E95"/>
    <w:rsid w:val="00E44586"/>
    <w:rsid w:val="00E4487B"/>
    <w:rsid w:val="00E44894"/>
    <w:rsid w:val="00E448A3"/>
    <w:rsid w:val="00E44C18"/>
    <w:rsid w:val="00E44D87"/>
    <w:rsid w:val="00E44F49"/>
    <w:rsid w:val="00E4544D"/>
    <w:rsid w:val="00E45866"/>
    <w:rsid w:val="00E459C4"/>
    <w:rsid w:val="00E45B15"/>
    <w:rsid w:val="00E45DDA"/>
    <w:rsid w:val="00E45FB1"/>
    <w:rsid w:val="00E46067"/>
    <w:rsid w:val="00E46685"/>
    <w:rsid w:val="00E4675C"/>
    <w:rsid w:val="00E468E0"/>
    <w:rsid w:val="00E46BD3"/>
    <w:rsid w:val="00E46D3A"/>
    <w:rsid w:val="00E46EFB"/>
    <w:rsid w:val="00E470F3"/>
    <w:rsid w:val="00E4716B"/>
    <w:rsid w:val="00E47498"/>
    <w:rsid w:val="00E476B7"/>
    <w:rsid w:val="00E4785D"/>
    <w:rsid w:val="00E47BA0"/>
    <w:rsid w:val="00E47BE2"/>
    <w:rsid w:val="00E47C1E"/>
    <w:rsid w:val="00E50640"/>
    <w:rsid w:val="00E506F4"/>
    <w:rsid w:val="00E50886"/>
    <w:rsid w:val="00E50E8F"/>
    <w:rsid w:val="00E514E3"/>
    <w:rsid w:val="00E51976"/>
    <w:rsid w:val="00E519F6"/>
    <w:rsid w:val="00E51E3B"/>
    <w:rsid w:val="00E51E7F"/>
    <w:rsid w:val="00E52061"/>
    <w:rsid w:val="00E52080"/>
    <w:rsid w:val="00E5234E"/>
    <w:rsid w:val="00E52AE5"/>
    <w:rsid w:val="00E53742"/>
    <w:rsid w:val="00E53BCD"/>
    <w:rsid w:val="00E53F31"/>
    <w:rsid w:val="00E53FE5"/>
    <w:rsid w:val="00E5402D"/>
    <w:rsid w:val="00E5409A"/>
    <w:rsid w:val="00E542C7"/>
    <w:rsid w:val="00E5457C"/>
    <w:rsid w:val="00E54784"/>
    <w:rsid w:val="00E547FB"/>
    <w:rsid w:val="00E54964"/>
    <w:rsid w:val="00E54D85"/>
    <w:rsid w:val="00E551D6"/>
    <w:rsid w:val="00E55B7C"/>
    <w:rsid w:val="00E55C4A"/>
    <w:rsid w:val="00E55CC4"/>
    <w:rsid w:val="00E55DE6"/>
    <w:rsid w:val="00E56235"/>
    <w:rsid w:val="00E5671B"/>
    <w:rsid w:val="00E56828"/>
    <w:rsid w:val="00E5693B"/>
    <w:rsid w:val="00E56B40"/>
    <w:rsid w:val="00E56C22"/>
    <w:rsid w:val="00E56FBF"/>
    <w:rsid w:val="00E574EC"/>
    <w:rsid w:val="00E57511"/>
    <w:rsid w:val="00E57525"/>
    <w:rsid w:val="00E578E2"/>
    <w:rsid w:val="00E57AE5"/>
    <w:rsid w:val="00E60092"/>
    <w:rsid w:val="00E60148"/>
    <w:rsid w:val="00E605FF"/>
    <w:rsid w:val="00E60728"/>
    <w:rsid w:val="00E6073C"/>
    <w:rsid w:val="00E6099A"/>
    <w:rsid w:val="00E60DCC"/>
    <w:rsid w:val="00E60E23"/>
    <w:rsid w:val="00E61031"/>
    <w:rsid w:val="00E610F3"/>
    <w:rsid w:val="00E61A22"/>
    <w:rsid w:val="00E61AEC"/>
    <w:rsid w:val="00E61D0D"/>
    <w:rsid w:val="00E61D6F"/>
    <w:rsid w:val="00E622D6"/>
    <w:rsid w:val="00E6237D"/>
    <w:rsid w:val="00E62470"/>
    <w:rsid w:val="00E62624"/>
    <w:rsid w:val="00E62B69"/>
    <w:rsid w:val="00E62BF2"/>
    <w:rsid w:val="00E62CDA"/>
    <w:rsid w:val="00E6325E"/>
    <w:rsid w:val="00E6344B"/>
    <w:rsid w:val="00E63B28"/>
    <w:rsid w:val="00E63D14"/>
    <w:rsid w:val="00E63DCC"/>
    <w:rsid w:val="00E6475D"/>
    <w:rsid w:val="00E64979"/>
    <w:rsid w:val="00E64A11"/>
    <w:rsid w:val="00E64DCE"/>
    <w:rsid w:val="00E64FDE"/>
    <w:rsid w:val="00E650A7"/>
    <w:rsid w:val="00E65380"/>
    <w:rsid w:val="00E657F4"/>
    <w:rsid w:val="00E65977"/>
    <w:rsid w:val="00E65CF3"/>
    <w:rsid w:val="00E65D1E"/>
    <w:rsid w:val="00E66572"/>
    <w:rsid w:val="00E6659A"/>
    <w:rsid w:val="00E667B2"/>
    <w:rsid w:val="00E66828"/>
    <w:rsid w:val="00E668E1"/>
    <w:rsid w:val="00E66A4B"/>
    <w:rsid w:val="00E66DDE"/>
    <w:rsid w:val="00E671AC"/>
    <w:rsid w:val="00E671DC"/>
    <w:rsid w:val="00E67379"/>
    <w:rsid w:val="00E6770A"/>
    <w:rsid w:val="00E7013C"/>
    <w:rsid w:val="00E702B4"/>
    <w:rsid w:val="00E70719"/>
    <w:rsid w:val="00E7082F"/>
    <w:rsid w:val="00E70C87"/>
    <w:rsid w:val="00E71658"/>
    <w:rsid w:val="00E71692"/>
    <w:rsid w:val="00E719C0"/>
    <w:rsid w:val="00E71F40"/>
    <w:rsid w:val="00E72752"/>
    <w:rsid w:val="00E729F8"/>
    <w:rsid w:val="00E72AE2"/>
    <w:rsid w:val="00E72B34"/>
    <w:rsid w:val="00E72F42"/>
    <w:rsid w:val="00E73663"/>
    <w:rsid w:val="00E73713"/>
    <w:rsid w:val="00E73A15"/>
    <w:rsid w:val="00E73A3A"/>
    <w:rsid w:val="00E73FA3"/>
    <w:rsid w:val="00E7400C"/>
    <w:rsid w:val="00E74644"/>
    <w:rsid w:val="00E749E2"/>
    <w:rsid w:val="00E74AA9"/>
    <w:rsid w:val="00E75172"/>
    <w:rsid w:val="00E75213"/>
    <w:rsid w:val="00E754D7"/>
    <w:rsid w:val="00E75503"/>
    <w:rsid w:val="00E75568"/>
    <w:rsid w:val="00E75952"/>
    <w:rsid w:val="00E75955"/>
    <w:rsid w:val="00E75D07"/>
    <w:rsid w:val="00E763B1"/>
    <w:rsid w:val="00E7644C"/>
    <w:rsid w:val="00E76492"/>
    <w:rsid w:val="00E76856"/>
    <w:rsid w:val="00E7685C"/>
    <w:rsid w:val="00E76B88"/>
    <w:rsid w:val="00E7705E"/>
    <w:rsid w:val="00E77405"/>
    <w:rsid w:val="00E77B37"/>
    <w:rsid w:val="00E800BA"/>
    <w:rsid w:val="00E801FE"/>
    <w:rsid w:val="00E802E9"/>
    <w:rsid w:val="00E80B65"/>
    <w:rsid w:val="00E80E5F"/>
    <w:rsid w:val="00E80E7C"/>
    <w:rsid w:val="00E80E80"/>
    <w:rsid w:val="00E8122B"/>
    <w:rsid w:val="00E81503"/>
    <w:rsid w:val="00E815C6"/>
    <w:rsid w:val="00E8194D"/>
    <w:rsid w:val="00E81A3C"/>
    <w:rsid w:val="00E81B38"/>
    <w:rsid w:val="00E81B8F"/>
    <w:rsid w:val="00E81E5A"/>
    <w:rsid w:val="00E8204D"/>
    <w:rsid w:val="00E82473"/>
    <w:rsid w:val="00E82569"/>
    <w:rsid w:val="00E8280C"/>
    <w:rsid w:val="00E82A2A"/>
    <w:rsid w:val="00E82A7F"/>
    <w:rsid w:val="00E82B7D"/>
    <w:rsid w:val="00E8325B"/>
    <w:rsid w:val="00E8384D"/>
    <w:rsid w:val="00E838E0"/>
    <w:rsid w:val="00E83AD7"/>
    <w:rsid w:val="00E83BA6"/>
    <w:rsid w:val="00E83E79"/>
    <w:rsid w:val="00E8441E"/>
    <w:rsid w:val="00E8453D"/>
    <w:rsid w:val="00E84D14"/>
    <w:rsid w:val="00E850DB"/>
    <w:rsid w:val="00E85191"/>
    <w:rsid w:val="00E851C8"/>
    <w:rsid w:val="00E85762"/>
    <w:rsid w:val="00E8627F"/>
    <w:rsid w:val="00E863CD"/>
    <w:rsid w:val="00E86A19"/>
    <w:rsid w:val="00E86BA3"/>
    <w:rsid w:val="00E86C52"/>
    <w:rsid w:val="00E87035"/>
    <w:rsid w:val="00E87299"/>
    <w:rsid w:val="00E8738B"/>
    <w:rsid w:val="00E8742D"/>
    <w:rsid w:val="00E874B0"/>
    <w:rsid w:val="00E8762B"/>
    <w:rsid w:val="00E87881"/>
    <w:rsid w:val="00E879DA"/>
    <w:rsid w:val="00E9012F"/>
    <w:rsid w:val="00E90321"/>
    <w:rsid w:val="00E904B1"/>
    <w:rsid w:val="00E90708"/>
    <w:rsid w:val="00E90BAB"/>
    <w:rsid w:val="00E90F55"/>
    <w:rsid w:val="00E91F3D"/>
    <w:rsid w:val="00E91F7B"/>
    <w:rsid w:val="00E922CD"/>
    <w:rsid w:val="00E92496"/>
    <w:rsid w:val="00E9257C"/>
    <w:rsid w:val="00E92620"/>
    <w:rsid w:val="00E92676"/>
    <w:rsid w:val="00E92838"/>
    <w:rsid w:val="00E9319C"/>
    <w:rsid w:val="00E93603"/>
    <w:rsid w:val="00E9378E"/>
    <w:rsid w:val="00E93909"/>
    <w:rsid w:val="00E94060"/>
    <w:rsid w:val="00E94890"/>
    <w:rsid w:val="00E94C4E"/>
    <w:rsid w:val="00E94CE2"/>
    <w:rsid w:val="00E955A2"/>
    <w:rsid w:val="00E955AC"/>
    <w:rsid w:val="00E95B51"/>
    <w:rsid w:val="00E95CC2"/>
    <w:rsid w:val="00E960B5"/>
    <w:rsid w:val="00E9618F"/>
    <w:rsid w:val="00E961D5"/>
    <w:rsid w:val="00E9672A"/>
    <w:rsid w:val="00E96F9D"/>
    <w:rsid w:val="00E971DF"/>
    <w:rsid w:val="00E978D5"/>
    <w:rsid w:val="00E979B5"/>
    <w:rsid w:val="00EA0019"/>
    <w:rsid w:val="00EA021C"/>
    <w:rsid w:val="00EA0319"/>
    <w:rsid w:val="00EA0524"/>
    <w:rsid w:val="00EA053B"/>
    <w:rsid w:val="00EA0725"/>
    <w:rsid w:val="00EA116F"/>
    <w:rsid w:val="00EA1366"/>
    <w:rsid w:val="00EA13B0"/>
    <w:rsid w:val="00EA15D9"/>
    <w:rsid w:val="00EA1891"/>
    <w:rsid w:val="00EA1ADF"/>
    <w:rsid w:val="00EA1FF3"/>
    <w:rsid w:val="00EA2192"/>
    <w:rsid w:val="00EA21AF"/>
    <w:rsid w:val="00EA21E0"/>
    <w:rsid w:val="00EA2529"/>
    <w:rsid w:val="00EA2678"/>
    <w:rsid w:val="00EA2FDD"/>
    <w:rsid w:val="00EA329B"/>
    <w:rsid w:val="00EA38D9"/>
    <w:rsid w:val="00EA3BAE"/>
    <w:rsid w:val="00EA3C5C"/>
    <w:rsid w:val="00EA4087"/>
    <w:rsid w:val="00EA42E9"/>
    <w:rsid w:val="00EA47D7"/>
    <w:rsid w:val="00EA4AFC"/>
    <w:rsid w:val="00EA51BF"/>
    <w:rsid w:val="00EA5448"/>
    <w:rsid w:val="00EA5DFA"/>
    <w:rsid w:val="00EA621E"/>
    <w:rsid w:val="00EA63FF"/>
    <w:rsid w:val="00EA66BB"/>
    <w:rsid w:val="00EA717C"/>
    <w:rsid w:val="00EA7286"/>
    <w:rsid w:val="00EA76AA"/>
    <w:rsid w:val="00EA786E"/>
    <w:rsid w:val="00EA7FA3"/>
    <w:rsid w:val="00EB0050"/>
    <w:rsid w:val="00EB0A4B"/>
    <w:rsid w:val="00EB101B"/>
    <w:rsid w:val="00EB149F"/>
    <w:rsid w:val="00EB15A2"/>
    <w:rsid w:val="00EB1600"/>
    <w:rsid w:val="00EB174A"/>
    <w:rsid w:val="00EB1929"/>
    <w:rsid w:val="00EB1A45"/>
    <w:rsid w:val="00EB1C36"/>
    <w:rsid w:val="00EB1CD6"/>
    <w:rsid w:val="00EB1DED"/>
    <w:rsid w:val="00EB1E2D"/>
    <w:rsid w:val="00EB2037"/>
    <w:rsid w:val="00EB2099"/>
    <w:rsid w:val="00EB2835"/>
    <w:rsid w:val="00EB2A3A"/>
    <w:rsid w:val="00EB2B37"/>
    <w:rsid w:val="00EB317C"/>
    <w:rsid w:val="00EB328E"/>
    <w:rsid w:val="00EB3584"/>
    <w:rsid w:val="00EB35D9"/>
    <w:rsid w:val="00EB3E63"/>
    <w:rsid w:val="00EB41AC"/>
    <w:rsid w:val="00EB45C7"/>
    <w:rsid w:val="00EB46A3"/>
    <w:rsid w:val="00EB46D9"/>
    <w:rsid w:val="00EB49B9"/>
    <w:rsid w:val="00EB4DDB"/>
    <w:rsid w:val="00EB54DD"/>
    <w:rsid w:val="00EB55A7"/>
    <w:rsid w:val="00EB5684"/>
    <w:rsid w:val="00EB56C6"/>
    <w:rsid w:val="00EB591A"/>
    <w:rsid w:val="00EB5A31"/>
    <w:rsid w:val="00EB604D"/>
    <w:rsid w:val="00EB6074"/>
    <w:rsid w:val="00EB6091"/>
    <w:rsid w:val="00EB611E"/>
    <w:rsid w:val="00EB6242"/>
    <w:rsid w:val="00EB6A6D"/>
    <w:rsid w:val="00EB6B41"/>
    <w:rsid w:val="00EB753F"/>
    <w:rsid w:val="00EB7629"/>
    <w:rsid w:val="00EB7727"/>
    <w:rsid w:val="00EB7BB3"/>
    <w:rsid w:val="00EB7BC7"/>
    <w:rsid w:val="00EB7DC7"/>
    <w:rsid w:val="00EB7FF7"/>
    <w:rsid w:val="00EC0016"/>
    <w:rsid w:val="00EC00C7"/>
    <w:rsid w:val="00EC026C"/>
    <w:rsid w:val="00EC04AE"/>
    <w:rsid w:val="00EC0614"/>
    <w:rsid w:val="00EC080D"/>
    <w:rsid w:val="00EC08AA"/>
    <w:rsid w:val="00EC092D"/>
    <w:rsid w:val="00EC0A07"/>
    <w:rsid w:val="00EC0B4F"/>
    <w:rsid w:val="00EC1473"/>
    <w:rsid w:val="00EC21C6"/>
    <w:rsid w:val="00EC22DC"/>
    <w:rsid w:val="00EC23C6"/>
    <w:rsid w:val="00EC245D"/>
    <w:rsid w:val="00EC26AC"/>
    <w:rsid w:val="00EC2C49"/>
    <w:rsid w:val="00EC30FC"/>
    <w:rsid w:val="00EC353D"/>
    <w:rsid w:val="00EC3814"/>
    <w:rsid w:val="00EC38C9"/>
    <w:rsid w:val="00EC3C72"/>
    <w:rsid w:val="00EC3CF8"/>
    <w:rsid w:val="00EC3E79"/>
    <w:rsid w:val="00EC40FD"/>
    <w:rsid w:val="00EC439D"/>
    <w:rsid w:val="00EC4455"/>
    <w:rsid w:val="00EC44B8"/>
    <w:rsid w:val="00EC488D"/>
    <w:rsid w:val="00EC49A0"/>
    <w:rsid w:val="00EC4D6D"/>
    <w:rsid w:val="00EC522D"/>
    <w:rsid w:val="00EC52BE"/>
    <w:rsid w:val="00EC5374"/>
    <w:rsid w:val="00EC53B5"/>
    <w:rsid w:val="00EC5458"/>
    <w:rsid w:val="00EC5761"/>
    <w:rsid w:val="00EC591E"/>
    <w:rsid w:val="00EC594C"/>
    <w:rsid w:val="00EC5BF9"/>
    <w:rsid w:val="00EC6106"/>
    <w:rsid w:val="00EC63D2"/>
    <w:rsid w:val="00EC6A1C"/>
    <w:rsid w:val="00EC6A95"/>
    <w:rsid w:val="00EC6CDA"/>
    <w:rsid w:val="00EC6F83"/>
    <w:rsid w:val="00EC725C"/>
    <w:rsid w:val="00EC73D0"/>
    <w:rsid w:val="00EC76B6"/>
    <w:rsid w:val="00EC7B57"/>
    <w:rsid w:val="00ED0072"/>
    <w:rsid w:val="00ED0107"/>
    <w:rsid w:val="00ED02BE"/>
    <w:rsid w:val="00ED05B4"/>
    <w:rsid w:val="00ED081A"/>
    <w:rsid w:val="00ED083C"/>
    <w:rsid w:val="00ED087A"/>
    <w:rsid w:val="00ED1B6D"/>
    <w:rsid w:val="00ED1B73"/>
    <w:rsid w:val="00ED2172"/>
    <w:rsid w:val="00ED24A2"/>
    <w:rsid w:val="00ED26C5"/>
    <w:rsid w:val="00ED26E7"/>
    <w:rsid w:val="00ED27F9"/>
    <w:rsid w:val="00ED2BE8"/>
    <w:rsid w:val="00ED2D94"/>
    <w:rsid w:val="00ED2E6E"/>
    <w:rsid w:val="00ED2ED0"/>
    <w:rsid w:val="00ED2EEE"/>
    <w:rsid w:val="00ED3001"/>
    <w:rsid w:val="00ED326C"/>
    <w:rsid w:val="00ED36DC"/>
    <w:rsid w:val="00ED3A8E"/>
    <w:rsid w:val="00ED3C14"/>
    <w:rsid w:val="00ED462E"/>
    <w:rsid w:val="00ED4958"/>
    <w:rsid w:val="00ED5088"/>
    <w:rsid w:val="00ED513F"/>
    <w:rsid w:val="00ED5782"/>
    <w:rsid w:val="00ED5928"/>
    <w:rsid w:val="00ED5A8C"/>
    <w:rsid w:val="00ED5C42"/>
    <w:rsid w:val="00ED5C65"/>
    <w:rsid w:val="00ED5F50"/>
    <w:rsid w:val="00ED5FD7"/>
    <w:rsid w:val="00ED6179"/>
    <w:rsid w:val="00ED6B15"/>
    <w:rsid w:val="00ED6CBF"/>
    <w:rsid w:val="00ED6D72"/>
    <w:rsid w:val="00ED7333"/>
    <w:rsid w:val="00ED7361"/>
    <w:rsid w:val="00ED73BA"/>
    <w:rsid w:val="00ED76B2"/>
    <w:rsid w:val="00ED785A"/>
    <w:rsid w:val="00ED7B8A"/>
    <w:rsid w:val="00ED7C1F"/>
    <w:rsid w:val="00ED7CAA"/>
    <w:rsid w:val="00ED7FCC"/>
    <w:rsid w:val="00EE07DE"/>
    <w:rsid w:val="00EE082F"/>
    <w:rsid w:val="00EE0FF3"/>
    <w:rsid w:val="00EE1057"/>
    <w:rsid w:val="00EE146B"/>
    <w:rsid w:val="00EE186A"/>
    <w:rsid w:val="00EE18E5"/>
    <w:rsid w:val="00EE1A12"/>
    <w:rsid w:val="00EE1B6C"/>
    <w:rsid w:val="00EE1C8A"/>
    <w:rsid w:val="00EE246C"/>
    <w:rsid w:val="00EE2666"/>
    <w:rsid w:val="00EE2D12"/>
    <w:rsid w:val="00EE2D37"/>
    <w:rsid w:val="00EE3610"/>
    <w:rsid w:val="00EE3DC2"/>
    <w:rsid w:val="00EE434F"/>
    <w:rsid w:val="00EE4439"/>
    <w:rsid w:val="00EE46F2"/>
    <w:rsid w:val="00EE4782"/>
    <w:rsid w:val="00EE47B3"/>
    <w:rsid w:val="00EE48D0"/>
    <w:rsid w:val="00EE4A70"/>
    <w:rsid w:val="00EE5002"/>
    <w:rsid w:val="00EE521D"/>
    <w:rsid w:val="00EE5276"/>
    <w:rsid w:val="00EE52EA"/>
    <w:rsid w:val="00EE59CC"/>
    <w:rsid w:val="00EE5AD0"/>
    <w:rsid w:val="00EE6632"/>
    <w:rsid w:val="00EE7111"/>
    <w:rsid w:val="00EE727F"/>
    <w:rsid w:val="00EE738D"/>
    <w:rsid w:val="00EE79AE"/>
    <w:rsid w:val="00EE7ADA"/>
    <w:rsid w:val="00EE7DEE"/>
    <w:rsid w:val="00EF0174"/>
    <w:rsid w:val="00EF0255"/>
    <w:rsid w:val="00EF025C"/>
    <w:rsid w:val="00EF05F4"/>
    <w:rsid w:val="00EF0839"/>
    <w:rsid w:val="00EF0EBE"/>
    <w:rsid w:val="00EF0FF7"/>
    <w:rsid w:val="00EF1174"/>
    <w:rsid w:val="00EF1943"/>
    <w:rsid w:val="00EF19A1"/>
    <w:rsid w:val="00EF1B03"/>
    <w:rsid w:val="00EF1D1B"/>
    <w:rsid w:val="00EF1EB7"/>
    <w:rsid w:val="00EF1EE8"/>
    <w:rsid w:val="00EF23D8"/>
    <w:rsid w:val="00EF2922"/>
    <w:rsid w:val="00EF2BF5"/>
    <w:rsid w:val="00EF2DB4"/>
    <w:rsid w:val="00EF2DC6"/>
    <w:rsid w:val="00EF2E32"/>
    <w:rsid w:val="00EF2E41"/>
    <w:rsid w:val="00EF2F64"/>
    <w:rsid w:val="00EF305C"/>
    <w:rsid w:val="00EF3141"/>
    <w:rsid w:val="00EF3A14"/>
    <w:rsid w:val="00EF3AA0"/>
    <w:rsid w:val="00EF3AE3"/>
    <w:rsid w:val="00EF3BCC"/>
    <w:rsid w:val="00EF4214"/>
    <w:rsid w:val="00EF462A"/>
    <w:rsid w:val="00EF48A4"/>
    <w:rsid w:val="00EF4E32"/>
    <w:rsid w:val="00EF5016"/>
    <w:rsid w:val="00EF502C"/>
    <w:rsid w:val="00EF524E"/>
    <w:rsid w:val="00EF5B95"/>
    <w:rsid w:val="00EF5C18"/>
    <w:rsid w:val="00EF6008"/>
    <w:rsid w:val="00EF6177"/>
    <w:rsid w:val="00EF617E"/>
    <w:rsid w:val="00EF635B"/>
    <w:rsid w:val="00EF6780"/>
    <w:rsid w:val="00EF6B04"/>
    <w:rsid w:val="00EF6E96"/>
    <w:rsid w:val="00EF746A"/>
    <w:rsid w:val="00EF7543"/>
    <w:rsid w:val="00EF7687"/>
    <w:rsid w:val="00EF77DE"/>
    <w:rsid w:val="00EF7932"/>
    <w:rsid w:val="00EF7B5C"/>
    <w:rsid w:val="00EF7E6E"/>
    <w:rsid w:val="00F009CF"/>
    <w:rsid w:val="00F00C2C"/>
    <w:rsid w:val="00F00E13"/>
    <w:rsid w:val="00F01035"/>
    <w:rsid w:val="00F012D0"/>
    <w:rsid w:val="00F016B5"/>
    <w:rsid w:val="00F016E3"/>
    <w:rsid w:val="00F01AE8"/>
    <w:rsid w:val="00F01C62"/>
    <w:rsid w:val="00F023DE"/>
    <w:rsid w:val="00F02887"/>
    <w:rsid w:val="00F02CF0"/>
    <w:rsid w:val="00F02ECC"/>
    <w:rsid w:val="00F03016"/>
    <w:rsid w:val="00F032E2"/>
    <w:rsid w:val="00F03402"/>
    <w:rsid w:val="00F03BFE"/>
    <w:rsid w:val="00F03FA9"/>
    <w:rsid w:val="00F0431E"/>
    <w:rsid w:val="00F04527"/>
    <w:rsid w:val="00F04852"/>
    <w:rsid w:val="00F048AE"/>
    <w:rsid w:val="00F04971"/>
    <w:rsid w:val="00F04AD4"/>
    <w:rsid w:val="00F04DD1"/>
    <w:rsid w:val="00F04EF2"/>
    <w:rsid w:val="00F05003"/>
    <w:rsid w:val="00F0521A"/>
    <w:rsid w:val="00F05759"/>
    <w:rsid w:val="00F05799"/>
    <w:rsid w:val="00F062E4"/>
    <w:rsid w:val="00F0680F"/>
    <w:rsid w:val="00F06C70"/>
    <w:rsid w:val="00F07605"/>
    <w:rsid w:val="00F076D0"/>
    <w:rsid w:val="00F077E5"/>
    <w:rsid w:val="00F07978"/>
    <w:rsid w:val="00F079AC"/>
    <w:rsid w:val="00F07A38"/>
    <w:rsid w:val="00F07B51"/>
    <w:rsid w:val="00F07FCB"/>
    <w:rsid w:val="00F10111"/>
    <w:rsid w:val="00F10440"/>
    <w:rsid w:val="00F10EE5"/>
    <w:rsid w:val="00F1160C"/>
    <w:rsid w:val="00F1176D"/>
    <w:rsid w:val="00F117C2"/>
    <w:rsid w:val="00F11A11"/>
    <w:rsid w:val="00F1218E"/>
    <w:rsid w:val="00F12223"/>
    <w:rsid w:val="00F123A7"/>
    <w:rsid w:val="00F123C2"/>
    <w:rsid w:val="00F123D7"/>
    <w:rsid w:val="00F1243E"/>
    <w:rsid w:val="00F12536"/>
    <w:rsid w:val="00F12CCF"/>
    <w:rsid w:val="00F13704"/>
    <w:rsid w:val="00F13794"/>
    <w:rsid w:val="00F13883"/>
    <w:rsid w:val="00F13C0C"/>
    <w:rsid w:val="00F13D31"/>
    <w:rsid w:val="00F13DC6"/>
    <w:rsid w:val="00F13F82"/>
    <w:rsid w:val="00F148AC"/>
    <w:rsid w:val="00F14B21"/>
    <w:rsid w:val="00F14EA6"/>
    <w:rsid w:val="00F14ED1"/>
    <w:rsid w:val="00F14F09"/>
    <w:rsid w:val="00F152B9"/>
    <w:rsid w:val="00F153DC"/>
    <w:rsid w:val="00F15D39"/>
    <w:rsid w:val="00F15E36"/>
    <w:rsid w:val="00F15E5B"/>
    <w:rsid w:val="00F161C4"/>
    <w:rsid w:val="00F16871"/>
    <w:rsid w:val="00F168F2"/>
    <w:rsid w:val="00F169A9"/>
    <w:rsid w:val="00F16CD5"/>
    <w:rsid w:val="00F17081"/>
    <w:rsid w:val="00F170B1"/>
    <w:rsid w:val="00F17847"/>
    <w:rsid w:val="00F17B59"/>
    <w:rsid w:val="00F17CF4"/>
    <w:rsid w:val="00F20E5C"/>
    <w:rsid w:val="00F21656"/>
    <w:rsid w:val="00F217DA"/>
    <w:rsid w:val="00F21E40"/>
    <w:rsid w:val="00F22302"/>
    <w:rsid w:val="00F22519"/>
    <w:rsid w:val="00F22FAF"/>
    <w:rsid w:val="00F2300E"/>
    <w:rsid w:val="00F232FB"/>
    <w:rsid w:val="00F2335D"/>
    <w:rsid w:val="00F23966"/>
    <w:rsid w:val="00F240E3"/>
    <w:rsid w:val="00F243E5"/>
    <w:rsid w:val="00F244FA"/>
    <w:rsid w:val="00F24987"/>
    <w:rsid w:val="00F24D07"/>
    <w:rsid w:val="00F24D2B"/>
    <w:rsid w:val="00F24E3C"/>
    <w:rsid w:val="00F24F9F"/>
    <w:rsid w:val="00F25155"/>
    <w:rsid w:val="00F25171"/>
    <w:rsid w:val="00F254E2"/>
    <w:rsid w:val="00F255B0"/>
    <w:rsid w:val="00F255FB"/>
    <w:rsid w:val="00F256FF"/>
    <w:rsid w:val="00F263F0"/>
    <w:rsid w:val="00F26A6F"/>
    <w:rsid w:val="00F26B88"/>
    <w:rsid w:val="00F26D59"/>
    <w:rsid w:val="00F26D6B"/>
    <w:rsid w:val="00F26E30"/>
    <w:rsid w:val="00F26E98"/>
    <w:rsid w:val="00F271FD"/>
    <w:rsid w:val="00F272B6"/>
    <w:rsid w:val="00F301AE"/>
    <w:rsid w:val="00F30484"/>
    <w:rsid w:val="00F30698"/>
    <w:rsid w:val="00F30A64"/>
    <w:rsid w:val="00F30E7B"/>
    <w:rsid w:val="00F30F78"/>
    <w:rsid w:val="00F31004"/>
    <w:rsid w:val="00F31664"/>
    <w:rsid w:val="00F31A27"/>
    <w:rsid w:val="00F31A87"/>
    <w:rsid w:val="00F31DCC"/>
    <w:rsid w:val="00F32103"/>
    <w:rsid w:val="00F3235C"/>
    <w:rsid w:val="00F32548"/>
    <w:rsid w:val="00F333CF"/>
    <w:rsid w:val="00F33513"/>
    <w:rsid w:val="00F33579"/>
    <w:rsid w:val="00F33782"/>
    <w:rsid w:val="00F33891"/>
    <w:rsid w:val="00F33A53"/>
    <w:rsid w:val="00F33AAA"/>
    <w:rsid w:val="00F33B64"/>
    <w:rsid w:val="00F33B79"/>
    <w:rsid w:val="00F33DA5"/>
    <w:rsid w:val="00F342B7"/>
    <w:rsid w:val="00F345FD"/>
    <w:rsid w:val="00F348E3"/>
    <w:rsid w:val="00F34C7C"/>
    <w:rsid w:val="00F34DAE"/>
    <w:rsid w:val="00F34F99"/>
    <w:rsid w:val="00F3573D"/>
    <w:rsid w:val="00F3583B"/>
    <w:rsid w:val="00F359B0"/>
    <w:rsid w:val="00F359F7"/>
    <w:rsid w:val="00F35A56"/>
    <w:rsid w:val="00F35B3B"/>
    <w:rsid w:val="00F35BCC"/>
    <w:rsid w:val="00F35D6B"/>
    <w:rsid w:val="00F35D7C"/>
    <w:rsid w:val="00F36221"/>
    <w:rsid w:val="00F3625D"/>
    <w:rsid w:val="00F36264"/>
    <w:rsid w:val="00F36329"/>
    <w:rsid w:val="00F363B9"/>
    <w:rsid w:val="00F3676B"/>
    <w:rsid w:val="00F36781"/>
    <w:rsid w:val="00F36BC8"/>
    <w:rsid w:val="00F36C81"/>
    <w:rsid w:val="00F37129"/>
    <w:rsid w:val="00F371A2"/>
    <w:rsid w:val="00F37733"/>
    <w:rsid w:val="00F37892"/>
    <w:rsid w:val="00F378E7"/>
    <w:rsid w:val="00F37A2A"/>
    <w:rsid w:val="00F37BFA"/>
    <w:rsid w:val="00F37DE0"/>
    <w:rsid w:val="00F4029C"/>
    <w:rsid w:val="00F40616"/>
    <w:rsid w:val="00F408A1"/>
    <w:rsid w:val="00F40B59"/>
    <w:rsid w:val="00F40BFE"/>
    <w:rsid w:val="00F40F68"/>
    <w:rsid w:val="00F41158"/>
    <w:rsid w:val="00F41513"/>
    <w:rsid w:val="00F41848"/>
    <w:rsid w:val="00F41AE7"/>
    <w:rsid w:val="00F41AED"/>
    <w:rsid w:val="00F41BD5"/>
    <w:rsid w:val="00F41F72"/>
    <w:rsid w:val="00F4209E"/>
    <w:rsid w:val="00F420A6"/>
    <w:rsid w:val="00F42356"/>
    <w:rsid w:val="00F4237B"/>
    <w:rsid w:val="00F42509"/>
    <w:rsid w:val="00F426DF"/>
    <w:rsid w:val="00F436D3"/>
    <w:rsid w:val="00F43997"/>
    <w:rsid w:val="00F43A1E"/>
    <w:rsid w:val="00F43BA5"/>
    <w:rsid w:val="00F4462D"/>
    <w:rsid w:val="00F446DA"/>
    <w:rsid w:val="00F4485E"/>
    <w:rsid w:val="00F4517D"/>
    <w:rsid w:val="00F452C6"/>
    <w:rsid w:val="00F45C13"/>
    <w:rsid w:val="00F45C2B"/>
    <w:rsid w:val="00F461E1"/>
    <w:rsid w:val="00F462E1"/>
    <w:rsid w:val="00F462EF"/>
    <w:rsid w:val="00F46454"/>
    <w:rsid w:val="00F465AB"/>
    <w:rsid w:val="00F46764"/>
    <w:rsid w:val="00F469D4"/>
    <w:rsid w:val="00F47299"/>
    <w:rsid w:val="00F472E2"/>
    <w:rsid w:val="00F47324"/>
    <w:rsid w:val="00F478B7"/>
    <w:rsid w:val="00F47A38"/>
    <w:rsid w:val="00F47B4C"/>
    <w:rsid w:val="00F47CC5"/>
    <w:rsid w:val="00F47CC6"/>
    <w:rsid w:val="00F50084"/>
    <w:rsid w:val="00F502B2"/>
    <w:rsid w:val="00F505F4"/>
    <w:rsid w:val="00F50602"/>
    <w:rsid w:val="00F50C21"/>
    <w:rsid w:val="00F50D1F"/>
    <w:rsid w:val="00F50FFC"/>
    <w:rsid w:val="00F51097"/>
    <w:rsid w:val="00F5109E"/>
    <w:rsid w:val="00F515C3"/>
    <w:rsid w:val="00F51FF8"/>
    <w:rsid w:val="00F528AD"/>
    <w:rsid w:val="00F52A91"/>
    <w:rsid w:val="00F52F50"/>
    <w:rsid w:val="00F53AB5"/>
    <w:rsid w:val="00F53D1C"/>
    <w:rsid w:val="00F53E04"/>
    <w:rsid w:val="00F542FE"/>
    <w:rsid w:val="00F5436E"/>
    <w:rsid w:val="00F545C0"/>
    <w:rsid w:val="00F54967"/>
    <w:rsid w:val="00F549BC"/>
    <w:rsid w:val="00F54A26"/>
    <w:rsid w:val="00F54BAD"/>
    <w:rsid w:val="00F54BFB"/>
    <w:rsid w:val="00F55014"/>
    <w:rsid w:val="00F550BA"/>
    <w:rsid w:val="00F553EA"/>
    <w:rsid w:val="00F55550"/>
    <w:rsid w:val="00F555C1"/>
    <w:rsid w:val="00F55772"/>
    <w:rsid w:val="00F55991"/>
    <w:rsid w:val="00F55C0C"/>
    <w:rsid w:val="00F55DED"/>
    <w:rsid w:val="00F560AB"/>
    <w:rsid w:val="00F56135"/>
    <w:rsid w:val="00F5613F"/>
    <w:rsid w:val="00F565B0"/>
    <w:rsid w:val="00F56DB6"/>
    <w:rsid w:val="00F56E60"/>
    <w:rsid w:val="00F571FA"/>
    <w:rsid w:val="00F57230"/>
    <w:rsid w:val="00F5786E"/>
    <w:rsid w:val="00F57ABE"/>
    <w:rsid w:val="00F57C17"/>
    <w:rsid w:val="00F60E7A"/>
    <w:rsid w:val="00F61807"/>
    <w:rsid w:val="00F61BA3"/>
    <w:rsid w:val="00F61D20"/>
    <w:rsid w:val="00F61D75"/>
    <w:rsid w:val="00F625B2"/>
    <w:rsid w:val="00F625F4"/>
    <w:rsid w:val="00F62CF9"/>
    <w:rsid w:val="00F6333B"/>
    <w:rsid w:val="00F63358"/>
    <w:rsid w:val="00F635C1"/>
    <w:rsid w:val="00F636BD"/>
    <w:rsid w:val="00F637DD"/>
    <w:rsid w:val="00F63A5C"/>
    <w:rsid w:val="00F63F4F"/>
    <w:rsid w:val="00F6444D"/>
    <w:rsid w:val="00F6447C"/>
    <w:rsid w:val="00F64E20"/>
    <w:rsid w:val="00F65323"/>
    <w:rsid w:val="00F65757"/>
    <w:rsid w:val="00F65807"/>
    <w:rsid w:val="00F65D23"/>
    <w:rsid w:val="00F65E46"/>
    <w:rsid w:val="00F65FDC"/>
    <w:rsid w:val="00F663B7"/>
    <w:rsid w:val="00F66EA4"/>
    <w:rsid w:val="00F673B1"/>
    <w:rsid w:val="00F67679"/>
    <w:rsid w:val="00F67699"/>
    <w:rsid w:val="00F677A3"/>
    <w:rsid w:val="00F67B17"/>
    <w:rsid w:val="00F67C28"/>
    <w:rsid w:val="00F67CFB"/>
    <w:rsid w:val="00F67DBC"/>
    <w:rsid w:val="00F67FA3"/>
    <w:rsid w:val="00F7002B"/>
    <w:rsid w:val="00F704B7"/>
    <w:rsid w:val="00F7059A"/>
    <w:rsid w:val="00F7080B"/>
    <w:rsid w:val="00F70DE1"/>
    <w:rsid w:val="00F70ECB"/>
    <w:rsid w:val="00F7113C"/>
    <w:rsid w:val="00F71227"/>
    <w:rsid w:val="00F7124C"/>
    <w:rsid w:val="00F71CD6"/>
    <w:rsid w:val="00F720DA"/>
    <w:rsid w:val="00F72851"/>
    <w:rsid w:val="00F72B91"/>
    <w:rsid w:val="00F72B9D"/>
    <w:rsid w:val="00F72E3B"/>
    <w:rsid w:val="00F72E96"/>
    <w:rsid w:val="00F730C1"/>
    <w:rsid w:val="00F73559"/>
    <w:rsid w:val="00F7358C"/>
    <w:rsid w:val="00F73B17"/>
    <w:rsid w:val="00F73B26"/>
    <w:rsid w:val="00F73C94"/>
    <w:rsid w:val="00F740B7"/>
    <w:rsid w:val="00F74322"/>
    <w:rsid w:val="00F74350"/>
    <w:rsid w:val="00F743A8"/>
    <w:rsid w:val="00F7492A"/>
    <w:rsid w:val="00F74A16"/>
    <w:rsid w:val="00F74B99"/>
    <w:rsid w:val="00F75128"/>
    <w:rsid w:val="00F754DF"/>
    <w:rsid w:val="00F75A1A"/>
    <w:rsid w:val="00F75A91"/>
    <w:rsid w:val="00F75E47"/>
    <w:rsid w:val="00F75FF5"/>
    <w:rsid w:val="00F7619D"/>
    <w:rsid w:val="00F76501"/>
    <w:rsid w:val="00F76970"/>
    <w:rsid w:val="00F76A30"/>
    <w:rsid w:val="00F76B15"/>
    <w:rsid w:val="00F76BEC"/>
    <w:rsid w:val="00F76BF1"/>
    <w:rsid w:val="00F76C48"/>
    <w:rsid w:val="00F76DD6"/>
    <w:rsid w:val="00F77036"/>
    <w:rsid w:val="00F77161"/>
    <w:rsid w:val="00F77189"/>
    <w:rsid w:val="00F77257"/>
    <w:rsid w:val="00F77AC9"/>
    <w:rsid w:val="00F77C85"/>
    <w:rsid w:val="00F77CAD"/>
    <w:rsid w:val="00F77E29"/>
    <w:rsid w:val="00F802F7"/>
    <w:rsid w:val="00F80474"/>
    <w:rsid w:val="00F8054A"/>
    <w:rsid w:val="00F80683"/>
    <w:rsid w:val="00F81A33"/>
    <w:rsid w:val="00F81C81"/>
    <w:rsid w:val="00F81D0F"/>
    <w:rsid w:val="00F8201F"/>
    <w:rsid w:val="00F820B6"/>
    <w:rsid w:val="00F820D1"/>
    <w:rsid w:val="00F822C5"/>
    <w:rsid w:val="00F82732"/>
    <w:rsid w:val="00F82A2C"/>
    <w:rsid w:val="00F82ABF"/>
    <w:rsid w:val="00F82BEE"/>
    <w:rsid w:val="00F82C56"/>
    <w:rsid w:val="00F833D0"/>
    <w:rsid w:val="00F83622"/>
    <w:rsid w:val="00F83668"/>
    <w:rsid w:val="00F836F3"/>
    <w:rsid w:val="00F83B59"/>
    <w:rsid w:val="00F83BB6"/>
    <w:rsid w:val="00F83D0B"/>
    <w:rsid w:val="00F83E07"/>
    <w:rsid w:val="00F83F41"/>
    <w:rsid w:val="00F841B5"/>
    <w:rsid w:val="00F842A1"/>
    <w:rsid w:val="00F843E3"/>
    <w:rsid w:val="00F84549"/>
    <w:rsid w:val="00F84866"/>
    <w:rsid w:val="00F84B6D"/>
    <w:rsid w:val="00F84F9F"/>
    <w:rsid w:val="00F85067"/>
    <w:rsid w:val="00F851EF"/>
    <w:rsid w:val="00F85579"/>
    <w:rsid w:val="00F85DA4"/>
    <w:rsid w:val="00F85DC1"/>
    <w:rsid w:val="00F8638D"/>
    <w:rsid w:val="00F86448"/>
    <w:rsid w:val="00F866B6"/>
    <w:rsid w:val="00F868BB"/>
    <w:rsid w:val="00F87009"/>
    <w:rsid w:val="00F87088"/>
    <w:rsid w:val="00F874AD"/>
    <w:rsid w:val="00F87C83"/>
    <w:rsid w:val="00F9042C"/>
    <w:rsid w:val="00F90521"/>
    <w:rsid w:val="00F9089C"/>
    <w:rsid w:val="00F908F2"/>
    <w:rsid w:val="00F910A2"/>
    <w:rsid w:val="00F912DB"/>
    <w:rsid w:val="00F91638"/>
    <w:rsid w:val="00F91ABB"/>
    <w:rsid w:val="00F91DD2"/>
    <w:rsid w:val="00F91EDE"/>
    <w:rsid w:val="00F92034"/>
    <w:rsid w:val="00F9224D"/>
    <w:rsid w:val="00F92286"/>
    <w:rsid w:val="00F92289"/>
    <w:rsid w:val="00F92490"/>
    <w:rsid w:val="00F92676"/>
    <w:rsid w:val="00F92A51"/>
    <w:rsid w:val="00F92AAF"/>
    <w:rsid w:val="00F930A6"/>
    <w:rsid w:val="00F9333C"/>
    <w:rsid w:val="00F93948"/>
    <w:rsid w:val="00F93D1E"/>
    <w:rsid w:val="00F93E64"/>
    <w:rsid w:val="00F940D3"/>
    <w:rsid w:val="00F941D9"/>
    <w:rsid w:val="00F94400"/>
    <w:rsid w:val="00F94447"/>
    <w:rsid w:val="00F94644"/>
    <w:rsid w:val="00F94813"/>
    <w:rsid w:val="00F9492D"/>
    <w:rsid w:val="00F949D8"/>
    <w:rsid w:val="00F94A51"/>
    <w:rsid w:val="00F94A58"/>
    <w:rsid w:val="00F9531F"/>
    <w:rsid w:val="00F955F3"/>
    <w:rsid w:val="00F95A87"/>
    <w:rsid w:val="00F95F60"/>
    <w:rsid w:val="00F960F4"/>
    <w:rsid w:val="00F9624B"/>
    <w:rsid w:val="00F96352"/>
    <w:rsid w:val="00F966D2"/>
    <w:rsid w:val="00F9695E"/>
    <w:rsid w:val="00F96C8D"/>
    <w:rsid w:val="00F96D60"/>
    <w:rsid w:val="00F97310"/>
    <w:rsid w:val="00F9734C"/>
    <w:rsid w:val="00F973C0"/>
    <w:rsid w:val="00F973C2"/>
    <w:rsid w:val="00F97467"/>
    <w:rsid w:val="00F977AF"/>
    <w:rsid w:val="00F97A92"/>
    <w:rsid w:val="00F97EA4"/>
    <w:rsid w:val="00F97F99"/>
    <w:rsid w:val="00F97FBB"/>
    <w:rsid w:val="00FA0707"/>
    <w:rsid w:val="00FA109C"/>
    <w:rsid w:val="00FA10C8"/>
    <w:rsid w:val="00FA12AF"/>
    <w:rsid w:val="00FA14AF"/>
    <w:rsid w:val="00FA14BA"/>
    <w:rsid w:val="00FA1ABA"/>
    <w:rsid w:val="00FA1B96"/>
    <w:rsid w:val="00FA1F40"/>
    <w:rsid w:val="00FA2316"/>
    <w:rsid w:val="00FA3427"/>
    <w:rsid w:val="00FA3814"/>
    <w:rsid w:val="00FA3EB8"/>
    <w:rsid w:val="00FA3F60"/>
    <w:rsid w:val="00FA4029"/>
    <w:rsid w:val="00FA40B8"/>
    <w:rsid w:val="00FA42D0"/>
    <w:rsid w:val="00FA45FE"/>
    <w:rsid w:val="00FA4605"/>
    <w:rsid w:val="00FA4928"/>
    <w:rsid w:val="00FA4CCE"/>
    <w:rsid w:val="00FA4E7E"/>
    <w:rsid w:val="00FA4F87"/>
    <w:rsid w:val="00FA52E1"/>
    <w:rsid w:val="00FA5440"/>
    <w:rsid w:val="00FA55E3"/>
    <w:rsid w:val="00FA56CE"/>
    <w:rsid w:val="00FA5ADB"/>
    <w:rsid w:val="00FA5D02"/>
    <w:rsid w:val="00FA5E7B"/>
    <w:rsid w:val="00FA6325"/>
    <w:rsid w:val="00FA6410"/>
    <w:rsid w:val="00FA65F3"/>
    <w:rsid w:val="00FA6640"/>
    <w:rsid w:val="00FA683C"/>
    <w:rsid w:val="00FA6E19"/>
    <w:rsid w:val="00FA708C"/>
    <w:rsid w:val="00FA76CC"/>
    <w:rsid w:val="00FA777D"/>
    <w:rsid w:val="00FA7886"/>
    <w:rsid w:val="00FA79EC"/>
    <w:rsid w:val="00FA7CD0"/>
    <w:rsid w:val="00FA7E8C"/>
    <w:rsid w:val="00FB01FB"/>
    <w:rsid w:val="00FB049F"/>
    <w:rsid w:val="00FB054C"/>
    <w:rsid w:val="00FB0640"/>
    <w:rsid w:val="00FB0861"/>
    <w:rsid w:val="00FB088B"/>
    <w:rsid w:val="00FB0968"/>
    <w:rsid w:val="00FB0D9F"/>
    <w:rsid w:val="00FB0DBE"/>
    <w:rsid w:val="00FB1082"/>
    <w:rsid w:val="00FB1B56"/>
    <w:rsid w:val="00FB1B79"/>
    <w:rsid w:val="00FB1CF0"/>
    <w:rsid w:val="00FB2054"/>
    <w:rsid w:val="00FB2155"/>
    <w:rsid w:val="00FB2406"/>
    <w:rsid w:val="00FB2CD3"/>
    <w:rsid w:val="00FB2FF5"/>
    <w:rsid w:val="00FB3219"/>
    <w:rsid w:val="00FB33B4"/>
    <w:rsid w:val="00FB3501"/>
    <w:rsid w:val="00FB3891"/>
    <w:rsid w:val="00FB38AC"/>
    <w:rsid w:val="00FB39D2"/>
    <w:rsid w:val="00FB3FD2"/>
    <w:rsid w:val="00FB41C7"/>
    <w:rsid w:val="00FB426A"/>
    <w:rsid w:val="00FB42F3"/>
    <w:rsid w:val="00FB45A3"/>
    <w:rsid w:val="00FB45EA"/>
    <w:rsid w:val="00FB4687"/>
    <w:rsid w:val="00FB479D"/>
    <w:rsid w:val="00FB495D"/>
    <w:rsid w:val="00FB4B75"/>
    <w:rsid w:val="00FB4E7D"/>
    <w:rsid w:val="00FB4FFC"/>
    <w:rsid w:val="00FB5502"/>
    <w:rsid w:val="00FB5634"/>
    <w:rsid w:val="00FB56CB"/>
    <w:rsid w:val="00FB595F"/>
    <w:rsid w:val="00FB6715"/>
    <w:rsid w:val="00FB67E8"/>
    <w:rsid w:val="00FB690E"/>
    <w:rsid w:val="00FB6A7A"/>
    <w:rsid w:val="00FB6CC5"/>
    <w:rsid w:val="00FB6E87"/>
    <w:rsid w:val="00FB7131"/>
    <w:rsid w:val="00FB7293"/>
    <w:rsid w:val="00FB7307"/>
    <w:rsid w:val="00FB74E7"/>
    <w:rsid w:val="00FB7A35"/>
    <w:rsid w:val="00FB7FFD"/>
    <w:rsid w:val="00FC0038"/>
    <w:rsid w:val="00FC003B"/>
    <w:rsid w:val="00FC0274"/>
    <w:rsid w:val="00FC0A9E"/>
    <w:rsid w:val="00FC0BFB"/>
    <w:rsid w:val="00FC0EF2"/>
    <w:rsid w:val="00FC1115"/>
    <w:rsid w:val="00FC16D9"/>
    <w:rsid w:val="00FC17F6"/>
    <w:rsid w:val="00FC1EA0"/>
    <w:rsid w:val="00FC1EC1"/>
    <w:rsid w:val="00FC1EC5"/>
    <w:rsid w:val="00FC200F"/>
    <w:rsid w:val="00FC213C"/>
    <w:rsid w:val="00FC2359"/>
    <w:rsid w:val="00FC2CE9"/>
    <w:rsid w:val="00FC2DD1"/>
    <w:rsid w:val="00FC2E02"/>
    <w:rsid w:val="00FC30CF"/>
    <w:rsid w:val="00FC31CE"/>
    <w:rsid w:val="00FC3292"/>
    <w:rsid w:val="00FC36D3"/>
    <w:rsid w:val="00FC3CFE"/>
    <w:rsid w:val="00FC3FFE"/>
    <w:rsid w:val="00FC412F"/>
    <w:rsid w:val="00FC434E"/>
    <w:rsid w:val="00FC43DC"/>
    <w:rsid w:val="00FC4734"/>
    <w:rsid w:val="00FC4D22"/>
    <w:rsid w:val="00FC519E"/>
    <w:rsid w:val="00FC599A"/>
    <w:rsid w:val="00FC5C79"/>
    <w:rsid w:val="00FC612E"/>
    <w:rsid w:val="00FC6429"/>
    <w:rsid w:val="00FC6551"/>
    <w:rsid w:val="00FC656A"/>
    <w:rsid w:val="00FC65E9"/>
    <w:rsid w:val="00FC66A8"/>
    <w:rsid w:val="00FC670F"/>
    <w:rsid w:val="00FC6BB8"/>
    <w:rsid w:val="00FC6C3B"/>
    <w:rsid w:val="00FC72F9"/>
    <w:rsid w:val="00FC7368"/>
    <w:rsid w:val="00FC746C"/>
    <w:rsid w:val="00FC778C"/>
    <w:rsid w:val="00FC7AD8"/>
    <w:rsid w:val="00FC7E20"/>
    <w:rsid w:val="00FD012A"/>
    <w:rsid w:val="00FD012B"/>
    <w:rsid w:val="00FD04DE"/>
    <w:rsid w:val="00FD0903"/>
    <w:rsid w:val="00FD0B11"/>
    <w:rsid w:val="00FD0B97"/>
    <w:rsid w:val="00FD0D31"/>
    <w:rsid w:val="00FD0D35"/>
    <w:rsid w:val="00FD1288"/>
    <w:rsid w:val="00FD15A5"/>
    <w:rsid w:val="00FD1D97"/>
    <w:rsid w:val="00FD204D"/>
    <w:rsid w:val="00FD22F3"/>
    <w:rsid w:val="00FD266B"/>
    <w:rsid w:val="00FD305D"/>
    <w:rsid w:val="00FD30A3"/>
    <w:rsid w:val="00FD32C6"/>
    <w:rsid w:val="00FD34B8"/>
    <w:rsid w:val="00FD34EC"/>
    <w:rsid w:val="00FD35D6"/>
    <w:rsid w:val="00FD3701"/>
    <w:rsid w:val="00FD38E2"/>
    <w:rsid w:val="00FD42FF"/>
    <w:rsid w:val="00FD43F7"/>
    <w:rsid w:val="00FD4792"/>
    <w:rsid w:val="00FD47EB"/>
    <w:rsid w:val="00FD4B2D"/>
    <w:rsid w:val="00FD4CF8"/>
    <w:rsid w:val="00FD5089"/>
    <w:rsid w:val="00FD52A0"/>
    <w:rsid w:val="00FD5309"/>
    <w:rsid w:val="00FD53E4"/>
    <w:rsid w:val="00FD5824"/>
    <w:rsid w:val="00FD583D"/>
    <w:rsid w:val="00FD5C66"/>
    <w:rsid w:val="00FD5C96"/>
    <w:rsid w:val="00FD5D2A"/>
    <w:rsid w:val="00FD5DF7"/>
    <w:rsid w:val="00FD6041"/>
    <w:rsid w:val="00FD68CF"/>
    <w:rsid w:val="00FD69A7"/>
    <w:rsid w:val="00FD6A00"/>
    <w:rsid w:val="00FD6AD9"/>
    <w:rsid w:val="00FD6EE3"/>
    <w:rsid w:val="00FD6F0D"/>
    <w:rsid w:val="00FD6F7E"/>
    <w:rsid w:val="00FD71C8"/>
    <w:rsid w:val="00FD77D7"/>
    <w:rsid w:val="00FD7922"/>
    <w:rsid w:val="00FD79A4"/>
    <w:rsid w:val="00FD7C8D"/>
    <w:rsid w:val="00FD7EC7"/>
    <w:rsid w:val="00FE0338"/>
    <w:rsid w:val="00FE158A"/>
    <w:rsid w:val="00FE19EE"/>
    <w:rsid w:val="00FE19F9"/>
    <w:rsid w:val="00FE1D16"/>
    <w:rsid w:val="00FE1E60"/>
    <w:rsid w:val="00FE21C1"/>
    <w:rsid w:val="00FE2416"/>
    <w:rsid w:val="00FE2672"/>
    <w:rsid w:val="00FE28E4"/>
    <w:rsid w:val="00FE28F4"/>
    <w:rsid w:val="00FE2D0D"/>
    <w:rsid w:val="00FE2E6C"/>
    <w:rsid w:val="00FE2F05"/>
    <w:rsid w:val="00FE2F1E"/>
    <w:rsid w:val="00FE3362"/>
    <w:rsid w:val="00FE34F4"/>
    <w:rsid w:val="00FE3581"/>
    <w:rsid w:val="00FE37D2"/>
    <w:rsid w:val="00FE409E"/>
    <w:rsid w:val="00FE48F1"/>
    <w:rsid w:val="00FE4A67"/>
    <w:rsid w:val="00FE4AFE"/>
    <w:rsid w:val="00FE4BA0"/>
    <w:rsid w:val="00FE4F64"/>
    <w:rsid w:val="00FE4F9F"/>
    <w:rsid w:val="00FE518D"/>
    <w:rsid w:val="00FE5212"/>
    <w:rsid w:val="00FE5848"/>
    <w:rsid w:val="00FE5915"/>
    <w:rsid w:val="00FE5A1C"/>
    <w:rsid w:val="00FE5A6B"/>
    <w:rsid w:val="00FE5D89"/>
    <w:rsid w:val="00FE5FB9"/>
    <w:rsid w:val="00FE61C7"/>
    <w:rsid w:val="00FE6317"/>
    <w:rsid w:val="00FE656B"/>
    <w:rsid w:val="00FE6660"/>
    <w:rsid w:val="00FE67A2"/>
    <w:rsid w:val="00FE67E3"/>
    <w:rsid w:val="00FE6A5C"/>
    <w:rsid w:val="00FE6A61"/>
    <w:rsid w:val="00FE7025"/>
    <w:rsid w:val="00FE71F2"/>
    <w:rsid w:val="00FE7708"/>
    <w:rsid w:val="00FE7768"/>
    <w:rsid w:val="00FF0115"/>
    <w:rsid w:val="00FF0788"/>
    <w:rsid w:val="00FF09C3"/>
    <w:rsid w:val="00FF0B26"/>
    <w:rsid w:val="00FF0B8C"/>
    <w:rsid w:val="00FF0BC0"/>
    <w:rsid w:val="00FF0E0E"/>
    <w:rsid w:val="00FF1341"/>
    <w:rsid w:val="00FF1407"/>
    <w:rsid w:val="00FF14B9"/>
    <w:rsid w:val="00FF1BD2"/>
    <w:rsid w:val="00FF1DB2"/>
    <w:rsid w:val="00FF23C5"/>
    <w:rsid w:val="00FF243B"/>
    <w:rsid w:val="00FF283C"/>
    <w:rsid w:val="00FF2DC4"/>
    <w:rsid w:val="00FF2E49"/>
    <w:rsid w:val="00FF2F34"/>
    <w:rsid w:val="00FF314A"/>
    <w:rsid w:val="00FF32A2"/>
    <w:rsid w:val="00FF34E9"/>
    <w:rsid w:val="00FF3597"/>
    <w:rsid w:val="00FF3963"/>
    <w:rsid w:val="00FF3AFF"/>
    <w:rsid w:val="00FF3ED8"/>
    <w:rsid w:val="00FF40A9"/>
    <w:rsid w:val="00FF4183"/>
    <w:rsid w:val="00FF4206"/>
    <w:rsid w:val="00FF4250"/>
    <w:rsid w:val="00FF4667"/>
    <w:rsid w:val="00FF47E8"/>
    <w:rsid w:val="00FF4850"/>
    <w:rsid w:val="00FF4B0E"/>
    <w:rsid w:val="00FF4E53"/>
    <w:rsid w:val="00FF5307"/>
    <w:rsid w:val="00FF532B"/>
    <w:rsid w:val="00FF579E"/>
    <w:rsid w:val="00FF5908"/>
    <w:rsid w:val="00FF632C"/>
    <w:rsid w:val="00FF64BC"/>
    <w:rsid w:val="00FF67F6"/>
    <w:rsid w:val="00FF6898"/>
    <w:rsid w:val="00FF6CAE"/>
    <w:rsid w:val="00FF6D3E"/>
    <w:rsid w:val="00FF6DFE"/>
    <w:rsid w:val="00FF6E98"/>
    <w:rsid w:val="00FF6F17"/>
    <w:rsid w:val="00FF737E"/>
    <w:rsid w:val="00FF774A"/>
    <w:rsid w:val="00FF7C1B"/>
    <w:rsid w:val="00FF7D5A"/>
    <w:rsid w:val="00FF7D96"/>
    <w:rsid w:val="00FF7E35"/>
    <w:rsid w:val="00FF7FC3"/>
    <w:rsid w:val="0101E134"/>
    <w:rsid w:val="012F4EEB"/>
    <w:rsid w:val="01303169"/>
    <w:rsid w:val="0138EEE1"/>
    <w:rsid w:val="0150F25A"/>
    <w:rsid w:val="017BF9FC"/>
    <w:rsid w:val="0187D051"/>
    <w:rsid w:val="0191B8D1"/>
    <w:rsid w:val="019B4839"/>
    <w:rsid w:val="01B8D9DB"/>
    <w:rsid w:val="01EF9F01"/>
    <w:rsid w:val="02017357"/>
    <w:rsid w:val="020477B4"/>
    <w:rsid w:val="02069681"/>
    <w:rsid w:val="021263E4"/>
    <w:rsid w:val="02366D13"/>
    <w:rsid w:val="0237F97B"/>
    <w:rsid w:val="02652815"/>
    <w:rsid w:val="027C0503"/>
    <w:rsid w:val="027D6287"/>
    <w:rsid w:val="0284F5F7"/>
    <w:rsid w:val="028AA355"/>
    <w:rsid w:val="0293BCB2"/>
    <w:rsid w:val="02AAC28D"/>
    <w:rsid w:val="02C91494"/>
    <w:rsid w:val="02CC24C8"/>
    <w:rsid w:val="02D06F76"/>
    <w:rsid w:val="02DFF478"/>
    <w:rsid w:val="02F16F21"/>
    <w:rsid w:val="02F85BB2"/>
    <w:rsid w:val="031E170C"/>
    <w:rsid w:val="0329DD73"/>
    <w:rsid w:val="03872BF8"/>
    <w:rsid w:val="03955226"/>
    <w:rsid w:val="03B278B2"/>
    <w:rsid w:val="03B30A8A"/>
    <w:rsid w:val="03D25A83"/>
    <w:rsid w:val="03DF4DAA"/>
    <w:rsid w:val="03E0872A"/>
    <w:rsid w:val="040A1D26"/>
    <w:rsid w:val="04136FAD"/>
    <w:rsid w:val="041EDFCE"/>
    <w:rsid w:val="04207C47"/>
    <w:rsid w:val="042D7ED3"/>
    <w:rsid w:val="0431F57A"/>
    <w:rsid w:val="043F7F46"/>
    <w:rsid w:val="04415725"/>
    <w:rsid w:val="0445F55A"/>
    <w:rsid w:val="0453D88C"/>
    <w:rsid w:val="045E0E1F"/>
    <w:rsid w:val="04768850"/>
    <w:rsid w:val="048B91E0"/>
    <w:rsid w:val="0497F880"/>
    <w:rsid w:val="049FDAD1"/>
    <w:rsid w:val="04A2F83D"/>
    <w:rsid w:val="04A5C5B2"/>
    <w:rsid w:val="04B15E0E"/>
    <w:rsid w:val="04C5A5FC"/>
    <w:rsid w:val="04DA407E"/>
    <w:rsid w:val="04EC0B98"/>
    <w:rsid w:val="04ECC4C4"/>
    <w:rsid w:val="050BA0EB"/>
    <w:rsid w:val="05259EF0"/>
    <w:rsid w:val="0547F926"/>
    <w:rsid w:val="0548C869"/>
    <w:rsid w:val="055E21D8"/>
    <w:rsid w:val="056AD176"/>
    <w:rsid w:val="05744834"/>
    <w:rsid w:val="05B96D18"/>
    <w:rsid w:val="05BD0F31"/>
    <w:rsid w:val="05C7D7A5"/>
    <w:rsid w:val="0602CC09"/>
    <w:rsid w:val="06071E59"/>
    <w:rsid w:val="060D1970"/>
    <w:rsid w:val="0673C472"/>
    <w:rsid w:val="06A3CC21"/>
    <w:rsid w:val="06C7A608"/>
    <w:rsid w:val="06D0D50F"/>
    <w:rsid w:val="06D48AB3"/>
    <w:rsid w:val="06D91B2F"/>
    <w:rsid w:val="06D9D0D4"/>
    <w:rsid w:val="06DB2F6E"/>
    <w:rsid w:val="070A692B"/>
    <w:rsid w:val="070ACF32"/>
    <w:rsid w:val="07337DA4"/>
    <w:rsid w:val="074C8E68"/>
    <w:rsid w:val="075010B4"/>
    <w:rsid w:val="0759534E"/>
    <w:rsid w:val="075B85A2"/>
    <w:rsid w:val="0775886E"/>
    <w:rsid w:val="07943D0A"/>
    <w:rsid w:val="07BE04F0"/>
    <w:rsid w:val="07BF3BF7"/>
    <w:rsid w:val="07CE0E1C"/>
    <w:rsid w:val="07D44077"/>
    <w:rsid w:val="07EC52A7"/>
    <w:rsid w:val="07FCB0E9"/>
    <w:rsid w:val="080469AD"/>
    <w:rsid w:val="08050BCB"/>
    <w:rsid w:val="0823688C"/>
    <w:rsid w:val="0833D60F"/>
    <w:rsid w:val="0866EC34"/>
    <w:rsid w:val="087FD84D"/>
    <w:rsid w:val="08A8680C"/>
    <w:rsid w:val="09055ED2"/>
    <w:rsid w:val="091B4D0F"/>
    <w:rsid w:val="092CEAAD"/>
    <w:rsid w:val="09322E07"/>
    <w:rsid w:val="0943C969"/>
    <w:rsid w:val="094BA54A"/>
    <w:rsid w:val="094EEC97"/>
    <w:rsid w:val="095EC6C2"/>
    <w:rsid w:val="095F50CC"/>
    <w:rsid w:val="0970FD4A"/>
    <w:rsid w:val="099304F0"/>
    <w:rsid w:val="099A1288"/>
    <w:rsid w:val="099FA732"/>
    <w:rsid w:val="09A0DE29"/>
    <w:rsid w:val="09B12F1F"/>
    <w:rsid w:val="09CF6696"/>
    <w:rsid w:val="09D815A7"/>
    <w:rsid w:val="09DC3B01"/>
    <w:rsid w:val="09DDCE98"/>
    <w:rsid w:val="09E94A5B"/>
    <w:rsid w:val="0A029D38"/>
    <w:rsid w:val="0A19B9BC"/>
    <w:rsid w:val="0A2DCB33"/>
    <w:rsid w:val="0A30A32F"/>
    <w:rsid w:val="0A357135"/>
    <w:rsid w:val="0A3BF277"/>
    <w:rsid w:val="0A4E1BD5"/>
    <w:rsid w:val="0A5D8F0E"/>
    <w:rsid w:val="0A8D8E88"/>
    <w:rsid w:val="0A96DD57"/>
    <w:rsid w:val="0AB4AECB"/>
    <w:rsid w:val="0ABBD122"/>
    <w:rsid w:val="0AC3539D"/>
    <w:rsid w:val="0ACF5684"/>
    <w:rsid w:val="0AD144A1"/>
    <w:rsid w:val="0ADC93AB"/>
    <w:rsid w:val="0AE45B84"/>
    <w:rsid w:val="0B224C1E"/>
    <w:rsid w:val="0B3060B4"/>
    <w:rsid w:val="0B4D7CC0"/>
    <w:rsid w:val="0B6FF6CB"/>
    <w:rsid w:val="0B77C198"/>
    <w:rsid w:val="0BA9C29E"/>
    <w:rsid w:val="0BB12B34"/>
    <w:rsid w:val="0BD714F7"/>
    <w:rsid w:val="0BDA8DC3"/>
    <w:rsid w:val="0BEB5F47"/>
    <w:rsid w:val="0BFF7E58"/>
    <w:rsid w:val="0C11C2C3"/>
    <w:rsid w:val="0C2803F3"/>
    <w:rsid w:val="0C2C281A"/>
    <w:rsid w:val="0C432E0C"/>
    <w:rsid w:val="0C43C34C"/>
    <w:rsid w:val="0C506307"/>
    <w:rsid w:val="0C6A9FD2"/>
    <w:rsid w:val="0C9B02FA"/>
    <w:rsid w:val="0C9D9AC0"/>
    <w:rsid w:val="0CA1BFB3"/>
    <w:rsid w:val="0CA2FCB5"/>
    <w:rsid w:val="0CA62455"/>
    <w:rsid w:val="0CAA730A"/>
    <w:rsid w:val="0CAEFF55"/>
    <w:rsid w:val="0CB69F59"/>
    <w:rsid w:val="0CB793D4"/>
    <w:rsid w:val="0CC2232D"/>
    <w:rsid w:val="0CD1967F"/>
    <w:rsid w:val="0CE5921C"/>
    <w:rsid w:val="0D092778"/>
    <w:rsid w:val="0D15F79F"/>
    <w:rsid w:val="0D1BCA9F"/>
    <w:rsid w:val="0D1D3284"/>
    <w:rsid w:val="0D36EF7F"/>
    <w:rsid w:val="0D3C6908"/>
    <w:rsid w:val="0D4157B8"/>
    <w:rsid w:val="0D5A0F77"/>
    <w:rsid w:val="0D9AE0DE"/>
    <w:rsid w:val="0DCFF15B"/>
    <w:rsid w:val="0DD331DF"/>
    <w:rsid w:val="0DE2D0E5"/>
    <w:rsid w:val="0DEDE551"/>
    <w:rsid w:val="0DFC093C"/>
    <w:rsid w:val="0E1A3504"/>
    <w:rsid w:val="0E367DC9"/>
    <w:rsid w:val="0E4427C5"/>
    <w:rsid w:val="0E4CACC3"/>
    <w:rsid w:val="0E69659E"/>
    <w:rsid w:val="0E80D4BD"/>
    <w:rsid w:val="0EA3FE7C"/>
    <w:rsid w:val="0EC519FE"/>
    <w:rsid w:val="0ED7027B"/>
    <w:rsid w:val="0ED702C5"/>
    <w:rsid w:val="0F07FF44"/>
    <w:rsid w:val="0F1967A9"/>
    <w:rsid w:val="0F2F4525"/>
    <w:rsid w:val="0F4A64EC"/>
    <w:rsid w:val="0F515823"/>
    <w:rsid w:val="0F5447D1"/>
    <w:rsid w:val="0F872437"/>
    <w:rsid w:val="0F99D15A"/>
    <w:rsid w:val="0FAEAF62"/>
    <w:rsid w:val="0FBD0DD5"/>
    <w:rsid w:val="0FCFE020"/>
    <w:rsid w:val="0FDB2F16"/>
    <w:rsid w:val="0FEAF340"/>
    <w:rsid w:val="10066980"/>
    <w:rsid w:val="101FCC2D"/>
    <w:rsid w:val="1027F78E"/>
    <w:rsid w:val="102CC6DD"/>
    <w:rsid w:val="10332A2C"/>
    <w:rsid w:val="104F7FF8"/>
    <w:rsid w:val="106C6FFE"/>
    <w:rsid w:val="107CC14B"/>
    <w:rsid w:val="10869C57"/>
    <w:rsid w:val="109D83CD"/>
    <w:rsid w:val="10AC0030"/>
    <w:rsid w:val="10B3E866"/>
    <w:rsid w:val="10E6840F"/>
    <w:rsid w:val="10EC04E4"/>
    <w:rsid w:val="10ED3E2B"/>
    <w:rsid w:val="10EDB3BE"/>
    <w:rsid w:val="10FDB9A0"/>
    <w:rsid w:val="11068A57"/>
    <w:rsid w:val="11179891"/>
    <w:rsid w:val="111E021F"/>
    <w:rsid w:val="11257D1D"/>
    <w:rsid w:val="1127F3AC"/>
    <w:rsid w:val="11393A82"/>
    <w:rsid w:val="1140A19D"/>
    <w:rsid w:val="1157549C"/>
    <w:rsid w:val="115E433F"/>
    <w:rsid w:val="1184709C"/>
    <w:rsid w:val="118FBFC4"/>
    <w:rsid w:val="11B7EFB6"/>
    <w:rsid w:val="11C76089"/>
    <w:rsid w:val="11D1EEC4"/>
    <w:rsid w:val="11E4C259"/>
    <w:rsid w:val="11F4371C"/>
    <w:rsid w:val="11F98C88"/>
    <w:rsid w:val="11FD1649"/>
    <w:rsid w:val="12235662"/>
    <w:rsid w:val="125A1DD5"/>
    <w:rsid w:val="125DE1AB"/>
    <w:rsid w:val="126ED433"/>
    <w:rsid w:val="12794529"/>
    <w:rsid w:val="1289D294"/>
    <w:rsid w:val="1292A233"/>
    <w:rsid w:val="1297FFDF"/>
    <w:rsid w:val="1299271F"/>
    <w:rsid w:val="12C736C6"/>
    <w:rsid w:val="12E102FD"/>
    <w:rsid w:val="12F42CC1"/>
    <w:rsid w:val="13155B5C"/>
    <w:rsid w:val="132C9E84"/>
    <w:rsid w:val="13430441"/>
    <w:rsid w:val="1359057C"/>
    <w:rsid w:val="135A0287"/>
    <w:rsid w:val="135F599D"/>
    <w:rsid w:val="1398C258"/>
    <w:rsid w:val="13ACE6CE"/>
    <w:rsid w:val="13DCB8C8"/>
    <w:rsid w:val="13E3226A"/>
    <w:rsid w:val="14018B99"/>
    <w:rsid w:val="1411EDA4"/>
    <w:rsid w:val="14182339"/>
    <w:rsid w:val="141A3431"/>
    <w:rsid w:val="14201E2B"/>
    <w:rsid w:val="14468172"/>
    <w:rsid w:val="14547F71"/>
    <w:rsid w:val="146482C6"/>
    <w:rsid w:val="1487389E"/>
    <w:rsid w:val="14A93F35"/>
    <w:rsid w:val="14B9F3C6"/>
    <w:rsid w:val="14CD3625"/>
    <w:rsid w:val="150814B8"/>
    <w:rsid w:val="152AF8CC"/>
    <w:rsid w:val="152EFBC8"/>
    <w:rsid w:val="1534E8BF"/>
    <w:rsid w:val="15454B4C"/>
    <w:rsid w:val="1559B447"/>
    <w:rsid w:val="155DCEDD"/>
    <w:rsid w:val="1561AE05"/>
    <w:rsid w:val="1564087A"/>
    <w:rsid w:val="15A524D1"/>
    <w:rsid w:val="15AD5F88"/>
    <w:rsid w:val="15B1FB4C"/>
    <w:rsid w:val="15B3EFCD"/>
    <w:rsid w:val="15C72D3E"/>
    <w:rsid w:val="15DF556A"/>
    <w:rsid w:val="15EC15AE"/>
    <w:rsid w:val="15ECF8B9"/>
    <w:rsid w:val="15FA48E0"/>
    <w:rsid w:val="160E969C"/>
    <w:rsid w:val="164AA332"/>
    <w:rsid w:val="164E3280"/>
    <w:rsid w:val="165273DB"/>
    <w:rsid w:val="1653368A"/>
    <w:rsid w:val="169506FE"/>
    <w:rsid w:val="16C05C65"/>
    <w:rsid w:val="16CCB3AB"/>
    <w:rsid w:val="16E3AB08"/>
    <w:rsid w:val="16E5CDE7"/>
    <w:rsid w:val="1716ADC7"/>
    <w:rsid w:val="171DD7EA"/>
    <w:rsid w:val="172C058B"/>
    <w:rsid w:val="17374906"/>
    <w:rsid w:val="1739A167"/>
    <w:rsid w:val="173C8BD9"/>
    <w:rsid w:val="173D5497"/>
    <w:rsid w:val="175D80B4"/>
    <w:rsid w:val="177BE920"/>
    <w:rsid w:val="17A696F3"/>
    <w:rsid w:val="17BE1F82"/>
    <w:rsid w:val="17D22D86"/>
    <w:rsid w:val="17D4DE62"/>
    <w:rsid w:val="181D80AB"/>
    <w:rsid w:val="1820B335"/>
    <w:rsid w:val="1828F59A"/>
    <w:rsid w:val="182C995D"/>
    <w:rsid w:val="1837953C"/>
    <w:rsid w:val="1839C49C"/>
    <w:rsid w:val="1847A310"/>
    <w:rsid w:val="1864FD4A"/>
    <w:rsid w:val="188B6A99"/>
    <w:rsid w:val="18912DBF"/>
    <w:rsid w:val="18B6F662"/>
    <w:rsid w:val="18B80134"/>
    <w:rsid w:val="18BA581F"/>
    <w:rsid w:val="18C39872"/>
    <w:rsid w:val="18C6F2FE"/>
    <w:rsid w:val="18CCB67D"/>
    <w:rsid w:val="18CEEF0C"/>
    <w:rsid w:val="18EC77ED"/>
    <w:rsid w:val="1946AF40"/>
    <w:rsid w:val="194A57CF"/>
    <w:rsid w:val="194BAD68"/>
    <w:rsid w:val="195D2D85"/>
    <w:rsid w:val="19761F5C"/>
    <w:rsid w:val="1997C226"/>
    <w:rsid w:val="199FF09F"/>
    <w:rsid w:val="19AA1FFF"/>
    <w:rsid w:val="19AE8EDF"/>
    <w:rsid w:val="19B0EDDC"/>
    <w:rsid w:val="19C442EF"/>
    <w:rsid w:val="19DE9A01"/>
    <w:rsid w:val="19DFA93D"/>
    <w:rsid w:val="19EDC851"/>
    <w:rsid w:val="19F32E6C"/>
    <w:rsid w:val="19F95616"/>
    <w:rsid w:val="1A4247A1"/>
    <w:rsid w:val="1A46A8E6"/>
    <w:rsid w:val="1A575165"/>
    <w:rsid w:val="1A6CF5A0"/>
    <w:rsid w:val="1A802A90"/>
    <w:rsid w:val="1A99C264"/>
    <w:rsid w:val="1AA36843"/>
    <w:rsid w:val="1ADAF102"/>
    <w:rsid w:val="1AFDAB15"/>
    <w:rsid w:val="1B46101B"/>
    <w:rsid w:val="1B69C4DB"/>
    <w:rsid w:val="1B7982B5"/>
    <w:rsid w:val="1B8BF7E4"/>
    <w:rsid w:val="1B9E1ADD"/>
    <w:rsid w:val="1BC33CED"/>
    <w:rsid w:val="1BD7EF61"/>
    <w:rsid w:val="1BE1A158"/>
    <w:rsid w:val="1BE63A4A"/>
    <w:rsid w:val="1C0AF508"/>
    <w:rsid w:val="1C0CC061"/>
    <w:rsid w:val="1C378EF4"/>
    <w:rsid w:val="1C45A42D"/>
    <w:rsid w:val="1C4A1189"/>
    <w:rsid w:val="1C4C3F17"/>
    <w:rsid w:val="1C725B20"/>
    <w:rsid w:val="1C974BBC"/>
    <w:rsid w:val="1C9CCA48"/>
    <w:rsid w:val="1CB7F77D"/>
    <w:rsid w:val="1CC9CC67"/>
    <w:rsid w:val="1CD28AB9"/>
    <w:rsid w:val="1CDAB050"/>
    <w:rsid w:val="1CE1F54C"/>
    <w:rsid w:val="1D07C76F"/>
    <w:rsid w:val="1D1C8665"/>
    <w:rsid w:val="1D34BD4E"/>
    <w:rsid w:val="1D41CE33"/>
    <w:rsid w:val="1D636A33"/>
    <w:rsid w:val="1D76B763"/>
    <w:rsid w:val="1DAB12A0"/>
    <w:rsid w:val="1DB39E6B"/>
    <w:rsid w:val="1DD99EF2"/>
    <w:rsid w:val="1DDF6A90"/>
    <w:rsid w:val="1DE38CEC"/>
    <w:rsid w:val="1E1EBDAB"/>
    <w:rsid w:val="1E23005B"/>
    <w:rsid w:val="1E3D1FCF"/>
    <w:rsid w:val="1E4317BF"/>
    <w:rsid w:val="1E46BDB2"/>
    <w:rsid w:val="1E4D7007"/>
    <w:rsid w:val="1E530A48"/>
    <w:rsid w:val="1E5C7755"/>
    <w:rsid w:val="1E61B1B4"/>
    <w:rsid w:val="1EA764D4"/>
    <w:rsid w:val="1EB46D4F"/>
    <w:rsid w:val="1EC28D95"/>
    <w:rsid w:val="1ED370D0"/>
    <w:rsid w:val="1ED8536C"/>
    <w:rsid w:val="1EE21BE6"/>
    <w:rsid w:val="1EE5CE07"/>
    <w:rsid w:val="1EF8C251"/>
    <w:rsid w:val="1EFA3F08"/>
    <w:rsid w:val="1EFB2CB5"/>
    <w:rsid w:val="1F28E1A2"/>
    <w:rsid w:val="1F298B20"/>
    <w:rsid w:val="1F30907D"/>
    <w:rsid w:val="1F5F8068"/>
    <w:rsid w:val="1F5FBA2A"/>
    <w:rsid w:val="1F74CF3B"/>
    <w:rsid w:val="1FA4C35C"/>
    <w:rsid w:val="1FAB0AF1"/>
    <w:rsid w:val="1FDC6437"/>
    <w:rsid w:val="1FDD509B"/>
    <w:rsid w:val="1FE4CE59"/>
    <w:rsid w:val="2023DF1C"/>
    <w:rsid w:val="2068F385"/>
    <w:rsid w:val="2074411D"/>
    <w:rsid w:val="2075EE90"/>
    <w:rsid w:val="208E2670"/>
    <w:rsid w:val="20A937A2"/>
    <w:rsid w:val="20DA7154"/>
    <w:rsid w:val="20E698A7"/>
    <w:rsid w:val="20F0739C"/>
    <w:rsid w:val="20FEC002"/>
    <w:rsid w:val="211F0973"/>
    <w:rsid w:val="2121A9B1"/>
    <w:rsid w:val="2153F644"/>
    <w:rsid w:val="2168FF39"/>
    <w:rsid w:val="2175031B"/>
    <w:rsid w:val="218ED64E"/>
    <w:rsid w:val="21BBCCD1"/>
    <w:rsid w:val="21C79822"/>
    <w:rsid w:val="2201BAF4"/>
    <w:rsid w:val="220FD1AF"/>
    <w:rsid w:val="2230F3FE"/>
    <w:rsid w:val="223C6197"/>
    <w:rsid w:val="22401E44"/>
    <w:rsid w:val="226D3E4B"/>
    <w:rsid w:val="227BABE7"/>
    <w:rsid w:val="229C241E"/>
    <w:rsid w:val="22A7135F"/>
    <w:rsid w:val="22AC5C22"/>
    <w:rsid w:val="22B41F33"/>
    <w:rsid w:val="22BECCE9"/>
    <w:rsid w:val="22C48083"/>
    <w:rsid w:val="22D95E42"/>
    <w:rsid w:val="22EBCEF4"/>
    <w:rsid w:val="22F2DDAF"/>
    <w:rsid w:val="22FD6198"/>
    <w:rsid w:val="23166F31"/>
    <w:rsid w:val="231FECAF"/>
    <w:rsid w:val="232CC483"/>
    <w:rsid w:val="23322EB6"/>
    <w:rsid w:val="23364FDE"/>
    <w:rsid w:val="234F8795"/>
    <w:rsid w:val="235EFC63"/>
    <w:rsid w:val="2368E470"/>
    <w:rsid w:val="23806660"/>
    <w:rsid w:val="23894987"/>
    <w:rsid w:val="23895DFF"/>
    <w:rsid w:val="239CCDF4"/>
    <w:rsid w:val="23A24074"/>
    <w:rsid w:val="23BEA1C2"/>
    <w:rsid w:val="23C6DBF5"/>
    <w:rsid w:val="241B5CA3"/>
    <w:rsid w:val="2428865F"/>
    <w:rsid w:val="245B729E"/>
    <w:rsid w:val="24632930"/>
    <w:rsid w:val="2473974A"/>
    <w:rsid w:val="249A06E1"/>
    <w:rsid w:val="24B67E77"/>
    <w:rsid w:val="24CA0DB3"/>
    <w:rsid w:val="24D0E052"/>
    <w:rsid w:val="24D49D51"/>
    <w:rsid w:val="24D62104"/>
    <w:rsid w:val="24E1A3C6"/>
    <w:rsid w:val="24FF1D36"/>
    <w:rsid w:val="2522A351"/>
    <w:rsid w:val="25423122"/>
    <w:rsid w:val="2546F7E1"/>
    <w:rsid w:val="25686615"/>
    <w:rsid w:val="2583B972"/>
    <w:rsid w:val="258A7626"/>
    <w:rsid w:val="25949B2F"/>
    <w:rsid w:val="25A81054"/>
    <w:rsid w:val="25CB5C3D"/>
    <w:rsid w:val="25D4111B"/>
    <w:rsid w:val="25F0482D"/>
    <w:rsid w:val="261C6489"/>
    <w:rsid w:val="26321595"/>
    <w:rsid w:val="263FEA8B"/>
    <w:rsid w:val="265200F6"/>
    <w:rsid w:val="2673A17B"/>
    <w:rsid w:val="269618C5"/>
    <w:rsid w:val="2697CC69"/>
    <w:rsid w:val="269DADA0"/>
    <w:rsid w:val="26BBEC01"/>
    <w:rsid w:val="26E13FA6"/>
    <w:rsid w:val="26E4E0C2"/>
    <w:rsid w:val="26FE92A7"/>
    <w:rsid w:val="271520C5"/>
    <w:rsid w:val="2715C2E5"/>
    <w:rsid w:val="27166C04"/>
    <w:rsid w:val="271813F4"/>
    <w:rsid w:val="2739CB6A"/>
    <w:rsid w:val="275593F3"/>
    <w:rsid w:val="2765F63C"/>
    <w:rsid w:val="27676435"/>
    <w:rsid w:val="2781E2FE"/>
    <w:rsid w:val="278F04DE"/>
    <w:rsid w:val="278FEB76"/>
    <w:rsid w:val="2793F2AF"/>
    <w:rsid w:val="27AEEB31"/>
    <w:rsid w:val="27BA8852"/>
    <w:rsid w:val="27C9F117"/>
    <w:rsid w:val="27ED67C2"/>
    <w:rsid w:val="281083FF"/>
    <w:rsid w:val="2811CE72"/>
    <w:rsid w:val="281F4648"/>
    <w:rsid w:val="282F8852"/>
    <w:rsid w:val="284DFB5B"/>
    <w:rsid w:val="286B0D8B"/>
    <w:rsid w:val="286B35C7"/>
    <w:rsid w:val="287B0909"/>
    <w:rsid w:val="28901AEB"/>
    <w:rsid w:val="28940C40"/>
    <w:rsid w:val="28A48494"/>
    <w:rsid w:val="28A782CB"/>
    <w:rsid w:val="28A9D5C9"/>
    <w:rsid w:val="28BB6DE8"/>
    <w:rsid w:val="28E0C0C0"/>
    <w:rsid w:val="29087708"/>
    <w:rsid w:val="2912A863"/>
    <w:rsid w:val="2919EA5D"/>
    <w:rsid w:val="291E34AE"/>
    <w:rsid w:val="2941D684"/>
    <w:rsid w:val="2968B10D"/>
    <w:rsid w:val="29C7F57E"/>
    <w:rsid w:val="29D2679C"/>
    <w:rsid w:val="29EAB491"/>
    <w:rsid w:val="2A05803A"/>
    <w:rsid w:val="2A345A77"/>
    <w:rsid w:val="2A3F8643"/>
    <w:rsid w:val="2A5C1636"/>
    <w:rsid w:val="2A6556B5"/>
    <w:rsid w:val="2A6E2AB3"/>
    <w:rsid w:val="2A99F31A"/>
    <w:rsid w:val="2A9A2502"/>
    <w:rsid w:val="2AA7C4D3"/>
    <w:rsid w:val="2AAD0624"/>
    <w:rsid w:val="2AB2CFE1"/>
    <w:rsid w:val="2AD5AEBA"/>
    <w:rsid w:val="2AF4A6E6"/>
    <w:rsid w:val="2B009E2D"/>
    <w:rsid w:val="2B276BE6"/>
    <w:rsid w:val="2B347A2D"/>
    <w:rsid w:val="2B68C476"/>
    <w:rsid w:val="2B8B0909"/>
    <w:rsid w:val="2B9782AE"/>
    <w:rsid w:val="2BA11375"/>
    <w:rsid w:val="2BE066D0"/>
    <w:rsid w:val="2BE4BDD4"/>
    <w:rsid w:val="2BE9FC42"/>
    <w:rsid w:val="2C01138D"/>
    <w:rsid w:val="2C360835"/>
    <w:rsid w:val="2C3672C3"/>
    <w:rsid w:val="2C379462"/>
    <w:rsid w:val="2C46A332"/>
    <w:rsid w:val="2C496205"/>
    <w:rsid w:val="2C7664D8"/>
    <w:rsid w:val="2C970855"/>
    <w:rsid w:val="2C9A1510"/>
    <w:rsid w:val="2CA6BACC"/>
    <w:rsid w:val="2CAD01B9"/>
    <w:rsid w:val="2CC14F08"/>
    <w:rsid w:val="2CC2E975"/>
    <w:rsid w:val="2CC63BF3"/>
    <w:rsid w:val="2CCB9713"/>
    <w:rsid w:val="2CD0C561"/>
    <w:rsid w:val="2CE1AEFF"/>
    <w:rsid w:val="2D4C6EDF"/>
    <w:rsid w:val="2D641E37"/>
    <w:rsid w:val="2D85B9D4"/>
    <w:rsid w:val="2D862023"/>
    <w:rsid w:val="2D96C6B5"/>
    <w:rsid w:val="2D9B7B2E"/>
    <w:rsid w:val="2DAC3C14"/>
    <w:rsid w:val="2DAEB0B6"/>
    <w:rsid w:val="2DD53C81"/>
    <w:rsid w:val="2DFA29FC"/>
    <w:rsid w:val="2E1B6D22"/>
    <w:rsid w:val="2E3C5411"/>
    <w:rsid w:val="2E533169"/>
    <w:rsid w:val="2E79BC51"/>
    <w:rsid w:val="2EB8951D"/>
    <w:rsid w:val="2EC2D35E"/>
    <w:rsid w:val="2ED6F10B"/>
    <w:rsid w:val="2EF915EB"/>
    <w:rsid w:val="2EFCD2F0"/>
    <w:rsid w:val="2F380E62"/>
    <w:rsid w:val="2F3A462C"/>
    <w:rsid w:val="2F5000DC"/>
    <w:rsid w:val="2F67B331"/>
    <w:rsid w:val="2F872A5B"/>
    <w:rsid w:val="2FB23DCF"/>
    <w:rsid w:val="2FBD45CE"/>
    <w:rsid w:val="2FBD5ABC"/>
    <w:rsid w:val="2FCC6CD1"/>
    <w:rsid w:val="2FD4173F"/>
    <w:rsid w:val="2FD48422"/>
    <w:rsid w:val="2FD6E67D"/>
    <w:rsid w:val="2FF984E0"/>
    <w:rsid w:val="2FFE9CE8"/>
    <w:rsid w:val="3051F7AC"/>
    <w:rsid w:val="3059A6AA"/>
    <w:rsid w:val="3059CCA8"/>
    <w:rsid w:val="306B0C6D"/>
    <w:rsid w:val="308F1C5A"/>
    <w:rsid w:val="30AABF2B"/>
    <w:rsid w:val="30B133BE"/>
    <w:rsid w:val="30B2B869"/>
    <w:rsid w:val="30BD25A9"/>
    <w:rsid w:val="30D49785"/>
    <w:rsid w:val="30D81AEC"/>
    <w:rsid w:val="30EC0171"/>
    <w:rsid w:val="30ECB757"/>
    <w:rsid w:val="31050304"/>
    <w:rsid w:val="3107867C"/>
    <w:rsid w:val="3141FB83"/>
    <w:rsid w:val="315167ED"/>
    <w:rsid w:val="3156375C"/>
    <w:rsid w:val="3176A695"/>
    <w:rsid w:val="31A3E048"/>
    <w:rsid w:val="31A3F05A"/>
    <w:rsid w:val="31B71B4D"/>
    <w:rsid w:val="31B9D4FF"/>
    <w:rsid w:val="31C9EB3B"/>
    <w:rsid w:val="31E58923"/>
    <w:rsid w:val="31ED5F50"/>
    <w:rsid w:val="321D37F6"/>
    <w:rsid w:val="32356AA1"/>
    <w:rsid w:val="324CD34E"/>
    <w:rsid w:val="326A6534"/>
    <w:rsid w:val="32726B7C"/>
    <w:rsid w:val="327B64C0"/>
    <w:rsid w:val="328916CA"/>
    <w:rsid w:val="32A30563"/>
    <w:rsid w:val="32D3BB83"/>
    <w:rsid w:val="32E3CDA2"/>
    <w:rsid w:val="32EB4B96"/>
    <w:rsid w:val="32EF0F6D"/>
    <w:rsid w:val="32F692CE"/>
    <w:rsid w:val="3315F6F3"/>
    <w:rsid w:val="331D955E"/>
    <w:rsid w:val="3327BE68"/>
    <w:rsid w:val="3329E815"/>
    <w:rsid w:val="3331105E"/>
    <w:rsid w:val="333D5750"/>
    <w:rsid w:val="3366837B"/>
    <w:rsid w:val="33687BEA"/>
    <w:rsid w:val="33702F47"/>
    <w:rsid w:val="33734B48"/>
    <w:rsid w:val="339147DB"/>
    <w:rsid w:val="3398F491"/>
    <w:rsid w:val="339B2CD0"/>
    <w:rsid w:val="33A99C17"/>
    <w:rsid w:val="342EFE53"/>
    <w:rsid w:val="344147DC"/>
    <w:rsid w:val="345B72BB"/>
    <w:rsid w:val="34860EF2"/>
    <w:rsid w:val="34B23A67"/>
    <w:rsid w:val="34E401C3"/>
    <w:rsid w:val="34FCE522"/>
    <w:rsid w:val="350E8EA6"/>
    <w:rsid w:val="351E27A4"/>
    <w:rsid w:val="3525780A"/>
    <w:rsid w:val="3545BCD8"/>
    <w:rsid w:val="354FE4A7"/>
    <w:rsid w:val="35522ADE"/>
    <w:rsid w:val="357B92C7"/>
    <w:rsid w:val="358B32DE"/>
    <w:rsid w:val="3596FB64"/>
    <w:rsid w:val="35A423CE"/>
    <w:rsid w:val="35C44259"/>
    <w:rsid w:val="35C4FA3D"/>
    <w:rsid w:val="35D0B62F"/>
    <w:rsid w:val="35D7D3A9"/>
    <w:rsid w:val="35F0A257"/>
    <w:rsid w:val="35FB706C"/>
    <w:rsid w:val="361B03C5"/>
    <w:rsid w:val="3625591A"/>
    <w:rsid w:val="363531DD"/>
    <w:rsid w:val="363CBB4A"/>
    <w:rsid w:val="363EAB22"/>
    <w:rsid w:val="3669C0A3"/>
    <w:rsid w:val="366FB42A"/>
    <w:rsid w:val="3690E483"/>
    <w:rsid w:val="3691159F"/>
    <w:rsid w:val="369CFD6C"/>
    <w:rsid w:val="36DABC35"/>
    <w:rsid w:val="36EDEF16"/>
    <w:rsid w:val="36F7A3D6"/>
    <w:rsid w:val="370582E1"/>
    <w:rsid w:val="371DC673"/>
    <w:rsid w:val="373E63CB"/>
    <w:rsid w:val="37493B56"/>
    <w:rsid w:val="375B820A"/>
    <w:rsid w:val="37790B8F"/>
    <w:rsid w:val="379CF2D5"/>
    <w:rsid w:val="37A57766"/>
    <w:rsid w:val="37ABDE6B"/>
    <w:rsid w:val="37B392DC"/>
    <w:rsid w:val="37D5CDC1"/>
    <w:rsid w:val="37D8173B"/>
    <w:rsid w:val="37DCF30E"/>
    <w:rsid w:val="37F98B09"/>
    <w:rsid w:val="3812C878"/>
    <w:rsid w:val="3817A6C7"/>
    <w:rsid w:val="383177EC"/>
    <w:rsid w:val="3833F436"/>
    <w:rsid w:val="3845C672"/>
    <w:rsid w:val="384BD78F"/>
    <w:rsid w:val="3858CB13"/>
    <w:rsid w:val="386BB660"/>
    <w:rsid w:val="38759909"/>
    <w:rsid w:val="3886771C"/>
    <w:rsid w:val="389668D3"/>
    <w:rsid w:val="3899FA7F"/>
    <w:rsid w:val="38A4512A"/>
    <w:rsid w:val="38BD5EDC"/>
    <w:rsid w:val="38C10E00"/>
    <w:rsid w:val="38C3491A"/>
    <w:rsid w:val="38D918F4"/>
    <w:rsid w:val="3937BC17"/>
    <w:rsid w:val="393C6ECA"/>
    <w:rsid w:val="3950584E"/>
    <w:rsid w:val="3952B48D"/>
    <w:rsid w:val="3966B0F7"/>
    <w:rsid w:val="39685232"/>
    <w:rsid w:val="3986749C"/>
    <w:rsid w:val="3995A20B"/>
    <w:rsid w:val="399C06B0"/>
    <w:rsid w:val="39AC2B77"/>
    <w:rsid w:val="39D4FF0F"/>
    <w:rsid w:val="39DC8C95"/>
    <w:rsid w:val="39F104F5"/>
    <w:rsid w:val="3A17AA47"/>
    <w:rsid w:val="3A192FBD"/>
    <w:rsid w:val="3A21EAE4"/>
    <w:rsid w:val="3A2934D2"/>
    <w:rsid w:val="3A2DA8B2"/>
    <w:rsid w:val="3A3A5C4C"/>
    <w:rsid w:val="3A9B2E01"/>
    <w:rsid w:val="3A9F08BD"/>
    <w:rsid w:val="3ABF9B22"/>
    <w:rsid w:val="3AD5D344"/>
    <w:rsid w:val="3B071C0F"/>
    <w:rsid w:val="3B0CE100"/>
    <w:rsid w:val="3B3A393B"/>
    <w:rsid w:val="3B438827"/>
    <w:rsid w:val="3B443A71"/>
    <w:rsid w:val="3B4A0E05"/>
    <w:rsid w:val="3B512F74"/>
    <w:rsid w:val="3B523856"/>
    <w:rsid w:val="3B5F9EC7"/>
    <w:rsid w:val="3B625364"/>
    <w:rsid w:val="3B81C221"/>
    <w:rsid w:val="3B8B3C41"/>
    <w:rsid w:val="3B8C5169"/>
    <w:rsid w:val="3BA2C91D"/>
    <w:rsid w:val="3BABFE7F"/>
    <w:rsid w:val="3C1C86CD"/>
    <w:rsid w:val="3C499620"/>
    <w:rsid w:val="3C4D2C7E"/>
    <w:rsid w:val="3C660FB6"/>
    <w:rsid w:val="3C8393F5"/>
    <w:rsid w:val="3C8E08BF"/>
    <w:rsid w:val="3C9C4BDE"/>
    <w:rsid w:val="3CAFEF7D"/>
    <w:rsid w:val="3CBF7AAF"/>
    <w:rsid w:val="3CD73FF6"/>
    <w:rsid w:val="3CFB113E"/>
    <w:rsid w:val="3D232174"/>
    <w:rsid w:val="3D331567"/>
    <w:rsid w:val="3D35D451"/>
    <w:rsid w:val="3D38AA21"/>
    <w:rsid w:val="3D4CC2E5"/>
    <w:rsid w:val="3D517000"/>
    <w:rsid w:val="3D563E89"/>
    <w:rsid w:val="3D7414EE"/>
    <w:rsid w:val="3D745CB2"/>
    <w:rsid w:val="3DAE0DEB"/>
    <w:rsid w:val="3DC77E16"/>
    <w:rsid w:val="3E216208"/>
    <w:rsid w:val="3E4E4651"/>
    <w:rsid w:val="3E6A3145"/>
    <w:rsid w:val="3E748C23"/>
    <w:rsid w:val="3E82A072"/>
    <w:rsid w:val="3E97ECBE"/>
    <w:rsid w:val="3EA48D16"/>
    <w:rsid w:val="3EBC8673"/>
    <w:rsid w:val="3EC21312"/>
    <w:rsid w:val="3EDC6BB2"/>
    <w:rsid w:val="3EE43C06"/>
    <w:rsid w:val="3EFEDADE"/>
    <w:rsid w:val="3F2AE74F"/>
    <w:rsid w:val="3F3CF235"/>
    <w:rsid w:val="3F66F9B8"/>
    <w:rsid w:val="3FC712D1"/>
    <w:rsid w:val="3FC91AF3"/>
    <w:rsid w:val="3FD9BCC7"/>
    <w:rsid w:val="3FE74B31"/>
    <w:rsid w:val="4027EC5F"/>
    <w:rsid w:val="4091135D"/>
    <w:rsid w:val="40D988F0"/>
    <w:rsid w:val="40DA2133"/>
    <w:rsid w:val="40DDC098"/>
    <w:rsid w:val="40FB27C3"/>
    <w:rsid w:val="41555C24"/>
    <w:rsid w:val="415F4F8F"/>
    <w:rsid w:val="41750929"/>
    <w:rsid w:val="41A0D28F"/>
    <w:rsid w:val="41A21104"/>
    <w:rsid w:val="41AA1D00"/>
    <w:rsid w:val="41AB428F"/>
    <w:rsid w:val="41DC8E0B"/>
    <w:rsid w:val="4205E063"/>
    <w:rsid w:val="4214B91C"/>
    <w:rsid w:val="422E6413"/>
    <w:rsid w:val="4256E4D8"/>
    <w:rsid w:val="4268DFCC"/>
    <w:rsid w:val="4288BC2D"/>
    <w:rsid w:val="428933EF"/>
    <w:rsid w:val="42AE5121"/>
    <w:rsid w:val="42EAA5B9"/>
    <w:rsid w:val="43187EBA"/>
    <w:rsid w:val="433DF96C"/>
    <w:rsid w:val="437EDACB"/>
    <w:rsid w:val="4394A810"/>
    <w:rsid w:val="439CBC06"/>
    <w:rsid w:val="43AAD059"/>
    <w:rsid w:val="43B4DF50"/>
    <w:rsid w:val="43BCD1C9"/>
    <w:rsid w:val="43BECE26"/>
    <w:rsid w:val="43C2E01C"/>
    <w:rsid w:val="43CE76E3"/>
    <w:rsid w:val="43D4869B"/>
    <w:rsid w:val="43E050EE"/>
    <w:rsid w:val="43FCBF59"/>
    <w:rsid w:val="4407820B"/>
    <w:rsid w:val="441AEADE"/>
    <w:rsid w:val="4443C8F4"/>
    <w:rsid w:val="445B5D51"/>
    <w:rsid w:val="445C622F"/>
    <w:rsid w:val="446A0911"/>
    <w:rsid w:val="446AC9F6"/>
    <w:rsid w:val="447531EA"/>
    <w:rsid w:val="4480B260"/>
    <w:rsid w:val="4481C066"/>
    <w:rsid w:val="4496D1B6"/>
    <w:rsid w:val="44C6D168"/>
    <w:rsid w:val="44CA4024"/>
    <w:rsid w:val="44DA0F20"/>
    <w:rsid w:val="44DBA557"/>
    <w:rsid w:val="44DD529F"/>
    <w:rsid w:val="44FA28AE"/>
    <w:rsid w:val="4508A520"/>
    <w:rsid w:val="450AC23F"/>
    <w:rsid w:val="451A547F"/>
    <w:rsid w:val="452634FC"/>
    <w:rsid w:val="4543B234"/>
    <w:rsid w:val="45555546"/>
    <w:rsid w:val="45751D1D"/>
    <w:rsid w:val="457F6866"/>
    <w:rsid w:val="45919FA8"/>
    <w:rsid w:val="459C90E7"/>
    <w:rsid w:val="45A031C4"/>
    <w:rsid w:val="45CACA65"/>
    <w:rsid w:val="45CD63A4"/>
    <w:rsid w:val="45CDC636"/>
    <w:rsid w:val="45E4D622"/>
    <w:rsid w:val="461A23FC"/>
    <w:rsid w:val="461FD978"/>
    <w:rsid w:val="46347B3E"/>
    <w:rsid w:val="46673AA9"/>
    <w:rsid w:val="46836B4D"/>
    <w:rsid w:val="46CA552F"/>
    <w:rsid w:val="46F8A516"/>
    <w:rsid w:val="4722C2BF"/>
    <w:rsid w:val="47368959"/>
    <w:rsid w:val="47447784"/>
    <w:rsid w:val="476498E1"/>
    <w:rsid w:val="47652666"/>
    <w:rsid w:val="476E2DC7"/>
    <w:rsid w:val="47999DBE"/>
    <w:rsid w:val="479B6353"/>
    <w:rsid w:val="479D4D8C"/>
    <w:rsid w:val="47ADD52E"/>
    <w:rsid w:val="47D2094D"/>
    <w:rsid w:val="47FBF831"/>
    <w:rsid w:val="480CFE4C"/>
    <w:rsid w:val="4832C4BF"/>
    <w:rsid w:val="4835070B"/>
    <w:rsid w:val="483701C3"/>
    <w:rsid w:val="48495D9D"/>
    <w:rsid w:val="485192DC"/>
    <w:rsid w:val="485A0E2C"/>
    <w:rsid w:val="4869EB06"/>
    <w:rsid w:val="4894358B"/>
    <w:rsid w:val="48A639E4"/>
    <w:rsid w:val="48B38259"/>
    <w:rsid w:val="490F2E34"/>
    <w:rsid w:val="492247C2"/>
    <w:rsid w:val="49396B0F"/>
    <w:rsid w:val="493F2697"/>
    <w:rsid w:val="49578E76"/>
    <w:rsid w:val="495C1E1E"/>
    <w:rsid w:val="495C709B"/>
    <w:rsid w:val="4980C59F"/>
    <w:rsid w:val="498A38EC"/>
    <w:rsid w:val="49C7988D"/>
    <w:rsid w:val="49C89E90"/>
    <w:rsid w:val="49CB0801"/>
    <w:rsid w:val="49DCA340"/>
    <w:rsid w:val="49DE5879"/>
    <w:rsid w:val="49DFE12D"/>
    <w:rsid w:val="49E0D1A3"/>
    <w:rsid w:val="49EA5990"/>
    <w:rsid w:val="4A0CF6DE"/>
    <w:rsid w:val="4A10FDB9"/>
    <w:rsid w:val="4A1D6392"/>
    <w:rsid w:val="4A2FE9D7"/>
    <w:rsid w:val="4A4211CB"/>
    <w:rsid w:val="4A523756"/>
    <w:rsid w:val="4A692406"/>
    <w:rsid w:val="4A91E948"/>
    <w:rsid w:val="4AA0BF54"/>
    <w:rsid w:val="4AA1709B"/>
    <w:rsid w:val="4AA52630"/>
    <w:rsid w:val="4AADCF75"/>
    <w:rsid w:val="4AB1072E"/>
    <w:rsid w:val="4AB16EA0"/>
    <w:rsid w:val="4AE58D26"/>
    <w:rsid w:val="4AFA1691"/>
    <w:rsid w:val="4B1A7031"/>
    <w:rsid w:val="4B1B0F85"/>
    <w:rsid w:val="4B43DFDA"/>
    <w:rsid w:val="4B584ACA"/>
    <w:rsid w:val="4B5EC7A0"/>
    <w:rsid w:val="4B71FA2E"/>
    <w:rsid w:val="4B8210A5"/>
    <w:rsid w:val="4BAFA575"/>
    <w:rsid w:val="4BDC5717"/>
    <w:rsid w:val="4BE1DAE7"/>
    <w:rsid w:val="4BEC3BD5"/>
    <w:rsid w:val="4C3F65D0"/>
    <w:rsid w:val="4C4EE4B8"/>
    <w:rsid w:val="4C8C4965"/>
    <w:rsid w:val="4C95D025"/>
    <w:rsid w:val="4CDBA90C"/>
    <w:rsid w:val="4CE235BD"/>
    <w:rsid w:val="4CE37859"/>
    <w:rsid w:val="4CE9ECAC"/>
    <w:rsid w:val="4D07B355"/>
    <w:rsid w:val="4D249212"/>
    <w:rsid w:val="4D295583"/>
    <w:rsid w:val="4D2DDFF3"/>
    <w:rsid w:val="4D3A288D"/>
    <w:rsid w:val="4D458CC7"/>
    <w:rsid w:val="4D4F20B9"/>
    <w:rsid w:val="4D83E248"/>
    <w:rsid w:val="4D84B132"/>
    <w:rsid w:val="4DDDDD41"/>
    <w:rsid w:val="4DFD3AB6"/>
    <w:rsid w:val="4E05B353"/>
    <w:rsid w:val="4E51BE41"/>
    <w:rsid w:val="4E789DF2"/>
    <w:rsid w:val="4E93D76E"/>
    <w:rsid w:val="4E9B38F8"/>
    <w:rsid w:val="4EB239FB"/>
    <w:rsid w:val="4EC85DB5"/>
    <w:rsid w:val="4EC97650"/>
    <w:rsid w:val="4ED42FEB"/>
    <w:rsid w:val="4EE98EF1"/>
    <w:rsid w:val="4EF4002B"/>
    <w:rsid w:val="4F0222D1"/>
    <w:rsid w:val="4F04E57D"/>
    <w:rsid w:val="4F178D6E"/>
    <w:rsid w:val="4F228AA7"/>
    <w:rsid w:val="4F43DD6E"/>
    <w:rsid w:val="4F45028C"/>
    <w:rsid w:val="4F57A59C"/>
    <w:rsid w:val="4F5E20C3"/>
    <w:rsid w:val="4F65F481"/>
    <w:rsid w:val="4F764D7A"/>
    <w:rsid w:val="4F90DD59"/>
    <w:rsid w:val="4FA8B64E"/>
    <w:rsid w:val="4FAA5449"/>
    <w:rsid w:val="4FBF9D2B"/>
    <w:rsid w:val="4FC9A039"/>
    <w:rsid w:val="4FD741D7"/>
    <w:rsid w:val="4FFDEBBF"/>
    <w:rsid w:val="4FFF84A1"/>
    <w:rsid w:val="5005CB99"/>
    <w:rsid w:val="501C0A5A"/>
    <w:rsid w:val="502EF01A"/>
    <w:rsid w:val="5038C207"/>
    <w:rsid w:val="503F9A48"/>
    <w:rsid w:val="50418477"/>
    <w:rsid w:val="507E0166"/>
    <w:rsid w:val="508A644D"/>
    <w:rsid w:val="508D0CE5"/>
    <w:rsid w:val="509D99E7"/>
    <w:rsid w:val="50A55901"/>
    <w:rsid w:val="50ABF6E0"/>
    <w:rsid w:val="50B776B1"/>
    <w:rsid w:val="50DF9C62"/>
    <w:rsid w:val="50E7CC1B"/>
    <w:rsid w:val="50EA1FF6"/>
    <w:rsid w:val="510ECC24"/>
    <w:rsid w:val="51337A6F"/>
    <w:rsid w:val="513EDC53"/>
    <w:rsid w:val="516A0BB1"/>
    <w:rsid w:val="5196E28E"/>
    <w:rsid w:val="519FA059"/>
    <w:rsid w:val="51ABBAC8"/>
    <w:rsid w:val="51B3B34A"/>
    <w:rsid w:val="51B7311F"/>
    <w:rsid w:val="51C32C32"/>
    <w:rsid w:val="51C3372E"/>
    <w:rsid w:val="51C4493E"/>
    <w:rsid w:val="51D36C93"/>
    <w:rsid w:val="51E24268"/>
    <w:rsid w:val="51E5171D"/>
    <w:rsid w:val="51F4A09B"/>
    <w:rsid w:val="5246EC0F"/>
    <w:rsid w:val="524F535C"/>
    <w:rsid w:val="52625590"/>
    <w:rsid w:val="5266323D"/>
    <w:rsid w:val="52C1DD7B"/>
    <w:rsid w:val="52D26028"/>
    <w:rsid w:val="52DC5FBD"/>
    <w:rsid w:val="52EFF1C6"/>
    <w:rsid w:val="532D1914"/>
    <w:rsid w:val="53360A7A"/>
    <w:rsid w:val="5349756F"/>
    <w:rsid w:val="5355A874"/>
    <w:rsid w:val="535DBC32"/>
    <w:rsid w:val="536C64BA"/>
    <w:rsid w:val="5378A16C"/>
    <w:rsid w:val="538051D6"/>
    <w:rsid w:val="53AA4800"/>
    <w:rsid w:val="53AEC049"/>
    <w:rsid w:val="53E8384A"/>
    <w:rsid w:val="540AD741"/>
    <w:rsid w:val="542128C7"/>
    <w:rsid w:val="543A420C"/>
    <w:rsid w:val="545B7C08"/>
    <w:rsid w:val="54ADCC96"/>
    <w:rsid w:val="54F68657"/>
    <w:rsid w:val="54F9EC82"/>
    <w:rsid w:val="5504FEF1"/>
    <w:rsid w:val="5505C3A6"/>
    <w:rsid w:val="550742EF"/>
    <w:rsid w:val="552C645B"/>
    <w:rsid w:val="5531A9A0"/>
    <w:rsid w:val="5565D0A6"/>
    <w:rsid w:val="557C6F40"/>
    <w:rsid w:val="558CD5A4"/>
    <w:rsid w:val="558D4B18"/>
    <w:rsid w:val="558FA86D"/>
    <w:rsid w:val="55BE7159"/>
    <w:rsid w:val="55C27C68"/>
    <w:rsid w:val="55C95CD4"/>
    <w:rsid w:val="55D41572"/>
    <w:rsid w:val="55E13769"/>
    <w:rsid w:val="55EC6DF1"/>
    <w:rsid w:val="56385D6B"/>
    <w:rsid w:val="563E403A"/>
    <w:rsid w:val="5649A324"/>
    <w:rsid w:val="565CFAF6"/>
    <w:rsid w:val="566730A8"/>
    <w:rsid w:val="5673D3B2"/>
    <w:rsid w:val="5681547C"/>
    <w:rsid w:val="56992758"/>
    <w:rsid w:val="56B18F8A"/>
    <w:rsid w:val="56D64A86"/>
    <w:rsid w:val="56D77D4D"/>
    <w:rsid w:val="56DD614C"/>
    <w:rsid w:val="56F4B9A9"/>
    <w:rsid w:val="56FC9A27"/>
    <w:rsid w:val="5734A3BD"/>
    <w:rsid w:val="5764201E"/>
    <w:rsid w:val="576B6EB7"/>
    <w:rsid w:val="577A9845"/>
    <w:rsid w:val="57894FE3"/>
    <w:rsid w:val="5790761E"/>
    <w:rsid w:val="5792A61F"/>
    <w:rsid w:val="579EF671"/>
    <w:rsid w:val="57CAE779"/>
    <w:rsid w:val="57D92848"/>
    <w:rsid w:val="57E870E6"/>
    <w:rsid w:val="57F95D89"/>
    <w:rsid w:val="57FAC618"/>
    <w:rsid w:val="581CF748"/>
    <w:rsid w:val="581F6A91"/>
    <w:rsid w:val="584231E3"/>
    <w:rsid w:val="5869E3F8"/>
    <w:rsid w:val="587A0D00"/>
    <w:rsid w:val="5885A985"/>
    <w:rsid w:val="58972A84"/>
    <w:rsid w:val="589F0EF4"/>
    <w:rsid w:val="58BD2984"/>
    <w:rsid w:val="58D287F9"/>
    <w:rsid w:val="58E0CCA8"/>
    <w:rsid w:val="58EC80D6"/>
    <w:rsid w:val="58ECC5FF"/>
    <w:rsid w:val="58F25405"/>
    <w:rsid w:val="58F672ED"/>
    <w:rsid w:val="58FCD0F3"/>
    <w:rsid w:val="5901039E"/>
    <w:rsid w:val="595D3C47"/>
    <w:rsid w:val="59738306"/>
    <w:rsid w:val="59841EC9"/>
    <w:rsid w:val="59B3B2BF"/>
    <w:rsid w:val="59C7E29D"/>
    <w:rsid w:val="59CB6CC1"/>
    <w:rsid w:val="59D6B497"/>
    <w:rsid w:val="59EB0949"/>
    <w:rsid w:val="59FDA783"/>
    <w:rsid w:val="5A0B77A5"/>
    <w:rsid w:val="5A15F2F3"/>
    <w:rsid w:val="5A31E3A6"/>
    <w:rsid w:val="5A343A07"/>
    <w:rsid w:val="5A3F94C6"/>
    <w:rsid w:val="5A56E1E6"/>
    <w:rsid w:val="5A5E1CBD"/>
    <w:rsid w:val="5AA13A42"/>
    <w:rsid w:val="5AA74F70"/>
    <w:rsid w:val="5AA84139"/>
    <w:rsid w:val="5AAFC739"/>
    <w:rsid w:val="5AB07F80"/>
    <w:rsid w:val="5AB10C98"/>
    <w:rsid w:val="5ADEA094"/>
    <w:rsid w:val="5B1C5E46"/>
    <w:rsid w:val="5B206ACC"/>
    <w:rsid w:val="5B2615FC"/>
    <w:rsid w:val="5B533436"/>
    <w:rsid w:val="5B6C0492"/>
    <w:rsid w:val="5B73F9C5"/>
    <w:rsid w:val="5B7A8695"/>
    <w:rsid w:val="5B7E1623"/>
    <w:rsid w:val="5B8520D6"/>
    <w:rsid w:val="5B97AFB5"/>
    <w:rsid w:val="5BA1F36C"/>
    <w:rsid w:val="5BCEDB3E"/>
    <w:rsid w:val="5BD64861"/>
    <w:rsid w:val="5BDE3805"/>
    <w:rsid w:val="5C33B87E"/>
    <w:rsid w:val="5C4112B9"/>
    <w:rsid w:val="5C4B5D65"/>
    <w:rsid w:val="5C4E219B"/>
    <w:rsid w:val="5C533812"/>
    <w:rsid w:val="5C6B811B"/>
    <w:rsid w:val="5C888E0E"/>
    <w:rsid w:val="5C9C9D22"/>
    <w:rsid w:val="5C9EDF85"/>
    <w:rsid w:val="5CA43340"/>
    <w:rsid w:val="5CAA2463"/>
    <w:rsid w:val="5CB33C67"/>
    <w:rsid w:val="5CCA3872"/>
    <w:rsid w:val="5CDBA801"/>
    <w:rsid w:val="5CE3E81C"/>
    <w:rsid w:val="5D2EABE1"/>
    <w:rsid w:val="5D2FF323"/>
    <w:rsid w:val="5D4B04AB"/>
    <w:rsid w:val="5D7C8799"/>
    <w:rsid w:val="5D9264E6"/>
    <w:rsid w:val="5D9A8009"/>
    <w:rsid w:val="5DAE00F1"/>
    <w:rsid w:val="5DC25F08"/>
    <w:rsid w:val="5DDD5B6E"/>
    <w:rsid w:val="5DF42FE0"/>
    <w:rsid w:val="5DF4EAED"/>
    <w:rsid w:val="5E097813"/>
    <w:rsid w:val="5E500A47"/>
    <w:rsid w:val="5E600123"/>
    <w:rsid w:val="5E605B56"/>
    <w:rsid w:val="5E750D35"/>
    <w:rsid w:val="5E886BB5"/>
    <w:rsid w:val="5EA60A1B"/>
    <w:rsid w:val="5EB35518"/>
    <w:rsid w:val="5EDB7C1C"/>
    <w:rsid w:val="5F05EB1B"/>
    <w:rsid w:val="5F4566A4"/>
    <w:rsid w:val="5F862A1C"/>
    <w:rsid w:val="5F955DC5"/>
    <w:rsid w:val="5FA8EC9C"/>
    <w:rsid w:val="5FC571DB"/>
    <w:rsid w:val="5FCD5C60"/>
    <w:rsid w:val="5FE67440"/>
    <w:rsid w:val="5FF55281"/>
    <w:rsid w:val="600B6635"/>
    <w:rsid w:val="6023F9FD"/>
    <w:rsid w:val="602F66BF"/>
    <w:rsid w:val="607008C3"/>
    <w:rsid w:val="607A4C7E"/>
    <w:rsid w:val="6084905E"/>
    <w:rsid w:val="608E93F5"/>
    <w:rsid w:val="60A8FD1A"/>
    <w:rsid w:val="60B2B7DE"/>
    <w:rsid w:val="60B3F7F0"/>
    <w:rsid w:val="60BBB3F0"/>
    <w:rsid w:val="60D5A20D"/>
    <w:rsid w:val="60DA9F9C"/>
    <w:rsid w:val="60DAABEC"/>
    <w:rsid w:val="60FC02D5"/>
    <w:rsid w:val="60FFF35F"/>
    <w:rsid w:val="6108B9D0"/>
    <w:rsid w:val="610EDF7C"/>
    <w:rsid w:val="61288C34"/>
    <w:rsid w:val="612B83C3"/>
    <w:rsid w:val="612BD4D7"/>
    <w:rsid w:val="6137C8E4"/>
    <w:rsid w:val="613F1397"/>
    <w:rsid w:val="614C5F87"/>
    <w:rsid w:val="614F757C"/>
    <w:rsid w:val="6157A347"/>
    <w:rsid w:val="6163847B"/>
    <w:rsid w:val="6174A2D1"/>
    <w:rsid w:val="61841774"/>
    <w:rsid w:val="61847F7F"/>
    <w:rsid w:val="61A72FCE"/>
    <w:rsid w:val="61BBC4C5"/>
    <w:rsid w:val="61D1F253"/>
    <w:rsid w:val="61E4AA12"/>
    <w:rsid w:val="61FAE3D3"/>
    <w:rsid w:val="6201B16E"/>
    <w:rsid w:val="6216CBD3"/>
    <w:rsid w:val="621B580F"/>
    <w:rsid w:val="62259C94"/>
    <w:rsid w:val="622C6CDA"/>
    <w:rsid w:val="622D5422"/>
    <w:rsid w:val="6235CFD9"/>
    <w:rsid w:val="624EFBB9"/>
    <w:rsid w:val="626306B2"/>
    <w:rsid w:val="62678D71"/>
    <w:rsid w:val="62758593"/>
    <w:rsid w:val="62769AA4"/>
    <w:rsid w:val="628D854E"/>
    <w:rsid w:val="6295F8F0"/>
    <w:rsid w:val="62BE591D"/>
    <w:rsid w:val="62D95105"/>
    <w:rsid w:val="63161D45"/>
    <w:rsid w:val="63273C19"/>
    <w:rsid w:val="632EBEDD"/>
    <w:rsid w:val="6332D28D"/>
    <w:rsid w:val="6392EC24"/>
    <w:rsid w:val="63A37277"/>
    <w:rsid w:val="63A91EDC"/>
    <w:rsid w:val="63A985A2"/>
    <w:rsid w:val="63C2DC95"/>
    <w:rsid w:val="63EA5A48"/>
    <w:rsid w:val="63FC32F0"/>
    <w:rsid w:val="64175D0F"/>
    <w:rsid w:val="6419310B"/>
    <w:rsid w:val="641C8AFA"/>
    <w:rsid w:val="6420B6E3"/>
    <w:rsid w:val="6434CEEE"/>
    <w:rsid w:val="643D4ED7"/>
    <w:rsid w:val="643F1D1D"/>
    <w:rsid w:val="64431665"/>
    <w:rsid w:val="6444B22B"/>
    <w:rsid w:val="6453B2E8"/>
    <w:rsid w:val="6481D891"/>
    <w:rsid w:val="648774BD"/>
    <w:rsid w:val="648C9E98"/>
    <w:rsid w:val="64B5E7B8"/>
    <w:rsid w:val="64BD7A9A"/>
    <w:rsid w:val="64CBC28A"/>
    <w:rsid w:val="64D45B9A"/>
    <w:rsid w:val="64E55B24"/>
    <w:rsid w:val="64F15ECF"/>
    <w:rsid w:val="650C8E31"/>
    <w:rsid w:val="6514EF90"/>
    <w:rsid w:val="6520379E"/>
    <w:rsid w:val="65454313"/>
    <w:rsid w:val="6558DCF2"/>
    <w:rsid w:val="6561F098"/>
    <w:rsid w:val="656EDAF7"/>
    <w:rsid w:val="656FD604"/>
    <w:rsid w:val="6598052C"/>
    <w:rsid w:val="659C37E8"/>
    <w:rsid w:val="65A23169"/>
    <w:rsid w:val="65B694D0"/>
    <w:rsid w:val="65BC9E40"/>
    <w:rsid w:val="65BD3528"/>
    <w:rsid w:val="65C484A0"/>
    <w:rsid w:val="65DEE33D"/>
    <w:rsid w:val="65E323F7"/>
    <w:rsid w:val="65F134E8"/>
    <w:rsid w:val="6601C054"/>
    <w:rsid w:val="660C973C"/>
    <w:rsid w:val="66164ABB"/>
    <w:rsid w:val="66284F4A"/>
    <w:rsid w:val="66339BF2"/>
    <w:rsid w:val="663CD419"/>
    <w:rsid w:val="664A5052"/>
    <w:rsid w:val="666C92EB"/>
    <w:rsid w:val="666D959C"/>
    <w:rsid w:val="66AC6489"/>
    <w:rsid w:val="66B1FF98"/>
    <w:rsid w:val="66BFBC46"/>
    <w:rsid w:val="66ED1711"/>
    <w:rsid w:val="66F33BB1"/>
    <w:rsid w:val="66FB5905"/>
    <w:rsid w:val="66FE2607"/>
    <w:rsid w:val="67016DC2"/>
    <w:rsid w:val="670FFB04"/>
    <w:rsid w:val="6720C2F0"/>
    <w:rsid w:val="6745AF84"/>
    <w:rsid w:val="6748079C"/>
    <w:rsid w:val="6755AD6E"/>
    <w:rsid w:val="675BDADB"/>
    <w:rsid w:val="67A6EA70"/>
    <w:rsid w:val="67B06556"/>
    <w:rsid w:val="67B7A33C"/>
    <w:rsid w:val="67E36B20"/>
    <w:rsid w:val="681FAC58"/>
    <w:rsid w:val="68252520"/>
    <w:rsid w:val="682BED3D"/>
    <w:rsid w:val="68332C2E"/>
    <w:rsid w:val="683F4E48"/>
    <w:rsid w:val="68419A19"/>
    <w:rsid w:val="684BCBFC"/>
    <w:rsid w:val="684D0076"/>
    <w:rsid w:val="68534CB2"/>
    <w:rsid w:val="685A0F0D"/>
    <w:rsid w:val="68896F5C"/>
    <w:rsid w:val="6899E746"/>
    <w:rsid w:val="68B1FD94"/>
    <w:rsid w:val="68B2950B"/>
    <w:rsid w:val="68D79811"/>
    <w:rsid w:val="690FA786"/>
    <w:rsid w:val="691B3B41"/>
    <w:rsid w:val="691F0687"/>
    <w:rsid w:val="692FFE03"/>
    <w:rsid w:val="69377DC9"/>
    <w:rsid w:val="69379CB4"/>
    <w:rsid w:val="6944EC6F"/>
    <w:rsid w:val="6959CE78"/>
    <w:rsid w:val="697B7A84"/>
    <w:rsid w:val="697D63A8"/>
    <w:rsid w:val="697F9164"/>
    <w:rsid w:val="6997B47F"/>
    <w:rsid w:val="699D8564"/>
    <w:rsid w:val="69B308BE"/>
    <w:rsid w:val="69B5A460"/>
    <w:rsid w:val="69BCF808"/>
    <w:rsid w:val="6A0A451B"/>
    <w:rsid w:val="6A110EC2"/>
    <w:rsid w:val="6A2A2615"/>
    <w:rsid w:val="6A2F130F"/>
    <w:rsid w:val="6A38C6E9"/>
    <w:rsid w:val="6A607B71"/>
    <w:rsid w:val="6A7475D2"/>
    <w:rsid w:val="6A7E0636"/>
    <w:rsid w:val="6A7E153D"/>
    <w:rsid w:val="6A8C1411"/>
    <w:rsid w:val="6A8DF444"/>
    <w:rsid w:val="6A9110AB"/>
    <w:rsid w:val="6AD66EA8"/>
    <w:rsid w:val="6AD944EC"/>
    <w:rsid w:val="6AFAEED7"/>
    <w:rsid w:val="6AFF4713"/>
    <w:rsid w:val="6B09D7F6"/>
    <w:rsid w:val="6B0AABF7"/>
    <w:rsid w:val="6B3FE89E"/>
    <w:rsid w:val="6B4E1C7E"/>
    <w:rsid w:val="6B5C8989"/>
    <w:rsid w:val="6B71217B"/>
    <w:rsid w:val="6B7C8792"/>
    <w:rsid w:val="6B7DEA47"/>
    <w:rsid w:val="6B958FBF"/>
    <w:rsid w:val="6BCC5FF3"/>
    <w:rsid w:val="6BD2AE4C"/>
    <w:rsid w:val="6BDCD781"/>
    <w:rsid w:val="6BDEDF0F"/>
    <w:rsid w:val="6BE7C52C"/>
    <w:rsid w:val="6C2374C1"/>
    <w:rsid w:val="6C24EC47"/>
    <w:rsid w:val="6C34112C"/>
    <w:rsid w:val="6C34F13A"/>
    <w:rsid w:val="6C50EB0F"/>
    <w:rsid w:val="6C6020AF"/>
    <w:rsid w:val="6C61A534"/>
    <w:rsid w:val="6C8291D4"/>
    <w:rsid w:val="6C9A9D1A"/>
    <w:rsid w:val="6CACF889"/>
    <w:rsid w:val="6CAD94A8"/>
    <w:rsid w:val="6CC7B110"/>
    <w:rsid w:val="6CCF02E1"/>
    <w:rsid w:val="6CD6F143"/>
    <w:rsid w:val="6CD861B9"/>
    <w:rsid w:val="6CDBACE0"/>
    <w:rsid w:val="6CEB446F"/>
    <w:rsid w:val="6CF86EBA"/>
    <w:rsid w:val="6D12D504"/>
    <w:rsid w:val="6D2A86D5"/>
    <w:rsid w:val="6D52B58B"/>
    <w:rsid w:val="6D5447FA"/>
    <w:rsid w:val="6D6A7569"/>
    <w:rsid w:val="6D8390E4"/>
    <w:rsid w:val="6D871731"/>
    <w:rsid w:val="6D977C55"/>
    <w:rsid w:val="6DC1D504"/>
    <w:rsid w:val="6DFB2F79"/>
    <w:rsid w:val="6DFF6F14"/>
    <w:rsid w:val="6E0AA0E1"/>
    <w:rsid w:val="6E1920B9"/>
    <w:rsid w:val="6E210BC8"/>
    <w:rsid w:val="6E2CDA99"/>
    <w:rsid w:val="6E5C4A57"/>
    <w:rsid w:val="6E61DB63"/>
    <w:rsid w:val="6E7FC9A2"/>
    <w:rsid w:val="6E835C22"/>
    <w:rsid w:val="6EB6EBE9"/>
    <w:rsid w:val="6EB8918B"/>
    <w:rsid w:val="6ED66D38"/>
    <w:rsid w:val="6EDE8FDF"/>
    <w:rsid w:val="6EEEC3DA"/>
    <w:rsid w:val="6EF54181"/>
    <w:rsid w:val="6F0E3010"/>
    <w:rsid w:val="6F207F9B"/>
    <w:rsid w:val="6F2F1885"/>
    <w:rsid w:val="6F32AFDA"/>
    <w:rsid w:val="6F381DAC"/>
    <w:rsid w:val="6F3E640A"/>
    <w:rsid w:val="6F519E2A"/>
    <w:rsid w:val="6F575F0E"/>
    <w:rsid w:val="6F595E42"/>
    <w:rsid w:val="6F633830"/>
    <w:rsid w:val="6F83857B"/>
    <w:rsid w:val="6FA0AD73"/>
    <w:rsid w:val="6FA6DD66"/>
    <w:rsid w:val="6FD43A31"/>
    <w:rsid w:val="6FDBE3E8"/>
    <w:rsid w:val="6FDC3DF3"/>
    <w:rsid w:val="6FF74BBB"/>
    <w:rsid w:val="701B1C29"/>
    <w:rsid w:val="701C41DE"/>
    <w:rsid w:val="70384E3C"/>
    <w:rsid w:val="7049B9E2"/>
    <w:rsid w:val="7062654E"/>
    <w:rsid w:val="706364A2"/>
    <w:rsid w:val="70779E2C"/>
    <w:rsid w:val="708E1FAB"/>
    <w:rsid w:val="7097526A"/>
    <w:rsid w:val="709C6744"/>
    <w:rsid w:val="70A26CD1"/>
    <w:rsid w:val="70EEA290"/>
    <w:rsid w:val="70F46E8E"/>
    <w:rsid w:val="711AE74F"/>
    <w:rsid w:val="711D1675"/>
    <w:rsid w:val="7131E6BE"/>
    <w:rsid w:val="71670650"/>
    <w:rsid w:val="71906E4E"/>
    <w:rsid w:val="7192C547"/>
    <w:rsid w:val="7193A5E9"/>
    <w:rsid w:val="71B031A6"/>
    <w:rsid w:val="71CEEABD"/>
    <w:rsid w:val="71DFAF56"/>
    <w:rsid w:val="723FFF0C"/>
    <w:rsid w:val="72470F38"/>
    <w:rsid w:val="724D76D9"/>
    <w:rsid w:val="725D8EC8"/>
    <w:rsid w:val="725F296F"/>
    <w:rsid w:val="72631507"/>
    <w:rsid w:val="72A9B5D2"/>
    <w:rsid w:val="72B9A464"/>
    <w:rsid w:val="72C23D5C"/>
    <w:rsid w:val="72D33678"/>
    <w:rsid w:val="72D3AB42"/>
    <w:rsid w:val="72DD5ECF"/>
    <w:rsid w:val="72E5D68B"/>
    <w:rsid w:val="72FDF9D8"/>
    <w:rsid w:val="7312BAB2"/>
    <w:rsid w:val="731FA8ED"/>
    <w:rsid w:val="732059B9"/>
    <w:rsid w:val="7323A576"/>
    <w:rsid w:val="732F7C6B"/>
    <w:rsid w:val="73350927"/>
    <w:rsid w:val="7344266D"/>
    <w:rsid w:val="73641061"/>
    <w:rsid w:val="736EEDCF"/>
    <w:rsid w:val="737AB882"/>
    <w:rsid w:val="7394F6EA"/>
    <w:rsid w:val="73C8022D"/>
    <w:rsid w:val="73FF0562"/>
    <w:rsid w:val="74017B8C"/>
    <w:rsid w:val="7403AA54"/>
    <w:rsid w:val="7418E775"/>
    <w:rsid w:val="741FC44F"/>
    <w:rsid w:val="7433D88F"/>
    <w:rsid w:val="7450942F"/>
    <w:rsid w:val="745AF926"/>
    <w:rsid w:val="745B4F63"/>
    <w:rsid w:val="746EA12B"/>
    <w:rsid w:val="74A19C11"/>
    <w:rsid w:val="74A94385"/>
    <w:rsid w:val="74B85C24"/>
    <w:rsid w:val="74C3903A"/>
    <w:rsid w:val="74DDA5A0"/>
    <w:rsid w:val="750451FE"/>
    <w:rsid w:val="75129973"/>
    <w:rsid w:val="751DE6F5"/>
    <w:rsid w:val="752CF387"/>
    <w:rsid w:val="75484B5B"/>
    <w:rsid w:val="754BA4D5"/>
    <w:rsid w:val="7551AFCE"/>
    <w:rsid w:val="75650C46"/>
    <w:rsid w:val="756EBB48"/>
    <w:rsid w:val="7579DC6F"/>
    <w:rsid w:val="75948185"/>
    <w:rsid w:val="75A46F10"/>
    <w:rsid w:val="75BA8D7C"/>
    <w:rsid w:val="75C16EEB"/>
    <w:rsid w:val="7607A5F4"/>
    <w:rsid w:val="76194A6D"/>
    <w:rsid w:val="76199534"/>
    <w:rsid w:val="76583415"/>
    <w:rsid w:val="765D4343"/>
    <w:rsid w:val="767A293F"/>
    <w:rsid w:val="767E544F"/>
    <w:rsid w:val="768B1007"/>
    <w:rsid w:val="76B68A00"/>
    <w:rsid w:val="76D25577"/>
    <w:rsid w:val="76D53D68"/>
    <w:rsid w:val="77054C07"/>
    <w:rsid w:val="7717B42C"/>
    <w:rsid w:val="7719D38F"/>
    <w:rsid w:val="773B138E"/>
    <w:rsid w:val="774B3EC1"/>
    <w:rsid w:val="77598651"/>
    <w:rsid w:val="77614CD2"/>
    <w:rsid w:val="77638305"/>
    <w:rsid w:val="7769357A"/>
    <w:rsid w:val="776D59B1"/>
    <w:rsid w:val="77749299"/>
    <w:rsid w:val="777B0634"/>
    <w:rsid w:val="777F8554"/>
    <w:rsid w:val="778C66C3"/>
    <w:rsid w:val="779EBD91"/>
    <w:rsid w:val="77AE1C2C"/>
    <w:rsid w:val="77AF91D5"/>
    <w:rsid w:val="77E50078"/>
    <w:rsid w:val="77E72E38"/>
    <w:rsid w:val="77FC2BB9"/>
    <w:rsid w:val="7813E46D"/>
    <w:rsid w:val="781A6B7E"/>
    <w:rsid w:val="7822CD24"/>
    <w:rsid w:val="783F8304"/>
    <w:rsid w:val="789027E2"/>
    <w:rsid w:val="78952A51"/>
    <w:rsid w:val="78A1244C"/>
    <w:rsid w:val="78C6012C"/>
    <w:rsid w:val="78CEBFD5"/>
    <w:rsid w:val="78D44073"/>
    <w:rsid w:val="78FB1449"/>
    <w:rsid w:val="7902A4A2"/>
    <w:rsid w:val="79196D85"/>
    <w:rsid w:val="792A6E81"/>
    <w:rsid w:val="792C4195"/>
    <w:rsid w:val="7940AF9B"/>
    <w:rsid w:val="794983A5"/>
    <w:rsid w:val="795F5663"/>
    <w:rsid w:val="798CAA4B"/>
    <w:rsid w:val="799BC4DF"/>
    <w:rsid w:val="799CD360"/>
    <w:rsid w:val="79B8186C"/>
    <w:rsid w:val="79EDE8C2"/>
    <w:rsid w:val="79EFC0E6"/>
    <w:rsid w:val="79F1B7A6"/>
    <w:rsid w:val="79F41488"/>
    <w:rsid w:val="7A0385FC"/>
    <w:rsid w:val="7A1546F7"/>
    <w:rsid w:val="7A1554F9"/>
    <w:rsid w:val="7A1CF9CA"/>
    <w:rsid w:val="7A298E90"/>
    <w:rsid w:val="7A2C067E"/>
    <w:rsid w:val="7A687111"/>
    <w:rsid w:val="7A7C2873"/>
    <w:rsid w:val="7A7C7A94"/>
    <w:rsid w:val="7A9E19C4"/>
    <w:rsid w:val="7AB3487B"/>
    <w:rsid w:val="7AB5D173"/>
    <w:rsid w:val="7ABE887C"/>
    <w:rsid w:val="7ABFEAAE"/>
    <w:rsid w:val="7AF85A1D"/>
    <w:rsid w:val="7B01E40B"/>
    <w:rsid w:val="7B036089"/>
    <w:rsid w:val="7B0A14F2"/>
    <w:rsid w:val="7B3534CD"/>
    <w:rsid w:val="7B44942E"/>
    <w:rsid w:val="7B4CEC9E"/>
    <w:rsid w:val="7B5508E8"/>
    <w:rsid w:val="7B7FDFB6"/>
    <w:rsid w:val="7B88A184"/>
    <w:rsid w:val="7B96BBBD"/>
    <w:rsid w:val="7B9F82D4"/>
    <w:rsid w:val="7BA03AAA"/>
    <w:rsid w:val="7BB1ACB0"/>
    <w:rsid w:val="7BB5C3AD"/>
    <w:rsid w:val="7BC01B71"/>
    <w:rsid w:val="7BD3F417"/>
    <w:rsid w:val="7BD77824"/>
    <w:rsid w:val="7BDC56AC"/>
    <w:rsid w:val="7C0DDF00"/>
    <w:rsid w:val="7C0E8C00"/>
    <w:rsid w:val="7C68BFC3"/>
    <w:rsid w:val="7C6DB035"/>
    <w:rsid w:val="7CBD4137"/>
    <w:rsid w:val="7CC002FC"/>
    <w:rsid w:val="7CD3B3AB"/>
    <w:rsid w:val="7CD4A96D"/>
    <w:rsid w:val="7CD624B8"/>
    <w:rsid w:val="7CD8AAEC"/>
    <w:rsid w:val="7CE2027C"/>
    <w:rsid w:val="7CF16D49"/>
    <w:rsid w:val="7D0A76D9"/>
    <w:rsid w:val="7D0CBB47"/>
    <w:rsid w:val="7D0DAEB0"/>
    <w:rsid w:val="7D1575F0"/>
    <w:rsid w:val="7D2FD1D9"/>
    <w:rsid w:val="7D374154"/>
    <w:rsid w:val="7D467E5D"/>
    <w:rsid w:val="7D47DF5A"/>
    <w:rsid w:val="7D49EF87"/>
    <w:rsid w:val="7D4FE0ED"/>
    <w:rsid w:val="7D506E43"/>
    <w:rsid w:val="7D62EB20"/>
    <w:rsid w:val="7D686FB0"/>
    <w:rsid w:val="7D6917CC"/>
    <w:rsid w:val="7D6A1135"/>
    <w:rsid w:val="7D6B6E86"/>
    <w:rsid w:val="7D7082C5"/>
    <w:rsid w:val="7DB9A6ED"/>
    <w:rsid w:val="7DC390AB"/>
    <w:rsid w:val="7DC648F5"/>
    <w:rsid w:val="7DD8BE18"/>
    <w:rsid w:val="7DE7716B"/>
    <w:rsid w:val="7E094A65"/>
    <w:rsid w:val="7E12E745"/>
    <w:rsid w:val="7E1E696C"/>
    <w:rsid w:val="7E247885"/>
    <w:rsid w:val="7E314DA5"/>
    <w:rsid w:val="7E319DB2"/>
    <w:rsid w:val="7E6760C7"/>
    <w:rsid w:val="7E7FE71B"/>
    <w:rsid w:val="7E8B0E80"/>
    <w:rsid w:val="7E91AE48"/>
    <w:rsid w:val="7E994660"/>
    <w:rsid w:val="7E9EBF9E"/>
    <w:rsid w:val="7EA02C94"/>
    <w:rsid w:val="7EA5A990"/>
    <w:rsid w:val="7EAF7A91"/>
    <w:rsid w:val="7EDA7378"/>
    <w:rsid w:val="7EE407E1"/>
    <w:rsid w:val="7F026929"/>
    <w:rsid w:val="7F0DCB55"/>
    <w:rsid w:val="7F10EA0C"/>
    <w:rsid w:val="7F21B0EB"/>
    <w:rsid w:val="7F2B8959"/>
    <w:rsid w:val="7F315988"/>
    <w:rsid w:val="7F4BCD77"/>
    <w:rsid w:val="7F6A0591"/>
    <w:rsid w:val="7F6A19DB"/>
    <w:rsid w:val="7F758714"/>
    <w:rsid w:val="7F77588E"/>
    <w:rsid w:val="7FBD110C"/>
    <w:rsid w:val="7FC4DEAE"/>
    <w:rsid w:val="7FC8E755"/>
    <w:rsid w:val="7FCF64AF"/>
    <w:rsid w:val="7FD9B16D"/>
    <w:rsid w:val="7FDAA6A2"/>
    <w:rsid w:val="7FF08057"/>
    <w:rsid w:val="7FFAE4F7"/>
    <w:rsid w:val="7FFD89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E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uiPriority="39"/>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uiPriority="9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iPriority="99"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7189"/>
    <w:pPr>
      <w:spacing w:line="259" w:lineRule="auto"/>
    </w:pPr>
    <w:rPr>
      <w:sz w:val="22"/>
    </w:rPr>
  </w:style>
  <w:style w:type="paragraph" w:styleId="Heading1">
    <w:name w:val="heading 1"/>
    <w:basedOn w:val="Normal"/>
    <w:next w:val="Normal"/>
    <w:link w:val="Heading1Char"/>
    <w:uiPriority w:val="9"/>
    <w:qFormat/>
    <w:rsid w:val="00CC33D3"/>
    <w:pPr>
      <w:keepNext/>
      <w:keepLines/>
      <w:numPr>
        <w:numId w:val="34"/>
      </w:numPr>
      <w:spacing w:before="360" w:line="560" w:lineRule="atLeast"/>
      <w:outlineLvl w:val="0"/>
    </w:pPr>
    <w:rPr>
      <w:rFonts w:ascii="Arial" w:eastAsiaTheme="majorEastAsia" w:hAnsi="Arial" w:cs="Arial"/>
      <w:bCs/>
      <w:color w:val="009364"/>
      <w:sz w:val="48"/>
      <w:szCs w:val="40"/>
    </w:rPr>
  </w:style>
  <w:style w:type="paragraph" w:styleId="Heading2">
    <w:name w:val="heading 2"/>
    <w:basedOn w:val="Normal"/>
    <w:next w:val="Normal"/>
    <w:link w:val="Heading2Char"/>
    <w:uiPriority w:val="9"/>
    <w:qFormat/>
    <w:rsid w:val="0028513C"/>
    <w:pPr>
      <w:keepNext/>
      <w:keepLines/>
      <w:spacing w:before="360" w:line="380" w:lineRule="atLeast"/>
      <w:outlineLvl w:val="1"/>
    </w:pPr>
    <w:rPr>
      <w:rFonts w:ascii="Arial" w:eastAsiaTheme="majorEastAsia" w:hAnsi="Arial" w:cs="Arial"/>
      <w:b/>
      <w:bCs/>
      <w:color w:val="001032"/>
      <w:sz w:val="32"/>
      <w:szCs w:val="26"/>
    </w:rPr>
  </w:style>
  <w:style w:type="paragraph" w:styleId="Heading3">
    <w:name w:val="heading 3"/>
    <w:basedOn w:val="Normal"/>
    <w:next w:val="Normal"/>
    <w:link w:val="Heading3Char"/>
    <w:uiPriority w:val="9"/>
    <w:qFormat/>
    <w:rsid w:val="00E72AE2"/>
    <w:pPr>
      <w:keepNext/>
      <w:keepLines/>
      <w:spacing w:before="280" w:after="120" w:line="340" w:lineRule="atLeast"/>
      <w:outlineLvl w:val="2"/>
    </w:pPr>
    <w:rPr>
      <w:rFonts w:ascii="Arial" w:eastAsiaTheme="majorEastAsia" w:hAnsi="Arial" w:cs="Arial"/>
      <w:b/>
      <w:bCs/>
      <w:color w:val="009364"/>
      <w:sz w:val="28"/>
    </w:rPr>
  </w:style>
  <w:style w:type="paragraph" w:styleId="Heading4">
    <w:name w:val="heading 4"/>
    <w:basedOn w:val="Normal"/>
    <w:next w:val="Normal"/>
    <w:link w:val="Heading4Char"/>
    <w:qFormat/>
    <w:rsid w:val="0028513C"/>
    <w:pPr>
      <w:keepNext/>
      <w:keepLines/>
      <w:spacing w:before="360" w:line="240" w:lineRule="auto"/>
      <w:outlineLvl w:val="3"/>
    </w:pPr>
    <w:rPr>
      <w:rFonts w:asciiTheme="majorHAnsi" w:eastAsiaTheme="majorEastAsia" w:hAnsiTheme="majorHAnsi" w:cstheme="majorBidi"/>
      <w:b/>
      <w:bCs/>
      <w:iCs/>
      <w:color w:val="001032" w:themeColor="text2"/>
      <w:sz w:val="24"/>
    </w:rPr>
  </w:style>
  <w:style w:type="paragraph" w:styleId="Heading5">
    <w:name w:val="heading 5"/>
    <w:basedOn w:val="Normal"/>
    <w:next w:val="Normal"/>
    <w:link w:val="Heading5Char"/>
    <w:qFormat/>
    <w:rsid w:val="0028513C"/>
    <w:pPr>
      <w:keepNext/>
      <w:keepLines/>
      <w:tabs>
        <w:tab w:val="left" w:pos="794"/>
      </w:tabs>
      <w:spacing w:before="360" w:line="240" w:lineRule="auto"/>
      <w:outlineLvl w:val="4"/>
    </w:pPr>
    <w:rPr>
      <w:rFonts w:asciiTheme="majorHAnsi" w:eastAsiaTheme="majorEastAsia" w:hAnsiTheme="majorHAnsi" w:cstheme="majorBidi"/>
      <w:b/>
      <w:color w:val="001032" w:themeColor="text2"/>
    </w:rPr>
  </w:style>
  <w:style w:type="paragraph" w:styleId="Heading6">
    <w:name w:val="heading 6"/>
    <w:basedOn w:val="Normal"/>
    <w:next w:val="Normal"/>
    <w:link w:val="Heading6Char"/>
    <w:semiHidden/>
    <w:qFormat/>
    <w:rsid w:val="00DB4DFF"/>
    <w:pPr>
      <w:keepNext/>
      <w:keepLines/>
      <w:spacing w:before="250" w:after="40"/>
      <w:outlineLvl w:val="5"/>
    </w:pPr>
    <w:rPr>
      <w:rFonts w:asciiTheme="majorHAnsi" w:eastAsiaTheme="majorEastAsia" w:hAnsiTheme="majorHAnsi" w:cstheme="majorBidi"/>
      <w:i/>
      <w:iCs/>
      <w:spacing w:val="4"/>
      <w:sz w:val="24"/>
      <w:lang w:eastAsia="en-US"/>
    </w:rPr>
  </w:style>
  <w:style w:type="paragraph" w:styleId="Heading7">
    <w:name w:val="heading 7"/>
    <w:basedOn w:val="Normal"/>
    <w:next w:val="Normal"/>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Normal"/>
    <w:link w:val="Heading8Char"/>
    <w:semiHidden/>
    <w:rsid w:val="0058629F"/>
    <w:pPr>
      <w:keepNext/>
      <w:keepLines/>
      <w:pageBreakBefore/>
      <w:numPr>
        <w:numId w:val="14"/>
      </w:numPr>
      <w:tabs>
        <w:tab w:val="right" w:pos="9639"/>
      </w:tabs>
      <w:spacing w:after="320" w:line="240" w:lineRule="auto"/>
      <w:outlineLvl w:val="7"/>
    </w:pPr>
    <w:rPr>
      <w:rFonts w:asciiTheme="majorHAnsi" w:eastAsiaTheme="majorEastAsia" w:hAnsiTheme="majorHAnsi" w:cs="Arial"/>
      <w:caps/>
      <w:color w:val="001032" w:themeColor="text2"/>
      <w:sz w:val="36"/>
      <w:lang w:eastAsia="en-US"/>
    </w:rPr>
  </w:style>
  <w:style w:type="paragraph" w:styleId="Heading9">
    <w:name w:val="heading 9"/>
    <w:basedOn w:val="Normal"/>
    <w:next w:val="Normal"/>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link w:val="BlockTextChar"/>
    <w:semiHidden/>
    <w:unhideWhenUsed/>
    <w:rsid w:val="0028513C"/>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31"/>
    <w:rsid w:val="00625F4C"/>
    <w:pPr>
      <w:tabs>
        <w:tab w:val="right" w:pos="9639"/>
      </w:tabs>
      <w:spacing w:before="0" w:after="0" w:line="240" w:lineRule="auto"/>
      <w:jc w:val="right"/>
    </w:pPr>
    <w:rPr>
      <w:b/>
    </w:rPr>
  </w:style>
  <w:style w:type="character" w:customStyle="1" w:styleId="FooterChar">
    <w:name w:val="Footer Char"/>
    <w:basedOn w:val="DefaultParagraphFont"/>
    <w:link w:val="Footer"/>
    <w:uiPriority w:val="31"/>
    <w:rsid w:val="00865D11"/>
    <w:rPr>
      <w:b/>
    </w:rPr>
  </w:style>
  <w:style w:type="numbering" w:customStyle="1" w:styleId="HangingList">
    <w:name w:val="HangingList"/>
    <w:uiPriority w:val="99"/>
    <w:rsid w:val="00B2011B"/>
    <w:pPr>
      <w:numPr>
        <w:numId w:val="13"/>
      </w:numPr>
    </w:pPr>
  </w:style>
  <w:style w:type="paragraph" w:styleId="Header">
    <w:name w:val="header"/>
    <w:basedOn w:val="Normal"/>
    <w:link w:val="HeaderChar"/>
    <w:uiPriority w:val="31"/>
    <w:rsid w:val="003B7771"/>
    <w:pPr>
      <w:tabs>
        <w:tab w:val="left" w:pos="1860"/>
        <w:tab w:val="left" w:pos="2730"/>
      </w:tabs>
      <w:spacing w:before="0" w:after="0" w:line="240" w:lineRule="auto"/>
    </w:pPr>
    <w:rPr>
      <w:spacing w:val="2"/>
      <w:sz w:val="16"/>
    </w:rPr>
  </w:style>
  <w:style w:type="character" w:customStyle="1" w:styleId="HeaderChar">
    <w:name w:val="Header Char"/>
    <w:basedOn w:val="DefaultParagraphFont"/>
    <w:link w:val="Header"/>
    <w:uiPriority w:val="31"/>
    <w:rsid w:val="00865D11"/>
    <w:rPr>
      <w:spacing w:val="2"/>
      <w:sz w:val="16"/>
    </w:rPr>
  </w:style>
  <w:style w:type="character" w:customStyle="1" w:styleId="Heading1Char">
    <w:name w:val="Heading 1 Char"/>
    <w:basedOn w:val="DefaultParagraphFont"/>
    <w:link w:val="Heading1"/>
    <w:uiPriority w:val="9"/>
    <w:rsid w:val="00CC33D3"/>
    <w:rPr>
      <w:rFonts w:ascii="Arial" w:eastAsiaTheme="majorEastAsia" w:hAnsi="Arial" w:cs="Arial"/>
      <w:bCs/>
      <w:color w:val="009364"/>
      <w:sz w:val="48"/>
      <w:szCs w:val="40"/>
    </w:rPr>
  </w:style>
  <w:style w:type="character" w:customStyle="1" w:styleId="Heading2Char">
    <w:name w:val="Heading 2 Char"/>
    <w:basedOn w:val="DefaultParagraphFont"/>
    <w:link w:val="Heading2"/>
    <w:uiPriority w:val="9"/>
    <w:rsid w:val="0028513C"/>
    <w:rPr>
      <w:rFonts w:ascii="Arial" w:eastAsiaTheme="majorEastAsia" w:hAnsi="Arial" w:cs="Arial"/>
      <w:b/>
      <w:bCs/>
      <w:color w:val="001032"/>
      <w:sz w:val="32"/>
      <w:szCs w:val="26"/>
    </w:rPr>
  </w:style>
  <w:style w:type="character" w:customStyle="1" w:styleId="Heading3Char">
    <w:name w:val="Heading 3 Char"/>
    <w:basedOn w:val="DefaultParagraphFont"/>
    <w:link w:val="Heading3"/>
    <w:uiPriority w:val="9"/>
    <w:rsid w:val="00E72AE2"/>
    <w:rPr>
      <w:rFonts w:ascii="Arial" w:eastAsiaTheme="majorEastAsia" w:hAnsi="Arial" w:cs="Arial"/>
      <w:b/>
      <w:bCs/>
      <w:color w:val="009364"/>
      <w:sz w:val="28"/>
    </w:rPr>
  </w:style>
  <w:style w:type="character" w:customStyle="1" w:styleId="Heading4Char">
    <w:name w:val="Heading 4 Char"/>
    <w:basedOn w:val="DefaultParagraphFont"/>
    <w:link w:val="Heading4"/>
    <w:rsid w:val="0028513C"/>
    <w:rPr>
      <w:rFonts w:asciiTheme="majorHAnsi" w:eastAsiaTheme="majorEastAsia" w:hAnsiTheme="majorHAnsi" w:cstheme="majorBidi"/>
      <w:b/>
      <w:bCs/>
      <w:iCs/>
      <w:color w:val="001032" w:themeColor="text2"/>
      <w:sz w:val="24"/>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color w:val="001032" w:themeColor="text2"/>
      <w:sz w:val="36"/>
      <w:lang w:eastAsia="en-US"/>
    </w:rPr>
  </w:style>
  <w:style w:type="character" w:customStyle="1" w:styleId="Heading9Char">
    <w:name w:val="Heading 9 Char"/>
    <w:basedOn w:val="DefaultParagraphFont"/>
    <w:link w:val="Heading9"/>
    <w:semiHidden/>
    <w:rsid w:val="000809F5"/>
  </w:style>
  <w:style w:type="numbering" w:customStyle="1" w:styleId="LstStandardNumbering">
    <w:name w:val="Lst_StandardNumbering"/>
    <w:uiPriority w:val="99"/>
    <w:rsid w:val="00B44180"/>
    <w:pPr>
      <w:numPr>
        <w:numId w:val="17"/>
      </w:numPr>
    </w:pPr>
  </w:style>
  <w:style w:type="character" w:styleId="Hyperlink">
    <w:name w:val="Hyperlink"/>
    <w:basedOn w:val="DefaultParagraphFont"/>
    <w:uiPriority w:val="99"/>
    <w:unhideWhenUsed/>
    <w:rsid w:val="0028513C"/>
    <w:rPr>
      <w:color w:val="000000" w:themeColor="text1"/>
      <w:u w:val="single" w:color="009364" w:themeColor="accent2"/>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Normal"/>
    <w:qFormat/>
    <w:rsid w:val="0028513C"/>
    <w:pPr>
      <w:ind w:left="397" w:hanging="397"/>
    </w:pPr>
  </w:style>
  <w:style w:type="paragraph" w:styleId="ListBullet2">
    <w:name w:val="List Bullet 2"/>
    <w:basedOn w:val="ListBullet"/>
    <w:qFormat/>
    <w:rsid w:val="00156BC1"/>
  </w:style>
  <w:style w:type="paragraph" w:styleId="ListBullet3">
    <w:name w:val="List Bullet 3"/>
    <w:basedOn w:val="ListBullet2"/>
    <w:qFormat/>
    <w:rsid w:val="0058629F"/>
  </w:style>
  <w:style w:type="paragraph" w:styleId="ListContinue">
    <w:name w:val="List Continue"/>
    <w:basedOn w:val="ListContinue2"/>
    <w:qFormat/>
    <w:rsid w:val="00BA0796"/>
    <w:pPr>
      <w:numPr>
        <w:ilvl w:val="0"/>
      </w:numPr>
    </w:pPr>
  </w:style>
  <w:style w:type="paragraph" w:styleId="ListNumber">
    <w:name w:val="List Number"/>
    <w:basedOn w:val="Normal"/>
    <w:uiPriority w:val="99"/>
    <w:qFormat/>
    <w:rsid w:val="00E02730"/>
    <w:pPr>
      <w:tabs>
        <w:tab w:val="num" w:pos="360"/>
      </w:tabs>
      <w:ind w:left="360" w:hanging="360"/>
    </w:pPr>
  </w:style>
  <w:style w:type="paragraph" w:styleId="ListNumber2">
    <w:name w:val="List Number 2"/>
    <w:basedOn w:val="ListNumber"/>
    <w:uiPriority w:val="99"/>
    <w:qFormat/>
    <w:rsid w:val="00AB6CB2"/>
  </w:style>
  <w:style w:type="paragraph" w:styleId="ListNumber3">
    <w:name w:val="List Number 3"/>
    <w:basedOn w:val="ListNumber2"/>
    <w:uiPriority w:val="99"/>
    <w:qFormat/>
    <w:rsid w:val="00AB6CB2"/>
  </w:style>
  <w:style w:type="paragraph" w:customStyle="1" w:styleId="DisclaimerTextinFrame">
    <w:name w:val="Disclaimer Text in Frame"/>
    <w:basedOn w:val="Normal"/>
    <w:uiPriority w:val="31"/>
    <w:rsid w:val="00625F4C"/>
    <w:pPr>
      <w:framePr w:w="9185" w:wrap="around" w:hAnchor="text" w:yAlign="bottom"/>
      <w:spacing w:after="100"/>
    </w:pPr>
  </w:style>
  <w:style w:type="character" w:styleId="PlaceholderText">
    <w:name w:val="Placeholder Text"/>
    <w:basedOn w:val="DefaultParagraphFont"/>
    <w:uiPriority w:val="99"/>
    <w:rsid w:val="0058629F"/>
    <w:rPr>
      <w:color w:val="808080"/>
    </w:rPr>
  </w:style>
  <w:style w:type="paragraph" w:styleId="Title">
    <w:name w:val="Title"/>
    <w:basedOn w:val="Normal"/>
    <w:next w:val="Normal"/>
    <w:link w:val="TitleChar"/>
    <w:uiPriority w:val="29"/>
    <w:rsid w:val="00057C60"/>
    <w:pPr>
      <w:spacing w:before="0" w:after="0" w:line="720" w:lineRule="atLeast"/>
      <w:contextualSpacing/>
    </w:pPr>
    <w:rPr>
      <w:rFonts w:asciiTheme="majorHAnsi" w:hAnsiTheme="majorHAnsi"/>
      <w:sz w:val="60"/>
    </w:rPr>
  </w:style>
  <w:style w:type="character" w:customStyle="1" w:styleId="TitleChar">
    <w:name w:val="Title Char"/>
    <w:basedOn w:val="DefaultParagraphFont"/>
    <w:link w:val="Title"/>
    <w:uiPriority w:val="29"/>
    <w:rsid w:val="00057C60"/>
    <w:rPr>
      <w:rFonts w:asciiTheme="majorHAnsi" w:hAnsiTheme="majorHAnsi"/>
      <w:sz w:val="60"/>
    </w:rPr>
  </w:style>
  <w:style w:type="paragraph" w:styleId="Subtitle">
    <w:name w:val="Subtitle"/>
    <w:basedOn w:val="Normal"/>
    <w:next w:val="Normal"/>
    <w:link w:val="SubtitleChar"/>
    <w:uiPriority w:val="30"/>
    <w:rsid w:val="00057C60"/>
    <w:pPr>
      <w:numPr>
        <w:ilvl w:val="1"/>
      </w:numPr>
      <w:spacing w:before="660" w:after="0" w:line="336" w:lineRule="atLeast"/>
      <w:contextualSpacing/>
    </w:pPr>
    <w:rPr>
      <w:rFonts w:eastAsiaTheme="majorEastAsia" w:cstheme="majorBidi"/>
      <w:iCs/>
      <w:sz w:val="28"/>
      <w:szCs w:val="24"/>
    </w:rPr>
  </w:style>
  <w:style w:type="paragraph" w:styleId="TOC5">
    <w:name w:val="toc 5"/>
    <w:basedOn w:val="Normal"/>
    <w:next w:val="Normal"/>
    <w:autoRedefine/>
    <w:semiHidden/>
    <w:rsid w:val="0058629F"/>
    <w:pPr>
      <w:spacing w:after="100"/>
      <w:ind w:left="720"/>
    </w:pPr>
  </w:style>
  <w:style w:type="paragraph" w:styleId="TOC6">
    <w:name w:val="toc 6"/>
    <w:basedOn w:val="Normal"/>
    <w:next w:val="Normal"/>
    <w:autoRedefine/>
    <w:semiHidden/>
    <w:rsid w:val="0058629F"/>
    <w:pPr>
      <w:spacing w:after="100"/>
      <w:ind w:left="900"/>
    </w:pPr>
  </w:style>
  <w:style w:type="paragraph" w:styleId="TOC7">
    <w:name w:val="toc 7"/>
    <w:basedOn w:val="Normal"/>
    <w:next w:val="Normal"/>
    <w:autoRedefine/>
    <w:semiHidden/>
    <w:rsid w:val="0058629F"/>
    <w:pPr>
      <w:spacing w:after="100"/>
      <w:ind w:left="1080"/>
    </w:pPr>
  </w:style>
  <w:style w:type="paragraph" w:styleId="TOC8">
    <w:name w:val="toc 8"/>
    <w:basedOn w:val="Normal"/>
    <w:next w:val="Normal"/>
    <w:autoRedefine/>
    <w:semiHidden/>
    <w:rsid w:val="0058629F"/>
    <w:pPr>
      <w:spacing w:after="100"/>
      <w:ind w:left="1260"/>
    </w:pPr>
  </w:style>
  <w:style w:type="character" w:customStyle="1" w:styleId="SubtitleChar">
    <w:name w:val="Subtitle Char"/>
    <w:basedOn w:val="DefaultParagraphFont"/>
    <w:link w:val="Subtitle"/>
    <w:uiPriority w:val="30"/>
    <w:rsid w:val="00057C60"/>
    <w:rPr>
      <w:rFonts w:eastAsiaTheme="majorEastAsia" w:cstheme="majorBidi"/>
      <w:iCs/>
      <w:sz w:val="28"/>
      <w:szCs w:val="24"/>
    </w:rPr>
  </w:style>
  <w:style w:type="paragraph" w:styleId="ListContinue2">
    <w:name w:val="List Continue 2"/>
    <w:basedOn w:val="ListContinue3"/>
    <w:qFormat/>
    <w:rsid w:val="00BA0796"/>
    <w:pPr>
      <w:numPr>
        <w:ilvl w:val="1"/>
      </w:numPr>
    </w:pPr>
  </w:style>
  <w:style w:type="paragraph" w:styleId="ListContinue3">
    <w:name w:val="List Continue 3"/>
    <w:basedOn w:val="Normal"/>
    <w:qFormat/>
    <w:rsid w:val="00DB4DFF"/>
    <w:pPr>
      <w:numPr>
        <w:ilvl w:val="2"/>
        <w:numId w:val="18"/>
      </w:numPr>
      <w:spacing w:before="90" w:after="90"/>
    </w:pPr>
  </w:style>
  <w:style w:type="paragraph" w:styleId="NoSpacing">
    <w:name w:val="No Spacing"/>
    <w:basedOn w:val="Normal"/>
    <w:qFormat/>
    <w:rsid w:val="00FB7293"/>
    <w:pPr>
      <w:spacing w:before="0" w:after="0"/>
    </w:pPr>
  </w:style>
  <w:style w:type="paragraph" w:customStyle="1" w:styleId="TableofFiguresHeading">
    <w:name w:val="Table of Figures Heading"/>
    <w:basedOn w:val="Normal"/>
    <w:uiPriority w:val="99"/>
    <w:semiHidden/>
    <w:rsid w:val="0058629F"/>
    <w:pPr>
      <w:spacing w:before="240" w:line="240" w:lineRule="auto"/>
    </w:pPr>
    <w:rPr>
      <w:b/>
      <w:bCs/>
      <w:noProof/>
    </w:rPr>
  </w:style>
  <w:style w:type="character" w:customStyle="1" w:styleId="Heading5Char">
    <w:name w:val="Heading 5 Char"/>
    <w:basedOn w:val="DefaultParagraphFont"/>
    <w:link w:val="Heading5"/>
    <w:rsid w:val="0028513C"/>
    <w:rPr>
      <w:rFonts w:asciiTheme="majorHAnsi" w:eastAsiaTheme="majorEastAsia" w:hAnsiTheme="majorHAnsi" w:cstheme="majorBidi"/>
      <w:b/>
      <w:color w:val="001032" w:themeColor="text2"/>
    </w:rPr>
  </w:style>
  <w:style w:type="character" w:customStyle="1" w:styleId="Heading6Char">
    <w:name w:val="Heading 6 Char"/>
    <w:basedOn w:val="DefaultParagraphFont"/>
    <w:link w:val="Heading6"/>
    <w:semiHidden/>
    <w:rsid w:val="00DB4DFF"/>
    <w:rPr>
      <w:rFonts w:asciiTheme="majorHAnsi" w:eastAsiaTheme="majorEastAsia" w:hAnsiTheme="majorHAnsi" w:cstheme="majorBidi"/>
      <w:i/>
      <w:iCs/>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table" w:styleId="PlainTable2">
    <w:name w:val="Plain Table 2"/>
    <w:basedOn w:val="TableNormal"/>
    <w:uiPriority w:val="42"/>
    <w:semiHidden/>
    <w:rsid w:val="0058629F"/>
    <w:pPr>
      <w:spacing w:line="240" w:lineRule="exact"/>
    </w:pPr>
    <w:rPr>
      <w:sz w:val="18"/>
    </w:r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39"/>
    <w:unhideWhenUsed/>
    <w:qFormat/>
    <w:rsid w:val="00F1218E"/>
    <w:pPr>
      <w:pageBreakBefore/>
      <w:spacing w:before="180" w:after="1080" w:line="240" w:lineRule="auto"/>
    </w:pPr>
    <w:rPr>
      <w:rFonts w:asciiTheme="majorHAnsi" w:hAnsiTheme="majorHAnsi"/>
      <w:bCs/>
      <w:color w:val="009364" w:themeColor="accent2"/>
      <w:sz w:val="52"/>
    </w:rPr>
  </w:style>
  <w:style w:type="paragraph" w:styleId="TOC1">
    <w:name w:val="toc 1"/>
    <w:basedOn w:val="Normal"/>
    <w:next w:val="Normal"/>
    <w:link w:val="TOC1Char"/>
    <w:autoRedefine/>
    <w:uiPriority w:val="39"/>
    <w:rsid w:val="007B6704"/>
    <w:pPr>
      <w:tabs>
        <w:tab w:val="right" w:pos="9582"/>
      </w:tabs>
      <w:spacing w:before="360" w:after="240" w:line="292" w:lineRule="atLeast"/>
      <w:ind w:right="510"/>
    </w:pPr>
    <w:rPr>
      <w:b/>
      <w:noProof/>
      <w:sz w:val="24"/>
    </w:rPr>
  </w:style>
  <w:style w:type="paragraph" w:styleId="TOC2">
    <w:name w:val="toc 2"/>
    <w:basedOn w:val="Normal"/>
    <w:next w:val="Normal"/>
    <w:autoRedefine/>
    <w:uiPriority w:val="39"/>
    <w:rsid w:val="007B6704"/>
    <w:pPr>
      <w:tabs>
        <w:tab w:val="right" w:pos="9582"/>
      </w:tabs>
      <w:spacing w:before="240" w:after="240" w:line="292" w:lineRule="atLeast"/>
      <w:ind w:left="851" w:right="567" w:hanging="624"/>
    </w:pPr>
    <w:rPr>
      <w:rFonts w:eastAsiaTheme="minorEastAsia" w:cstheme="minorBidi"/>
      <w:noProof/>
      <w:sz w:val="24"/>
    </w:rPr>
  </w:style>
  <w:style w:type="table" w:customStyle="1" w:styleId="TablePlaceholder">
    <w:name w:val="Table Placeholder"/>
    <w:basedOn w:val="TableNormal"/>
    <w:uiPriority w:val="99"/>
    <w:rsid w:val="0058629F"/>
    <w:pPr>
      <w:spacing w:line="240" w:lineRule="auto"/>
    </w:pPr>
    <w:tblPr>
      <w:tblCellMar>
        <w:left w:w="0" w:type="dxa"/>
        <w:right w:w="0" w:type="dxa"/>
      </w:tblCellMar>
    </w:tblPr>
  </w:style>
  <w:style w:type="paragraph" w:styleId="Caption">
    <w:name w:val="caption"/>
    <w:basedOn w:val="Normal"/>
    <w:next w:val="Normal"/>
    <w:qFormat/>
    <w:rsid w:val="00397986"/>
    <w:pPr>
      <w:keepNext/>
      <w:tabs>
        <w:tab w:val="left" w:pos="1134"/>
      </w:tabs>
      <w:spacing w:before="0"/>
    </w:pPr>
    <w:rPr>
      <w:b/>
      <w:iCs/>
      <w:color w:val="auto"/>
      <w:szCs w:val="18"/>
    </w:rPr>
  </w:style>
  <w:style w:type="paragraph" w:styleId="FootnoteText">
    <w:name w:val="footnote text"/>
    <w:basedOn w:val="Normal"/>
    <w:link w:val="FootnoteTextChar"/>
    <w:rsid w:val="00D96685"/>
    <w:pPr>
      <w:spacing w:before="40" w:after="0" w:line="220" w:lineRule="atLeast"/>
    </w:pPr>
    <w:rPr>
      <w:sz w:val="16"/>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AECE7" w:themeFill="accent1" w:themeFillTint="33"/>
    </w:tcPr>
    <w:tblStylePr w:type="firstRow">
      <w:rPr>
        <w:b/>
        <w:bCs/>
      </w:rPr>
      <w:tblPr/>
      <w:tcPr>
        <w:shd w:val="clear" w:color="auto" w:fill="76D9CF" w:themeFill="accent1" w:themeFillTint="66"/>
      </w:tcPr>
    </w:tblStylePr>
    <w:tblStylePr w:type="lastRow">
      <w:rPr>
        <w:b/>
        <w:bCs/>
        <w:color w:val="000000" w:themeColor="text1"/>
      </w:rPr>
      <w:tblPr/>
      <w:tcPr>
        <w:shd w:val="clear" w:color="auto" w:fill="76D9CF" w:themeFill="accent1" w:themeFillTint="66"/>
      </w:tcPr>
    </w:tblStylePr>
    <w:tblStylePr w:type="firstCol">
      <w:rPr>
        <w:color w:val="FFFFFF" w:themeColor="background1"/>
      </w:rPr>
      <w:tblPr/>
      <w:tcPr>
        <w:shd w:val="clear" w:color="auto" w:fill="0C2B28" w:themeFill="accent1" w:themeFillShade="BF"/>
      </w:tcPr>
    </w:tblStylePr>
    <w:tblStylePr w:type="lastCol">
      <w:rPr>
        <w:color w:val="FFFFFF" w:themeColor="background1"/>
      </w:rPr>
      <w:tblPr/>
      <w:tcPr>
        <w:shd w:val="clear" w:color="auto" w:fill="0C2B28" w:themeFill="accent1" w:themeFillShade="BF"/>
      </w:tcPr>
    </w:tblStylePr>
    <w:tblStylePr w:type="band1Vert">
      <w:tblPr/>
      <w:tcPr>
        <w:shd w:val="clear" w:color="auto" w:fill="54D0C3" w:themeFill="accent1" w:themeFillTint="7F"/>
      </w:tcPr>
    </w:tblStylePr>
    <w:tblStylePr w:type="band1Horz">
      <w:tblPr/>
      <w:tcPr>
        <w:shd w:val="clear" w:color="auto" w:fill="54D0C3"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B6FFE7" w:themeFill="accent2" w:themeFillTint="33"/>
    </w:tcPr>
    <w:tblStylePr w:type="firstRow">
      <w:rPr>
        <w:b/>
        <w:bCs/>
      </w:rPr>
      <w:tblPr/>
      <w:tcPr>
        <w:shd w:val="clear" w:color="auto" w:fill="6DFFD0" w:themeFill="accent2" w:themeFillTint="66"/>
      </w:tcPr>
    </w:tblStylePr>
    <w:tblStylePr w:type="lastRow">
      <w:rPr>
        <w:b/>
        <w:bCs/>
        <w:color w:val="000000" w:themeColor="text1"/>
      </w:rPr>
      <w:tblPr/>
      <w:tcPr>
        <w:shd w:val="clear" w:color="auto" w:fill="6DFFD0" w:themeFill="accent2" w:themeFillTint="66"/>
      </w:tcPr>
    </w:tblStylePr>
    <w:tblStylePr w:type="firstCol">
      <w:rPr>
        <w:color w:val="FFFFFF" w:themeColor="background1"/>
      </w:rPr>
      <w:tblPr/>
      <w:tcPr>
        <w:shd w:val="clear" w:color="auto" w:fill="006E4A" w:themeFill="accent2" w:themeFillShade="BF"/>
      </w:tcPr>
    </w:tblStylePr>
    <w:tblStylePr w:type="lastCol">
      <w:rPr>
        <w:color w:val="FFFFFF" w:themeColor="background1"/>
      </w:rPr>
      <w:tblPr/>
      <w:tcPr>
        <w:shd w:val="clear" w:color="auto" w:fill="006E4A" w:themeFill="accent2" w:themeFillShade="BF"/>
      </w:tcPr>
    </w:tblStylePr>
    <w:tblStylePr w:type="band1Vert">
      <w:tblPr/>
      <w:tcPr>
        <w:shd w:val="clear" w:color="auto" w:fill="4AFFC4" w:themeFill="accent2" w:themeFillTint="7F"/>
      </w:tcPr>
    </w:tblStylePr>
    <w:tblStylePr w:type="band1Horz">
      <w:tblPr/>
      <w:tcPr>
        <w:shd w:val="clear" w:color="auto" w:fill="4AFFC4"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9E0" w:themeFill="accent3" w:themeFillTint="33"/>
    </w:tcPr>
    <w:tblStylePr w:type="firstRow">
      <w:rPr>
        <w:b/>
        <w:bCs/>
      </w:rPr>
      <w:tblPr/>
      <w:tcPr>
        <w:shd w:val="clear" w:color="auto" w:fill="FBF3C1" w:themeFill="accent3" w:themeFillTint="66"/>
      </w:tcPr>
    </w:tblStylePr>
    <w:tblStylePr w:type="lastRow">
      <w:rPr>
        <w:b/>
        <w:bCs/>
        <w:color w:val="000000" w:themeColor="text1"/>
      </w:rPr>
      <w:tblPr/>
      <w:tcPr>
        <w:shd w:val="clear" w:color="auto" w:fill="FBF3C1" w:themeFill="accent3" w:themeFillTint="66"/>
      </w:tcPr>
    </w:tblStylePr>
    <w:tblStylePr w:type="firstCol">
      <w:rPr>
        <w:color w:val="FFFFFF" w:themeColor="background1"/>
      </w:rPr>
      <w:tblPr/>
      <w:tcPr>
        <w:shd w:val="clear" w:color="auto" w:fill="F1D112" w:themeFill="accent3" w:themeFillShade="BF"/>
      </w:tcPr>
    </w:tblStylePr>
    <w:tblStylePr w:type="lastCol">
      <w:rPr>
        <w:color w:val="FFFFFF" w:themeColor="background1"/>
      </w:rPr>
      <w:tblPr/>
      <w:tcPr>
        <w:shd w:val="clear" w:color="auto" w:fill="F1D112" w:themeFill="accent3" w:themeFillShade="BF"/>
      </w:tcPr>
    </w:tblStylePr>
    <w:tblStylePr w:type="band1Vert">
      <w:tblPr/>
      <w:tcPr>
        <w:shd w:val="clear" w:color="auto" w:fill="FAF0B2" w:themeFill="accent3" w:themeFillTint="7F"/>
      </w:tcPr>
    </w:tblStylePr>
    <w:tblStylePr w:type="band1Horz">
      <w:tblPr/>
      <w:tcPr>
        <w:shd w:val="clear" w:color="auto" w:fill="FAF0B2"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F3E3" w:themeFill="accent4" w:themeFillTint="33"/>
    </w:tcPr>
    <w:tblStylePr w:type="firstRow">
      <w:rPr>
        <w:b/>
        <w:bCs/>
      </w:rPr>
      <w:tblPr/>
      <w:tcPr>
        <w:shd w:val="clear" w:color="auto" w:fill="FFE8C8" w:themeFill="accent4" w:themeFillTint="66"/>
      </w:tcPr>
    </w:tblStylePr>
    <w:tblStylePr w:type="lastRow">
      <w:rPr>
        <w:b/>
        <w:bCs/>
        <w:color w:val="000000" w:themeColor="text1"/>
      </w:rPr>
      <w:tblPr/>
      <w:tcPr>
        <w:shd w:val="clear" w:color="auto" w:fill="FFE8C8" w:themeFill="accent4" w:themeFillTint="66"/>
      </w:tcPr>
    </w:tblStylePr>
    <w:tblStylePr w:type="firstCol">
      <w:rPr>
        <w:color w:val="FFFFFF" w:themeColor="background1"/>
      </w:rPr>
      <w:tblPr/>
      <w:tcPr>
        <w:shd w:val="clear" w:color="auto" w:fill="FF9E19" w:themeFill="accent4" w:themeFillShade="BF"/>
      </w:tcPr>
    </w:tblStylePr>
    <w:tblStylePr w:type="lastCol">
      <w:rPr>
        <w:color w:val="FFFFFF" w:themeColor="background1"/>
      </w:rPr>
      <w:tblPr/>
      <w:tcPr>
        <w:shd w:val="clear" w:color="auto" w:fill="FF9E19" w:themeFill="accent4" w:themeFillShade="BF"/>
      </w:tcPr>
    </w:tblStylePr>
    <w:tblStylePr w:type="band1Vert">
      <w:tblPr/>
      <w:tcPr>
        <w:shd w:val="clear" w:color="auto" w:fill="FFE2BB" w:themeFill="accent4" w:themeFillTint="7F"/>
      </w:tcPr>
    </w:tblStylePr>
    <w:tblStylePr w:type="band1Horz">
      <w:tblPr/>
      <w:tcPr>
        <w:shd w:val="clear" w:color="auto" w:fill="FFE2BB"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FE4D6" w:themeFill="accent5" w:themeFillTint="33"/>
    </w:tcPr>
    <w:tblStylePr w:type="firstRow">
      <w:rPr>
        <w:b/>
        <w:bCs/>
      </w:rPr>
      <w:tblPr/>
      <w:tcPr>
        <w:shd w:val="clear" w:color="auto" w:fill="FFC9AD" w:themeFill="accent5" w:themeFillTint="66"/>
      </w:tcPr>
    </w:tblStylePr>
    <w:tblStylePr w:type="lastRow">
      <w:rPr>
        <w:b/>
        <w:bCs/>
        <w:color w:val="000000" w:themeColor="text1"/>
      </w:rPr>
      <w:tblPr/>
      <w:tcPr>
        <w:shd w:val="clear" w:color="auto" w:fill="FFC9AD" w:themeFill="accent5" w:themeFillTint="66"/>
      </w:tcPr>
    </w:tblStylePr>
    <w:tblStylePr w:type="firstCol">
      <w:rPr>
        <w:color w:val="FFFFFF" w:themeColor="background1"/>
      </w:rPr>
      <w:tblPr/>
      <w:tcPr>
        <w:shd w:val="clear" w:color="auto" w:fill="E54E00" w:themeFill="accent5" w:themeFillShade="BF"/>
      </w:tcPr>
    </w:tblStylePr>
    <w:tblStylePr w:type="lastCol">
      <w:rPr>
        <w:color w:val="FFFFFF" w:themeColor="background1"/>
      </w:rPr>
      <w:tblPr/>
      <w:tcPr>
        <w:shd w:val="clear" w:color="auto" w:fill="E54E00" w:themeFill="accent5" w:themeFillShade="BF"/>
      </w:tcPr>
    </w:tblStylePr>
    <w:tblStylePr w:type="band1Vert">
      <w:tblPr/>
      <w:tcPr>
        <w:shd w:val="clear" w:color="auto" w:fill="FFBC99" w:themeFill="accent5" w:themeFillTint="7F"/>
      </w:tcPr>
    </w:tblStylePr>
    <w:tblStylePr w:type="band1Horz">
      <w:tblPr/>
      <w:tcPr>
        <w:shd w:val="clear" w:color="auto" w:fill="FFBC99"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CD8DB" w:themeFill="accent6" w:themeFillTint="33"/>
    </w:tcPr>
    <w:tblStylePr w:type="firstRow">
      <w:rPr>
        <w:b/>
        <w:bCs/>
      </w:rPr>
      <w:tblPr/>
      <w:tcPr>
        <w:shd w:val="clear" w:color="auto" w:fill="F9B2B8" w:themeFill="accent6" w:themeFillTint="66"/>
      </w:tcPr>
    </w:tblStylePr>
    <w:tblStylePr w:type="lastRow">
      <w:rPr>
        <w:b/>
        <w:bCs/>
        <w:color w:val="000000" w:themeColor="text1"/>
      </w:rPr>
      <w:tblPr/>
      <w:tcPr>
        <w:shd w:val="clear" w:color="auto" w:fill="F9B2B8" w:themeFill="accent6" w:themeFillTint="66"/>
      </w:tcPr>
    </w:tblStylePr>
    <w:tblStylePr w:type="firstCol">
      <w:rPr>
        <w:color w:val="FFFFFF" w:themeColor="background1"/>
      </w:rPr>
      <w:tblPr/>
      <w:tcPr>
        <w:shd w:val="clear" w:color="auto" w:fill="D31020" w:themeFill="accent6" w:themeFillShade="BF"/>
      </w:tcPr>
    </w:tblStylePr>
    <w:tblStylePr w:type="lastCol">
      <w:rPr>
        <w:color w:val="FFFFFF" w:themeColor="background1"/>
      </w:rPr>
      <w:tblPr/>
      <w:tcPr>
        <w:shd w:val="clear" w:color="auto" w:fill="D31020" w:themeFill="accent6" w:themeFillShade="BF"/>
      </w:tcPr>
    </w:tblStylePr>
    <w:tblStylePr w:type="band1Vert">
      <w:tblPr/>
      <w:tcPr>
        <w:shd w:val="clear" w:color="auto" w:fill="F79FA6" w:themeFill="accent6" w:themeFillTint="7F"/>
      </w:tcPr>
    </w:tblStylePr>
    <w:tblStylePr w:type="band1Horz">
      <w:tblPr/>
      <w:tcPr>
        <w:shd w:val="clear" w:color="auto" w:fill="F79FA6"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DDF5F3" w:themeFill="accent1"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E7E1" w:themeFill="accent1" w:themeFillTint="3F"/>
      </w:tcPr>
    </w:tblStylePr>
    <w:tblStylePr w:type="band1Horz">
      <w:tblPr/>
      <w:tcPr>
        <w:shd w:val="clear" w:color="auto" w:fill="BAEC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DBFFF3" w:themeFill="accent2" w:themeFillTint="19"/>
    </w:tcPr>
    <w:tblStylePr w:type="firstRow">
      <w:rPr>
        <w:b/>
        <w:bCs/>
        <w:color w:val="FFFFFF" w:themeColor="background1"/>
      </w:rPr>
      <w:tblPr/>
      <w:tcPr>
        <w:tcBorders>
          <w:bottom w:val="single" w:sz="12" w:space="0" w:color="FFFFFF" w:themeColor="background1"/>
        </w:tcBorders>
        <w:shd w:val="clear" w:color="auto" w:fill="00754F" w:themeFill="accent2" w:themeFillShade="CC"/>
      </w:tcPr>
    </w:tblStylePr>
    <w:tblStylePr w:type="lastRow">
      <w:rPr>
        <w:b/>
        <w:bCs/>
        <w:color w:val="00754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2" w:themeFill="accent2" w:themeFillTint="3F"/>
      </w:tcPr>
    </w:tblStylePr>
    <w:tblStylePr w:type="band1Horz">
      <w:tblPr/>
      <w:tcPr>
        <w:shd w:val="clear" w:color="auto" w:fill="B6FFE7"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EFCEF" w:themeFill="accent3" w:themeFillTint="19"/>
    </w:tcPr>
    <w:tblStylePr w:type="firstRow">
      <w:rPr>
        <w:b/>
        <w:bCs/>
        <w:color w:val="FFFFFF" w:themeColor="background1"/>
      </w:rPr>
      <w:tblPr/>
      <w:tcPr>
        <w:tcBorders>
          <w:bottom w:val="single" w:sz="12" w:space="0" w:color="FFFFFF" w:themeColor="background1"/>
        </w:tcBorders>
        <w:shd w:val="clear" w:color="auto" w:fill="FFA62C" w:themeFill="accent4" w:themeFillShade="CC"/>
      </w:tcPr>
    </w:tblStylePr>
    <w:tblStylePr w:type="lastRow">
      <w:rPr>
        <w:b/>
        <w:bCs/>
        <w:color w:val="FFA6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7D8" w:themeFill="accent3" w:themeFillTint="3F"/>
      </w:tcPr>
    </w:tblStylePr>
    <w:tblStylePr w:type="band1Horz">
      <w:tblPr/>
      <w:tcPr>
        <w:shd w:val="clear" w:color="auto" w:fill="FDF9E0"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FF9F1" w:themeFill="accent4" w:themeFillTint="19"/>
    </w:tcPr>
    <w:tblStylePr w:type="firstRow">
      <w:rPr>
        <w:b/>
        <w:bCs/>
        <w:color w:val="FFFFFF" w:themeColor="background1"/>
      </w:rPr>
      <w:tblPr/>
      <w:tcPr>
        <w:tcBorders>
          <w:bottom w:val="single" w:sz="12" w:space="0" w:color="FFFFFF" w:themeColor="background1"/>
        </w:tcBorders>
        <w:shd w:val="clear" w:color="auto" w:fill="F2D423" w:themeFill="accent3" w:themeFillShade="CC"/>
      </w:tcPr>
    </w:tblStylePr>
    <w:tblStylePr w:type="lastRow">
      <w:rPr>
        <w:b/>
        <w:bCs/>
        <w:color w:val="F2D423"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0DD" w:themeFill="accent4" w:themeFillTint="3F"/>
      </w:tcPr>
    </w:tblStylePr>
    <w:tblStylePr w:type="band1Horz">
      <w:tblPr/>
      <w:tcPr>
        <w:shd w:val="clear" w:color="auto" w:fill="FFF3E3"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FF1EB" w:themeFill="accent5" w:themeFillTint="19"/>
    </w:tcPr>
    <w:tblStylePr w:type="firstRow">
      <w:rPr>
        <w:b/>
        <w:bCs/>
        <w:color w:val="FFFFFF" w:themeColor="background1"/>
      </w:rPr>
      <w:tblPr/>
      <w:tcPr>
        <w:tcBorders>
          <w:bottom w:val="single" w:sz="12" w:space="0" w:color="FFFFFF" w:themeColor="background1"/>
        </w:tcBorders>
        <w:shd w:val="clear" w:color="auto" w:fill="E11122" w:themeFill="accent6" w:themeFillShade="CC"/>
      </w:tcPr>
    </w:tblStylePr>
    <w:tblStylePr w:type="lastRow">
      <w:rPr>
        <w:b/>
        <w:bCs/>
        <w:color w:val="E1112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C" w:themeFill="accent5" w:themeFillTint="3F"/>
      </w:tcPr>
    </w:tblStylePr>
    <w:tblStylePr w:type="band1Horz">
      <w:tblPr/>
      <w:tcPr>
        <w:shd w:val="clear" w:color="auto" w:fill="FFE4D6"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DECED" w:themeFill="accent6" w:themeFillTint="19"/>
    </w:tcPr>
    <w:tblStylePr w:type="firstRow">
      <w:rPr>
        <w:b/>
        <w:bCs/>
        <w:color w:val="FFFFFF" w:themeColor="background1"/>
      </w:rPr>
      <w:tblPr/>
      <w:tcPr>
        <w:tcBorders>
          <w:bottom w:val="single" w:sz="12" w:space="0" w:color="FFFFFF" w:themeColor="background1"/>
        </w:tcBorders>
        <w:shd w:val="clear" w:color="auto" w:fill="F55300" w:themeFill="accent5" w:themeFillShade="CC"/>
      </w:tcPr>
    </w:tblStylePr>
    <w:tblStylePr w:type="lastRow">
      <w:rPr>
        <w:b/>
        <w:bCs/>
        <w:color w:val="F55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CFD3" w:themeFill="accent6" w:themeFillTint="3F"/>
      </w:tcPr>
    </w:tblStylePr>
    <w:tblStylePr w:type="band1Horz">
      <w:tblPr/>
      <w:tcPr>
        <w:shd w:val="clear" w:color="auto" w:fill="FCD8DB"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103A36" w:themeColor="accent1"/>
        <w:bottom w:val="single" w:sz="4" w:space="0" w:color="103A36" w:themeColor="accent1"/>
        <w:right w:val="single" w:sz="4" w:space="0" w:color="103A36" w:themeColor="accent1"/>
        <w:insideH w:val="single" w:sz="4" w:space="0" w:color="FFFFFF" w:themeColor="background1"/>
        <w:insideV w:val="single" w:sz="4" w:space="0" w:color="FFFFFF" w:themeColor="background1"/>
      </w:tblBorders>
    </w:tblPr>
    <w:tcPr>
      <w:shd w:val="clear" w:color="auto" w:fill="DDF5F3" w:themeFill="accent1"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220" w:themeFill="accent1" w:themeFillShade="99"/>
      </w:tcPr>
    </w:tblStylePr>
    <w:tblStylePr w:type="firstCol">
      <w:rPr>
        <w:color w:val="FFFFFF" w:themeColor="background1"/>
      </w:rPr>
      <w:tblPr/>
      <w:tcPr>
        <w:tcBorders>
          <w:top w:val="nil"/>
          <w:left w:val="nil"/>
          <w:bottom w:val="nil"/>
          <w:right w:val="nil"/>
          <w:insideH w:val="single" w:sz="4" w:space="0" w:color="092220" w:themeColor="accent1" w:themeShade="99"/>
          <w:insideV w:val="nil"/>
        </w:tcBorders>
        <w:shd w:val="clear" w:color="auto" w:fill="0922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220" w:themeFill="accent1" w:themeFillShade="99"/>
      </w:tcPr>
    </w:tblStylePr>
    <w:tblStylePr w:type="band1Vert">
      <w:tblPr/>
      <w:tcPr>
        <w:shd w:val="clear" w:color="auto" w:fill="76D9CF" w:themeFill="accent1" w:themeFillTint="66"/>
      </w:tcPr>
    </w:tblStylePr>
    <w:tblStylePr w:type="band1Horz">
      <w:tblPr/>
      <w:tcPr>
        <w:shd w:val="clear" w:color="auto" w:fill="54D0C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009364" w:themeColor="accent2"/>
        <w:left w:val="single" w:sz="4" w:space="0" w:color="009364" w:themeColor="accent2"/>
        <w:bottom w:val="single" w:sz="4" w:space="0" w:color="009364" w:themeColor="accent2"/>
        <w:right w:val="single" w:sz="4" w:space="0" w:color="009364" w:themeColor="accent2"/>
        <w:insideH w:val="single" w:sz="4" w:space="0" w:color="FFFFFF" w:themeColor="background1"/>
        <w:insideV w:val="single" w:sz="4" w:space="0" w:color="FFFFFF" w:themeColor="background1"/>
      </w:tblBorders>
    </w:tblPr>
    <w:tcPr>
      <w:shd w:val="clear" w:color="auto" w:fill="DBFFF3" w:themeFill="accent2" w:themeFillTint="19"/>
    </w:tcPr>
    <w:tblStylePr w:type="firstRow">
      <w:rPr>
        <w:b/>
        <w:bCs/>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83B" w:themeFill="accent2" w:themeFillShade="99"/>
      </w:tcPr>
    </w:tblStylePr>
    <w:tblStylePr w:type="firstCol">
      <w:rPr>
        <w:color w:val="FFFFFF" w:themeColor="background1"/>
      </w:rPr>
      <w:tblPr/>
      <w:tcPr>
        <w:tcBorders>
          <w:top w:val="nil"/>
          <w:left w:val="nil"/>
          <w:bottom w:val="nil"/>
          <w:right w:val="nil"/>
          <w:insideH w:val="single" w:sz="4" w:space="0" w:color="00583B" w:themeColor="accent2" w:themeShade="99"/>
          <w:insideV w:val="nil"/>
        </w:tcBorders>
        <w:shd w:val="clear" w:color="auto" w:fill="0058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83B" w:themeFill="accent2" w:themeFillShade="99"/>
      </w:tcPr>
    </w:tblStylePr>
    <w:tblStylePr w:type="band1Vert">
      <w:tblPr/>
      <w:tcPr>
        <w:shd w:val="clear" w:color="auto" w:fill="6DFFD0" w:themeFill="accent2" w:themeFillTint="66"/>
      </w:tcPr>
    </w:tblStylePr>
    <w:tblStylePr w:type="band1Horz">
      <w:tblPr/>
      <w:tcPr>
        <w:shd w:val="clear" w:color="auto" w:fill="4AFFC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FC677" w:themeColor="accent4"/>
        <w:left w:val="single" w:sz="4" w:space="0" w:color="F6E265" w:themeColor="accent3"/>
        <w:bottom w:val="single" w:sz="4" w:space="0" w:color="F6E265" w:themeColor="accent3"/>
        <w:right w:val="single" w:sz="4" w:space="0" w:color="F6E265" w:themeColor="accent3"/>
        <w:insideH w:val="single" w:sz="4" w:space="0" w:color="FFFFFF" w:themeColor="background1"/>
        <w:insideV w:val="single" w:sz="4" w:space="0" w:color="FFFFFF" w:themeColor="background1"/>
      </w:tblBorders>
    </w:tblPr>
    <w:tcPr>
      <w:shd w:val="clear" w:color="auto" w:fill="FEFCEF" w:themeFill="accent3" w:themeFillTint="19"/>
    </w:tcPr>
    <w:tblStylePr w:type="firstRow">
      <w:rPr>
        <w:b/>
        <w:bCs/>
      </w:rPr>
      <w:tblPr/>
      <w:tcPr>
        <w:tcBorders>
          <w:top w:val="nil"/>
          <w:left w:val="nil"/>
          <w:bottom w:val="single" w:sz="24" w:space="0" w:color="FFC6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4AA0B" w:themeFill="accent3" w:themeFillShade="99"/>
      </w:tcPr>
    </w:tblStylePr>
    <w:tblStylePr w:type="firstCol">
      <w:rPr>
        <w:color w:val="FFFFFF" w:themeColor="background1"/>
      </w:rPr>
      <w:tblPr/>
      <w:tcPr>
        <w:tcBorders>
          <w:top w:val="nil"/>
          <w:left w:val="nil"/>
          <w:bottom w:val="nil"/>
          <w:right w:val="nil"/>
          <w:insideH w:val="single" w:sz="4" w:space="0" w:color="C4AA0B" w:themeColor="accent3" w:themeShade="99"/>
          <w:insideV w:val="nil"/>
        </w:tcBorders>
        <w:shd w:val="clear" w:color="auto" w:fill="C4AA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4AA0B" w:themeFill="accent3" w:themeFillShade="99"/>
      </w:tcPr>
    </w:tblStylePr>
    <w:tblStylePr w:type="band1Vert">
      <w:tblPr/>
      <w:tcPr>
        <w:shd w:val="clear" w:color="auto" w:fill="FBF3C1" w:themeFill="accent3" w:themeFillTint="66"/>
      </w:tcPr>
    </w:tblStylePr>
    <w:tblStylePr w:type="band1Horz">
      <w:tblPr/>
      <w:tcPr>
        <w:shd w:val="clear" w:color="auto" w:fill="FAF0B2"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F6E265" w:themeColor="accent3"/>
        <w:left w:val="single" w:sz="4" w:space="0" w:color="FFC677" w:themeColor="accent4"/>
        <w:bottom w:val="single" w:sz="4" w:space="0" w:color="FFC677" w:themeColor="accent4"/>
        <w:right w:val="single" w:sz="4" w:space="0" w:color="FFC677" w:themeColor="accent4"/>
        <w:insideH w:val="single" w:sz="4" w:space="0" w:color="FFFFFF" w:themeColor="background1"/>
        <w:insideV w:val="single" w:sz="4" w:space="0" w:color="FFFFFF" w:themeColor="background1"/>
      </w:tblBorders>
    </w:tblPr>
    <w:tcPr>
      <w:shd w:val="clear" w:color="auto" w:fill="FFF9F1" w:themeFill="accent4" w:themeFillTint="19"/>
    </w:tcPr>
    <w:tblStylePr w:type="firstRow">
      <w:rPr>
        <w:b/>
        <w:bCs/>
      </w:rPr>
      <w:tblPr/>
      <w:tcPr>
        <w:tcBorders>
          <w:top w:val="nil"/>
          <w:left w:val="nil"/>
          <w:bottom w:val="single" w:sz="24" w:space="0" w:color="F6E26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08200" w:themeFill="accent4" w:themeFillShade="99"/>
      </w:tcPr>
    </w:tblStylePr>
    <w:tblStylePr w:type="firstCol">
      <w:rPr>
        <w:color w:val="FFFFFF" w:themeColor="background1"/>
      </w:rPr>
      <w:tblPr/>
      <w:tcPr>
        <w:tcBorders>
          <w:top w:val="nil"/>
          <w:left w:val="nil"/>
          <w:bottom w:val="nil"/>
          <w:right w:val="nil"/>
          <w:insideH w:val="single" w:sz="4" w:space="0" w:color="E08200" w:themeColor="accent4" w:themeShade="99"/>
          <w:insideV w:val="nil"/>
        </w:tcBorders>
        <w:shd w:val="clear" w:color="auto" w:fill="E08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E08200" w:themeFill="accent4" w:themeFillShade="99"/>
      </w:tcPr>
    </w:tblStylePr>
    <w:tblStylePr w:type="band1Vert">
      <w:tblPr/>
      <w:tcPr>
        <w:shd w:val="clear" w:color="auto" w:fill="FFE8C8" w:themeFill="accent4" w:themeFillTint="66"/>
      </w:tcPr>
    </w:tblStylePr>
    <w:tblStylePr w:type="band1Horz">
      <w:tblPr/>
      <w:tcPr>
        <w:shd w:val="clear" w:color="auto" w:fill="FFE2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F0404F" w:themeColor="accent6"/>
        <w:left w:val="single" w:sz="4" w:space="0" w:color="FF7A34" w:themeColor="accent5"/>
        <w:bottom w:val="single" w:sz="4" w:space="0" w:color="FF7A34" w:themeColor="accent5"/>
        <w:right w:val="single" w:sz="4" w:space="0" w:color="FF7A34" w:themeColor="accent5"/>
        <w:insideH w:val="single" w:sz="4" w:space="0" w:color="FFFFFF" w:themeColor="background1"/>
        <w:insideV w:val="single" w:sz="4" w:space="0" w:color="FFFFFF" w:themeColor="background1"/>
      </w:tblBorders>
    </w:tblPr>
    <w:tcPr>
      <w:shd w:val="clear" w:color="auto" w:fill="FFF1EB" w:themeFill="accent5" w:themeFillTint="19"/>
    </w:tcPr>
    <w:tblStylePr w:type="firstRow">
      <w:rPr>
        <w:b/>
        <w:bCs/>
      </w:rPr>
      <w:tblPr/>
      <w:tcPr>
        <w:tcBorders>
          <w:top w:val="nil"/>
          <w:left w:val="nil"/>
          <w:bottom w:val="single" w:sz="24" w:space="0" w:color="F0404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83E00" w:themeFill="accent5" w:themeFillShade="99"/>
      </w:tcPr>
    </w:tblStylePr>
    <w:tblStylePr w:type="firstCol">
      <w:rPr>
        <w:color w:val="FFFFFF" w:themeColor="background1"/>
      </w:rPr>
      <w:tblPr/>
      <w:tcPr>
        <w:tcBorders>
          <w:top w:val="nil"/>
          <w:left w:val="nil"/>
          <w:bottom w:val="nil"/>
          <w:right w:val="nil"/>
          <w:insideH w:val="single" w:sz="4" w:space="0" w:color="B83E00" w:themeColor="accent5" w:themeShade="99"/>
          <w:insideV w:val="nil"/>
        </w:tcBorders>
        <w:shd w:val="clear" w:color="auto" w:fill="B83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83E00" w:themeFill="accent5" w:themeFillShade="99"/>
      </w:tcPr>
    </w:tblStylePr>
    <w:tblStylePr w:type="band1Vert">
      <w:tblPr/>
      <w:tcPr>
        <w:shd w:val="clear" w:color="auto" w:fill="FFC9AD" w:themeFill="accent5" w:themeFillTint="66"/>
      </w:tcPr>
    </w:tblStylePr>
    <w:tblStylePr w:type="band1Horz">
      <w:tblPr/>
      <w:tcPr>
        <w:shd w:val="clear" w:color="auto" w:fill="FFBC9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FF7A34" w:themeColor="accent5"/>
        <w:left w:val="single" w:sz="4" w:space="0" w:color="F0404F" w:themeColor="accent6"/>
        <w:bottom w:val="single" w:sz="4" w:space="0" w:color="F0404F" w:themeColor="accent6"/>
        <w:right w:val="single" w:sz="4" w:space="0" w:color="F0404F" w:themeColor="accent6"/>
        <w:insideH w:val="single" w:sz="4" w:space="0" w:color="FFFFFF" w:themeColor="background1"/>
        <w:insideV w:val="single" w:sz="4" w:space="0" w:color="FFFFFF" w:themeColor="background1"/>
      </w:tblBorders>
    </w:tblPr>
    <w:tcPr>
      <w:shd w:val="clear" w:color="auto" w:fill="FDECED" w:themeFill="accent6" w:themeFillTint="19"/>
    </w:tcPr>
    <w:tblStylePr w:type="firstRow">
      <w:rPr>
        <w:b/>
        <w:bCs/>
      </w:rPr>
      <w:tblPr/>
      <w:tcPr>
        <w:tcBorders>
          <w:top w:val="nil"/>
          <w:left w:val="nil"/>
          <w:bottom w:val="single" w:sz="24" w:space="0" w:color="FF7A3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0D1A" w:themeFill="accent6" w:themeFillShade="99"/>
      </w:tcPr>
    </w:tblStylePr>
    <w:tblStylePr w:type="firstCol">
      <w:rPr>
        <w:color w:val="FFFFFF" w:themeColor="background1"/>
      </w:rPr>
      <w:tblPr/>
      <w:tcPr>
        <w:tcBorders>
          <w:top w:val="nil"/>
          <w:left w:val="nil"/>
          <w:bottom w:val="nil"/>
          <w:right w:val="nil"/>
          <w:insideH w:val="single" w:sz="4" w:space="0" w:color="A90D1A" w:themeColor="accent6" w:themeShade="99"/>
          <w:insideV w:val="nil"/>
        </w:tcBorders>
        <w:shd w:val="clear" w:color="auto" w:fill="A90D1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90D1A" w:themeFill="accent6" w:themeFillShade="99"/>
      </w:tcPr>
    </w:tblStylePr>
    <w:tblStylePr w:type="band1Vert">
      <w:tblPr/>
      <w:tcPr>
        <w:shd w:val="clear" w:color="auto" w:fill="F9B2B8" w:themeFill="accent6" w:themeFillTint="66"/>
      </w:tcPr>
    </w:tblStylePr>
    <w:tblStylePr w:type="band1Horz">
      <w:tblPr/>
      <w:tcPr>
        <w:shd w:val="clear" w:color="auto" w:fill="F79F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103A3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1C1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C2B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C2B28" w:themeFill="accent1" w:themeFillShade="BF"/>
      </w:tcPr>
    </w:tblStylePr>
    <w:tblStylePr w:type="band1Vert">
      <w:tblPr/>
      <w:tcPr>
        <w:tcBorders>
          <w:top w:val="nil"/>
          <w:left w:val="nil"/>
          <w:bottom w:val="nil"/>
          <w:right w:val="nil"/>
          <w:insideH w:val="nil"/>
          <w:insideV w:val="nil"/>
        </w:tcBorders>
        <w:shd w:val="clear" w:color="auto" w:fill="0C2B28" w:themeFill="accent1" w:themeFillShade="BF"/>
      </w:tcPr>
    </w:tblStylePr>
    <w:tblStylePr w:type="band1Horz">
      <w:tblPr/>
      <w:tcPr>
        <w:tcBorders>
          <w:top w:val="nil"/>
          <w:left w:val="nil"/>
          <w:bottom w:val="nil"/>
          <w:right w:val="nil"/>
          <w:insideH w:val="nil"/>
          <w:insideV w:val="nil"/>
        </w:tcBorders>
        <w:shd w:val="clear" w:color="auto" w:fill="0C2B28"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00936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9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E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E4A" w:themeFill="accent2" w:themeFillShade="BF"/>
      </w:tcPr>
    </w:tblStylePr>
    <w:tblStylePr w:type="band1Vert">
      <w:tblPr/>
      <w:tcPr>
        <w:tcBorders>
          <w:top w:val="nil"/>
          <w:left w:val="nil"/>
          <w:bottom w:val="nil"/>
          <w:right w:val="nil"/>
          <w:insideH w:val="nil"/>
          <w:insideV w:val="nil"/>
        </w:tcBorders>
        <w:shd w:val="clear" w:color="auto" w:fill="006E4A" w:themeFill="accent2" w:themeFillShade="BF"/>
      </w:tcPr>
    </w:tblStylePr>
    <w:tblStylePr w:type="band1Horz">
      <w:tblPr/>
      <w:tcPr>
        <w:tcBorders>
          <w:top w:val="nil"/>
          <w:left w:val="nil"/>
          <w:bottom w:val="nil"/>
          <w:right w:val="nil"/>
          <w:insideH w:val="nil"/>
          <w:insideV w:val="nil"/>
        </w:tcBorders>
        <w:shd w:val="clear" w:color="auto" w:fill="006E4A"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F6E26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38D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F1D11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F1D112" w:themeFill="accent3" w:themeFillShade="BF"/>
      </w:tcPr>
    </w:tblStylePr>
    <w:tblStylePr w:type="band1Vert">
      <w:tblPr/>
      <w:tcPr>
        <w:tcBorders>
          <w:top w:val="nil"/>
          <w:left w:val="nil"/>
          <w:bottom w:val="nil"/>
          <w:right w:val="nil"/>
          <w:insideH w:val="nil"/>
          <w:insideV w:val="nil"/>
        </w:tcBorders>
        <w:shd w:val="clear" w:color="auto" w:fill="F1D112" w:themeFill="accent3" w:themeFillShade="BF"/>
      </w:tcPr>
    </w:tblStylePr>
    <w:tblStylePr w:type="band1Horz">
      <w:tblPr/>
      <w:tcPr>
        <w:tcBorders>
          <w:top w:val="nil"/>
          <w:left w:val="nil"/>
          <w:bottom w:val="nil"/>
          <w:right w:val="nil"/>
          <w:insideH w:val="nil"/>
          <w:insideV w:val="nil"/>
        </w:tcBorders>
        <w:shd w:val="clear" w:color="auto" w:fill="F1D112"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FC6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A6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F9E1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F9E19" w:themeFill="accent4" w:themeFillShade="BF"/>
      </w:tcPr>
    </w:tblStylePr>
    <w:tblStylePr w:type="band1Vert">
      <w:tblPr/>
      <w:tcPr>
        <w:tcBorders>
          <w:top w:val="nil"/>
          <w:left w:val="nil"/>
          <w:bottom w:val="nil"/>
          <w:right w:val="nil"/>
          <w:insideH w:val="nil"/>
          <w:insideV w:val="nil"/>
        </w:tcBorders>
        <w:shd w:val="clear" w:color="auto" w:fill="FF9E19" w:themeFill="accent4" w:themeFillShade="BF"/>
      </w:tcPr>
    </w:tblStylePr>
    <w:tblStylePr w:type="band1Horz">
      <w:tblPr/>
      <w:tcPr>
        <w:tcBorders>
          <w:top w:val="nil"/>
          <w:left w:val="nil"/>
          <w:bottom w:val="nil"/>
          <w:right w:val="nil"/>
          <w:insideH w:val="nil"/>
          <w:insideV w:val="nil"/>
        </w:tcBorders>
        <w:shd w:val="clear" w:color="auto" w:fill="FF9E19"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FF7A3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34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54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54E00" w:themeFill="accent5" w:themeFillShade="BF"/>
      </w:tcPr>
    </w:tblStylePr>
    <w:tblStylePr w:type="band1Vert">
      <w:tblPr/>
      <w:tcPr>
        <w:tcBorders>
          <w:top w:val="nil"/>
          <w:left w:val="nil"/>
          <w:bottom w:val="nil"/>
          <w:right w:val="nil"/>
          <w:insideH w:val="nil"/>
          <w:insideV w:val="nil"/>
        </w:tcBorders>
        <w:shd w:val="clear" w:color="auto" w:fill="E54E00" w:themeFill="accent5" w:themeFillShade="BF"/>
      </w:tcPr>
    </w:tblStylePr>
    <w:tblStylePr w:type="band1Horz">
      <w:tblPr/>
      <w:tcPr>
        <w:tcBorders>
          <w:top w:val="nil"/>
          <w:left w:val="nil"/>
          <w:bottom w:val="nil"/>
          <w:right w:val="nil"/>
          <w:insideH w:val="nil"/>
          <w:insideV w:val="nil"/>
        </w:tcBorders>
        <w:shd w:val="clear" w:color="auto" w:fill="E54E00"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F0404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0B1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102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1020" w:themeFill="accent6" w:themeFillShade="BF"/>
      </w:tcPr>
    </w:tblStylePr>
    <w:tblStylePr w:type="band1Vert">
      <w:tblPr/>
      <w:tcPr>
        <w:tcBorders>
          <w:top w:val="nil"/>
          <w:left w:val="nil"/>
          <w:bottom w:val="nil"/>
          <w:right w:val="nil"/>
          <w:insideH w:val="nil"/>
          <w:insideV w:val="nil"/>
        </w:tcBorders>
        <w:shd w:val="clear" w:color="auto" w:fill="D31020" w:themeFill="accent6" w:themeFillShade="BF"/>
      </w:tcPr>
    </w:tblStylePr>
    <w:tblStylePr w:type="band1Horz">
      <w:tblPr/>
      <w:tcPr>
        <w:tcBorders>
          <w:top w:val="nil"/>
          <w:left w:val="nil"/>
          <w:bottom w:val="nil"/>
          <w:right w:val="nil"/>
          <w:insideH w:val="nil"/>
          <w:insideV w:val="nil"/>
        </w:tcBorders>
        <w:shd w:val="clear" w:color="auto" w:fill="D31020"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76D9CF" w:themeColor="accent1" w:themeTint="66"/>
        <w:left w:val="single" w:sz="4" w:space="0" w:color="76D9CF" w:themeColor="accent1" w:themeTint="66"/>
        <w:bottom w:val="single" w:sz="4" w:space="0" w:color="76D9CF" w:themeColor="accent1" w:themeTint="66"/>
        <w:right w:val="single" w:sz="4" w:space="0" w:color="76D9CF" w:themeColor="accent1" w:themeTint="66"/>
        <w:insideH w:val="single" w:sz="4" w:space="0" w:color="76D9CF" w:themeColor="accent1" w:themeTint="66"/>
        <w:insideV w:val="single" w:sz="4" w:space="0" w:color="76D9CF" w:themeColor="accent1" w:themeTint="66"/>
      </w:tblBorders>
    </w:tblPr>
    <w:tblStylePr w:type="firstRow">
      <w:rPr>
        <w:b/>
        <w:bCs/>
      </w:rPr>
      <w:tblPr/>
      <w:tcPr>
        <w:tcBorders>
          <w:bottom w:val="single" w:sz="12" w:space="0" w:color="35C2B4" w:themeColor="accent1" w:themeTint="99"/>
        </w:tcBorders>
      </w:tcPr>
    </w:tblStylePr>
    <w:tblStylePr w:type="lastRow">
      <w:rPr>
        <w:b/>
        <w:bCs/>
      </w:rPr>
      <w:tblPr/>
      <w:tcPr>
        <w:tcBorders>
          <w:top w:val="double" w:sz="2" w:space="0" w:color="35C2B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6DFFD0" w:themeColor="accent2" w:themeTint="66"/>
        <w:left w:val="single" w:sz="4" w:space="0" w:color="6DFFD0" w:themeColor="accent2" w:themeTint="66"/>
        <w:bottom w:val="single" w:sz="4" w:space="0" w:color="6DFFD0" w:themeColor="accent2" w:themeTint="66"/>
        <w:right w:val="single" w:sz="4" w:space="0" w:color="6DFFD0" w:themeColor="accent2" w:themeTint="66"/>
        <w:insideH w:val="single" w:sz="4" w:space="0" w:color="6DFFD0" w:themeColor="accent2" w:themeTint="66"/>
        <w:insideV w:val="single" w:sz="4" w:space="0" w:color="6DFFD0" w:themeColor="accent2" w:themeTint="66"/>
      </w:tblBorders>
    </w:tblPr>
    <w:tblStylePr w:type="firstRow">
      <w:rPr>
        <w:b/>
        <w:bCs/>
      </w:rPr>
      <w:tblPr/>
      <w:tcPr>
        <w:tcBorders>
          <w:bottom w:val="single" w:sz="12" w:space="0" w:color="25FFB8" w:themeColor="accent2" w:themeTint="99"/>
        </w:tcBorders>
      </w:tcPr>
    </w:tblStylePr>
    <w:tblStylePr w:type="lastRow">
      <w:rPr>
        <w:b/>
        <w:bCs/>
      </w:rPr>
      <w:tblPr/>
      <w:tcPr>
        <w:tcBorders>
          <w:top w:val="double" w:sz="2" w:space="0" w:color="25FFB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BF3C1" w:themeColor="accent3" w:themeTint="66"/>
        <w:left w:val="single" w:sz="4" w:space="0" w:color="FBF3C1" w:themeColor="accent3" w:themeTint="66"/>
        <w:bottom w:val="single" w:sz="4" w:space="0" w:color="FBF3C1" w:themeColor="accent3" w:themeTint="66"/>
        <w:right w:val="single" w:sz="4" w:space="0" w:color="FBF3C1" w:themeColor="accent3" w:themeTint="66"/>
        <w:insideH w:val="single" w:sz="4" w:space="0" w:color="FBF3C1" w:themeColor="accent3" w:themeTint="66"/>
        <w:insideV w:val="single" w:sz="4" w:space="0" w:color="FBF3C1" w:themeColor="accent3" w:themeTint="66"/>
      </w:tblBorders>
    </w:tblPr>
    <w:tblStylePr w:type="firstRow">
      <w:rPr>
        <w:b/>
        <w:bCs/>
      </w:rPr>
      <w:tblPr/>
      <w:tcPr>
        <w:tcBorders>
          <w:bottom w:val="single" w:sz="12" w:space="0" w:color="F9EDA2" w:themeColor="accent3" w:themeTint="99"/>
        </w:tcBorders>
      </w:tcPr>
    </w:tblStylePr>
    <w:tblStylePr w:type="lastRow">
      <w:rPr>
        <w:b/>
        <w:bCs/>
      </w:rPr>
      <w:tblPr/>
      <w:tcPr>
        <w:tcBorders>
          <w:top w:val="double" w:sz="2" w:space="0" w:color="F9EDA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FE8C8" w:themeColor="accent4" w:themeTint="66"/>
        <w:left w:val="single" w:sz="4" w:space="0" w:color="FFE8C8" w:themeColor="accent4" w:themeTint="66"/>
        <w:bottom w:val="single" w:sz="4" w:space="0" w:color="FFE8C8" w:themeColor="accent4" w:themeTint="66"/>
        <w:right w:val="single" w:sz="4" w:space="0" w:color="FFE8C8" w:themeColor="accent4" w:themeTint="66"/>
        <w:insideH w:val="single" w:sz="4" w:space="0" w:color="FFE8C8" w:themeColor="accent4" w:themeTint="66"/>
        <w:insideV w:val="single" w:sz="4" w:space="0" w:color="FFE8C8" w:themeColor="accent4" w:themeTint="66"/>
      </w:tblBorders>
    </w:tblPr>
    <w:tblStylePr w:type="firstRow">
      <w:rPr>
        <w:b/>
        <w:bCs/>
      </w:rPr>
      <w:tblPr/>
      <w:tcPr>
        <w:tcBorders>
          <w:bottom w:val="single" w:sz="12" w:space="0" w:color="FFDCAD" w:themeColor="accent4" w:themeTint="99"/>
        </w:tcBorders>
      </w:tcPr>
    </w:tblStylePr>
    <w:tblStylePr w:type="lastRow">
      <w:rPr>
        <w:b/>
        <w:bCs/>
      </w:rPr>
      <w:tblPr/>
      <w:tcPr>
        <w:tcBorders>
          <w:top w:val="double" w:sz="2" w:space="0" w:color="FFDC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FFC9AD" w:themeColor="accent5" w:themeTint="66"/>
        <w:left w:val="single" w:sz="4" w:space="0" w:color="FFC9AD" w:themeColor="accent5" w:themeTint="66"/>
        <w:bottom w:val="single" w:sz="4" w:space="0" w:color="FFC9AD" w:themeColor="accent5" w:themeTint="66"/>
        <w:right w:val="single" w:sz="4" w:space="0" w:color="FFC9AD" w:themeColor="accent5" w:themeTint="66"/>
        <w:insideH w:val="single" w:sz="4" w:space="0" w:color="FFC9AD" w:themeColor="accent5" w:themeTint="66"/>
        <w:insideV w:val="single" w:sz="4" w:space="0" w:color="FFC9AD" w:themeColor="accent5" w:themeTint="66"/>
      </w:tblBorders>
    </w:tblPr>
    <w:tblStylePr w:type="firstRow">
      <w:rPr>
        <w:b/>
        <w:bCs/>
      </w:rPr>
      <w:tblPr/>
      <w:tcPr>
        <w:tcBorders>
          <w:bottom w:val="single" w:sz="12" w:space="0" w:color="FFAE85" w:themeColor="accent5" w:themeTint="99"/>
        </w:tcBorders>
      </w:tcPr>
    </w:tblStylePr>
    <w:tblStylePr w:type="lastRow">
      <w:rPr>
        <w:b/>
        <w:bCs/>
      </w:rPr>
      <w:tblPr/>
      <w:tcPr>
        <w:tcBorders>
          <w:top w:val="double" w:sz="2" w:space="0" w:color="FFAE8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F9B2B8" w:themeColor="accent6" w:themeTint="66"/>
        <w:left w:val="single" w:sz="4" w:space="0" w:color="F9B2B8" w:themeColor="accent6" w:themeTint="66"/>
        <w:bottom w:val="single" w:sz="4" w:space="0" w:color="F9B2B8" w:themeColor="accent6" w:themeTint="66"/>
        <w:right w:val="single" w:sz="4" w:space="0" w:color="F9B2B8" w:themeColor="accent6" w:themeTint="66"/>
        <w:insideH w:val="single" w:sz="4" w:space="0" w:color="F9B2B8" w:themeColor="accent6" w:themeTint="66"/>
        <w:insideV w:val="single" w:sz="4" w:space="0" w:color="F9B2B8" w:themeColor="accent6" w:themeTint="66"/>
      </w:tblBorders>
    </w:tblPr>
    <w:tblStylePr w:type="firstRow">
      <w:rPr>
        <w:b/>
        <w:bCs/>
      </w:rPr>
      <w:tblPr/>
      <w:tcPr>
        <w:tcBorders>
          <w:bottom w:val="single" w:sz="12" w:space="0" w:color="F68C95" w:themeColor="accent6" w:themeTint="99"/>
        </w:tcBorders>
      </w:tcPr>
    </w:tblStylePr>
    <w:tblStylePr w:type="lastRow">
      <w:rPr>
        <w:b/>
        <w:bCs/>
      </w:rPr>
      <w:tblPr/>
      <w:tcPr>
        <w:tcBorders>
          <w:top w:val="double" w:sz="2" w:space="0" w:color="F68C9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35C2B4" w:themeColor="accent1" w:themeTint="99"/>
        <w:bottom w:val="single" w:sz="2" w:space="0" w:color="35C2B4" w:themeColor="accent1" w:themeTint="99"/>
        <w:insideH w:val="single" w:sz="2" w:space="0" w:color="35C2B4" w:themeColor="accent1" w:themeTint="99"/>
        <w:insideV w:val="single" w:sz="2" w:space="0" w:color="35C2B4" w:themeColor="accent1" w:themeTint="99"/>
      </w:tblBorders>
    </w:tblPr>
    <w:tblStylePr w:type="firstRow">
      <w:rPr>
        <w:b/>
        <w:bCs/>
      </w:rPr>
      <w:tblPr/>
      <w:tcPr>
        <w:tcBorders>
          <w:top w:val="nil"/>
          <w:bottom w:val="single" w:sz="12" w:space="0" w:color="35C2B4" w:themeColor="accent1" w:themeTint="99"/>
          <w:insideH w:val="nil"/>
          <w:insideV w:val="nil"/>
        </w:tcBorders>
        <w:shd w:val="clear" w:color="auto" w:fill="FFFFFF" w:themeFill="background1"/>
      </w:tcPr>
    </w:tblStylePr>
    <w:tblStylePr w:type="lastRow">
      <w:rPr>
        <w:b/>
        <w:bCs/>
      </w:rPr>
      <w:tblPr/>
      <w:tcPr>
        <w:tcBorders>
          <w:top w:val="double" w:sz="2" w:space="0" w:color="35C2B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25FFB8" w:themeColor="accent2" w:themeTint="99"/>
        <w:bottom w:val="single" w:sz="2" w:space="0" w:color="25FFB8" w:themeColor="accent2" w:themeTint="99"/>
        <w:insideH w:val="single" w:sz="2" w:space="0" w:color="25FFB8" w:themeColor="accent2" w:themeTint="99"/>
        <w:insideV w:val="single" w:sz="2" w:space="0" w:color="25FFB8" w:themeColor="accent2" w:themeTint="99"/>
      </w:tblBorders>
    </w:tblPr>
    <w:tblStylePr w:type="firstRow">
      <w:rPr>
        <w:b/>
        <w:bCs/>
      </w:rPr>
      <w:tblPr/>
      <w:tcPr>
        <w:tcBorders>
          <w:top w:val="nil"/>
          <w:bottom w:val="single" w:sz="12" w:space="0" w:color="25FFB8" w:themeColor="accent2" w:themeTint="99"/>
          <w:insideH w:val="nil"/>
          <w:insideV w:val="nil"/>
        </w:tcBorders>
        <w:shd w:val="clear" w:color="auto" w:fill="FFFFFF" w:themeFill="background1"/>
      </w:tcPr>
    </w:tblStylePr>
    <w:tblStylePr w:type="lastRow">
      <w:rPr>
        <w:b/>
        <w:bCs/>
      </w:rPr>
      <w:tblPr/>
      <w:tcPr>
        <w:tcBorders>
          <w:top w:val="double" w:sz="2" w:space="0" w:color="25FF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9EDA2" w:themeColor="accent3" w:themeTint="99"/>
        <w:bottom w:val="single" w:sz="2" w:space="0" w:color="F9EDA2" w:themeColor="accent3" w:themeTint="99"/>
        <w:insideH w:val="single" w:sz="2" w:space="0" w:color="F9EDA2" w:themeColor="accent3" w:themeTint="99"/>
        <w:insideV w:val="single" w:sz="2" w:space="0" w:color="F9EDA2" w:themeColor="accent3" w:themeTint="99"/>
      </w:tblBorders>
    </w:tblPr>
    <w:tblStylePr w:type="firstRow">
      <w:rPr>
        <w:b/>
        <w:bCs/>
      </w:rPr>
      <w:tblPr/>
      <w:tcPr>
        <w:tcBorders>
          <w:top w:val="nil"/>
          <w:bottom w:val="single" w:sz="12" w:space="0" w:color="F9EDA2" w:themeColor="accent3" w:themeTint="99"/>
          <w:insideH w:val="nil"/>
          <w:insideV w:val="nil"/>
        </w:tcBorders>
        <w:shd w:val="clear" w:color="auto" w:fill="FFFFFF" w:themeFill="background1"/>
      </w:tcPr>
    </w:tblStylePr>
    <w:tblStylePr w:type="lastRow">
      <w:rPr>
        <w:b/>
        <w:bCs/>
      </w:rPr>
      <w:tblPr/>
      <w:tcPr>
        <w:tcBorders>
          <w:top w:val="double" w:sz="2" w:space="0" w:color="F9EDA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FDCAD" w:themeColor="accent4" w:themeTint="99"/>
        <w:bottom w:val="single" w:sz="2" w:space="0" w:color="FFDCAD" w:themeColor="accent4" w:themeTint="99"/>
        <w:insideH w:val="single" w:sz="2" w:space="0" w:color="FFDCAD" w:themeColor="accent4" w:themeTint="99"/>
        <w:insideV w:val="single" w:sz="2" w:space="0" w:color="FFDCAD" w:themeColor="accent4" w:themeTint="99"/>
      </w:tblBorders>
    </w:tblPr>
    <w:tblStylePr w:type="firstRow">
      <w:rPr>
        <w:b/>
        <w:bCs/>
      </w:rPr>
      <w:tblPr/>
      <w:tcPr>
        <w:tcBorders>
          <w:top w:val="nil"/>
          <w:bottom w:val="single" w:sz="12" w:space="0" w:color="FFDCAD" w:themeColor="accent4" w:themeTint="99"/>
          <w:insideH w:val="nil"/>
          <w:insideV w:val="nil"/>
        </w:tcBorders>
        <w:shd w:val="clear" w:color="auto" w:fill="FFFFFF" w:themeFill="background1"/>
      </w:tcPr>
    </w:tblStylePr>
    <w:tblStylePr w:type="lastRow">
      <w:rPr>
        <w:b/>
        <w:bCs/>
      </w:rPr>
      <w:tblPr/>
      <w:tcPr>
        <w:tcBorders>
          <w:top w:val="double" w:sz="2" w:space="0" w:color="FFDC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FFAE85" w:themeColor="accent5" w:themeTint="99"/>
        <w:bottom w:val="single" w:sz="2" w:space="0" w:color="FFAE85" w:themeColor="accent5" w:themeTint="99"/>
        <w:insideH w:val="single" w:sz="2" w:space="0" w:color="FFAE85" w:themeColor="accent5" w:themeTint="99"/>
        <w:insideV w:val="single" w:sz="2" w:space="0" w:color="FFAE85" w:themeColor="accent5" w:themeTint="99"/>
      </w:tblBorders>
    </w:tblPr>
    <w:tblStylePr w:type="firstRow">
      <w:rPr>
        <w:b/>
        <w:bCs/>
      </w:rPr>
      <w:tblPr/>
      <w:tcPr>
        <w:tcBorders>
          <w:top w:val="nil"/>
          <w:bottom w:val="single" w:sz="12" w:space="0" w:color="FFAE85" w:themeColor="accent5" w:themeTint="99"/>
          <w:insideH w:val="nil"/>
          <w:insideV w:val="nil"/>
        </w:tcBorders>
        <w:shd w:val="clear" w:color="auto" w:fill="FFFFFF" w:themeFill="background1"/>
      </w:tcPr>
    </w:tblStylePr>
    <w:tblStylePr w:type="lastRow">
      <w:rPr>
        <w:b/>
        <w:bCs/>
      </w:rPr>
      <w:tblPr/>
      <w:tcPr>
        <w:tcBorders>
          <w:top w:val="double" w:sz="2" w:space="0" w:color="FFAE8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F68C95" w:themeColor="accent6" w:themeTint="99"/>
        <w:bottom w:val="single" w:sz="2" w:space="0" w:color="F68C95" w:themeColor="accent6" w:themeTint="99"/>
        <w:insideH w:val="single" w:sz="2" w:space="0" w:color="F68C95" w:themeColor="accent6" w:themeTint="99"/>
        <w:insideV w:val="single" w:sz="2" w:space="0" w:color="F68C95" w:themeColor="accent6" w:themeTint="99"/>
      </w:tblBorders>
    </w:tblPr>
    <w:tblStylePr w:type="firstRow">
      <w:rPr>
        <w:b/>
        <w:bCs/>
      </w:rPr>
      <w:tblPr/>
      <w:tcPr>
        <w:tcBorders>
          <w:top w:val="nil"/>
          <w:bottom w:val="single" w:sz="12" w:space="0" w:color="F68C95" w:themeColor="accent6" w:themeTint="99"/>
          <w:insideH w:val="nil"/>
          <w:insideV w:val="nil"/>
        </w:tcBorders>
        <w:shd w:val="clear" w:color="auto" w:fill="FFFFFF" w:themeFill="background1"/>
      </w:tcPr>
    </w:tblStylePr>
    <w:tblStylePr w:type="lastRow">
      <w:rPr>
        <w:b/>
        <w:bCs/>
      </w:rPr>
      <w:tblPr/>
      <w:tcPr>
        <w:tcBorders>
          <w:top w:val="double" w:sz="2" w:space="0" w:color="F68C9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bottom w:val="single" w:sz="4" w:space="0" w:color="35C2B4" w:themeColor="accent1" w:themeTint="99"/>
        </w:tcBorders>
      </w:tcPr>
    </w:tblStylePr>
    <w:tblStylePr w:type="nwCell">
      <w:tblPr/>
      <w:tcPr>
        <w:tcBorders>
          <w:bottom w:val="single" w:sz="4" w:space="0" w:color="35C2B4" w:themeColor="accent1" w:themeTint="99"/>
        </w:tcBorders>
      </w:tcPr>
    </w:tblStylePr>
    <w:tblStylePr w:type="seCell">
      <w:tblPr/>
      <w:tcPr>
        <w:tcBorders>
          <w:top w:val="single" w:sz="4" w:space="0" w:color="35C2B4" w:themeColor="accent1" w:themeTint="99"/>
        </w:tcBorders>
      </w:tcPr>
    </w:tblStylePr>
    <w:tblStylePr w:type="swCell">
      <w:tblPr/>
      <w:tcPr>
        <w:tcBorders>
          <w:top w:val="single" w:sz="4" w:space="0" w:color="35C2B4"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bottom w:val="single" w:sz="4" w:space="0" w:color="25FFB8" w:themeColor="accent2" w:themeTint="99"/>
        </w:tcBorders>
      </w:tcPr>
    </w:tblStylePr>
    <w:tblStylePr w:type="nwCell">
      <w:tblPr/>
      <w:tcPr>
        <w:tcBorders>
          <w:bottom w:val="single" w:sz="4" w:space="0" w:color="25FFB8" w:themeColor="accent2" w:themeTint="99"/>
        </w:tcBorders>
      </w:tcPr>
    </w:tblStylePr>
    <w:tblStylePr w:type="seCell">
      <w:tblPr/>
      <w:tcPr>
        <w:tcBorders>
          <w:top w:val="single" w:sz="4" w:space="0" w:color="25FFB8" w:themeColor="accent2" w:themeTint="99"/>
        </w:tcBorders>
      </w:tcPr>
    </w:tblStylePr>
    <w:tblStylePr w:type="swCell">
      <w:tblPr/>
      <w:tcPr>
        <w:tcBorders>
          <w:top w:val="single" w:sz="4" w:space="0" w:color="25FFB8"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bottom w:val="single" w:sz="4" w:space="0" w:color="F9EDA2" w:themeColor="accent3" w:themeTint="99"/>
        </w:tcBorders>
      </w:tcPr>
    </w:tblStylePr>
    <w:tblStylePr w:type="nwCell">
      <w:tblPr/>
      <w:tcPr>
        <w:tcBorders>
          <w:bottom w:val="single" w:sz="4" w:space="0" w:color="F9EDA2" w:themeColor="accent3" w:themeTint="99"/>
        </w:tcBorders>
      </w:tcPr>
    </w:tblStylePr>
    <w:tblStylePr w:type="seCell">
      <w:tblPr/>
      <w:tcPr>
        <w:tcBorders>
          <w:top w:val="single" w:sz="4" w:space="0" w:color="F9EDA2" w:themeColor="accent3" w:themeTint="99"/>
        </w:tcBorders>
      </w:tcPr>
    </w:tblStylePr>
    <w:tblStylePr w:type="swCell">
      <w:tblPr/>
      <w:tcPr>
        <w:tcBorders>
          <w:top w:val="single" w:sz="4" w:space="0" w:color="F9EDA2"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bottom w:val="single" w:sz="4" w:space="0" w:color="FFDCAD" w:themeColor="accent4" w:themeTint="99"/>
        </w:tcBorders>
      </w:tcPr>
    </w:tblStylePr>
    <w:tblStylePr w:type="nwCell">
      <w:tblPr/>
      <w:tcPr>
        <w:tcBorders>
          <w:bottom w:val="single" w:sz="4" w:space="0" w:color="FFDCAD" w:themeColor="accent4" w:themeTint="99"/>
        </w:tcBorders>
      </w:tcPr>
    </w:tblStylePr>
    <w:tblStylePr w:type="seCell">
      <w:tblPr/>
      <w:tcPr>
        <w:tcBorders>
          <w:top w:val="single" w:sz="4" w:space="0" w:color="FFDCAD" w:themeColor="accent4" w:themeTint="99"/>
        </w:tcBorders>
      </w:tcPr>
    </w:tblStylePr>
    <w:tblStylePr w:type="swCell">
      <w:tblPr/>
      <w:tcPr>
        <w:tcBorders>
          <w:top w:val="single" w:sz="4" w:space="0" w:color="FFDCAD"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bottom w:val="single" w:sz="4" w:space="0" w:color="FFAE85" w:themeColor="accent5" w:themeTint="99"/>
        </w:tcBorders>
      </w:tcPr>
    </w:tblStylePr>
    <w:tblStylePr w:type="nwCell">
      <w:tblPr/>
      <w:tcPr>
        <w:tcBorders>
          <w:bottom w:val="single" w:sz="4" w:space="0" w:color="FFAE85" w:themeColor="accent5" w:themeTint="99"/>
        </w:tcBorders>
      </w:tcPr>
    </w:tblStylePr>
    <w:tblStylePr w:type="seCell">
      <w:tblPr/>
      <w:tcPr>
        <w:tcBorders>
          <w:top w:val="single" w:sz="4" w:space="0" w:color="FFAE85" w:themeColor="accent5" w:themeTint="99"/>
        </w:tcBorders>
      </w:tcPr>
    </w:tblStylePr>
    <w:tblStylePr w:type="swCell">
      <w:tblPr/>
      <w:tcPr>
        <w:tcBorders>
          <w:top w:val="single" w:sz="4" w:space="0" w:color="FFAE85"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bottom w:val="single" w:sz="4" w:space="0" w:color="F68C95" w:themeColor="accent6" w:themeTint="99"/>
        </w:tcBorders>
      </w:tcPr>
    </w:tblStylePr>
    <w:tblStylePr w:type="nwCell">
      <w:tblPr/>
      <w:tcPr>
        <w:tcBorders>
          <w:bottom w:val="single" w:sz="4" w:space="0" w:color="F68C95" w:themeColor="accent6" w:themeTint="99"/>
        </w:tcBorders>
      </w:tcPr>
    </w:tblStylePr>
    <w:tblStylePr w:type="seCell">
      <w:tblPr/>
      <w:tcPr>
        <w:tcBorders>
          <w:top w:val="single" w:sz="4" w:space="0" w:color="F68C95" w:themeColor="accent6" w:themeTint="99"/>
        </w:tcBorders>
      </w:tcPr>
    </w:tblStylePr>
    <w:tblStylePr w:type="swCell">
      <w:tblPr/>
      <w:tcPr>
        <w:tcBorders>
          <w:top w:val="single" w:sz="4" w:space="0" w:color="F68C95"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color w:val="FFFFFF" w:themeColor="background1"/>
      </w:rPr>
      <w:tblPr/>
      <w:tcPr>
        <w:tcBorders>
          <w:top w:val="single" w:sz="4" w:space="0" w:color="103A36" w:themeColor="accent1"/>
          <w:left w:val="single" w:sz="4" w:space="0" w:color="103A36" w:themeColor="accent1"/>
          <w:bottom w:val="single" w:sz="4" w:space="0" w:color="103A36" w:themeColor="accent1"/>
          <w:right w:val="single" w:sz="4" w:space="0" w:color="103A36" w:themeColor="accent1"/>
          <w:insideH w:val="nil"/>
          <w:insideV w:val="nil"/>
        </w:tcBorders>
        <w:shd w:val="clear" w:color="auto" w:fill="103A36" w:themeFill="accent1"/>
      </w:tcPr>
    </w:tblStylePr>
    <w:tblStylePr w:type="lastRow">
      <w:rPr>
        <w:b/>
        <w:bCs/>
      </w:rPr>
      <w:tblPr/>
      <w:tcPr>
        <w:tcBorders>
          <w:top w:val="double" w:sz="4" w:space="0" w:color="103A36" w:themeColor="accent1"/>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color w:val="FFFFFF" w:themeColor="background1"/>
      </w:rPr>
      <w:tblPr/>
      <w:tcPr>
        <w:tcBorders>
          <w:top w:val="single" w:sz="4" w:space="0" w:color="009364" w:themeColor="accent2"/>
          <w:left w:val="single" w:sz="4" w:space="0" w:color="009364" w:themeColor="accent2"/>
          <w:bottom w:val="single" w:sz="4" w:space="0" w:color="009364" w:themeColor="accent2"/>
          <w:right w:val="single" w:sz="4" w:space="0" w:color="009364" w:themeColor="accent2"/>
          <w:insideH w:val="nil"/>
          <w:insideV w:val="nil"/>
        </w:tcBorders>
        <w:shd w:val="clear" w:color="auto" w:fill="009364" w:themeFill="accent2"/>
      </w:tcPr>
    </w:tblStylePr>
    <w:tblStylePr w:type="lastRow">
      <w:rPr>
        <w:b/>
        <w:bCs/>
      </w:rPr>
      <w:tblPr/>
      <w:tcPr>
        <w:tcBorders>
          <w:top w:val="double" w:sz="4" w:space="0" w:color="009364" w:themeColor="accent2"/>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color w:val="FFFFFF" w:themeColor="background1"/>
      </w:rPr>
      <w:tblPr/>
      <w:tcPr>
        <w:tcBorders>
          <w:top w:val="single" w:sz="4" w:space="0" w:color="F6E265" w:themeColor="accent3"/>
          <w:left w:val="single" w:sz="4" w:space="0" w:color="F6E265" w:themeColor="accent3"/>
          <w:bottom w:val="single" w:sz="4" w:space="0" w:color="F6E265" w:themeColor="accent3"/>
          <w:right w:val="single" w:sz="4" w:space="0" w:color="F6E265" w:themeColor="accent3"/>
          <w:insideH w:val="nil"/>
          <w:insideV w:val="nil"/>
        </w:tcBorders>
        <w:shd w:val="clear" w:color="auto" w:fill="F6E265" w:themeFill="accent3"/>
      </w:tcPr>
    </w:tblStylePr>
    <w:tblStylePr w:type="lastRow">
      <w:rPr>
        <w:b/>
        <w:bCs/>
      </w:rPr>
      <w:tblPr/>
      <w:tcPr>
        <w:tcBorders>
          <w:top w:val="double" w:sz="4" w:space="0" w:color="F6E265" w:themeColor="accent3"/>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color w:val="FFFFFF" w:themeColor="background1"/>
      </w:rPr>
      <w:tblPr/>
      <w:tcPr>
        <w:tcBorders>
          <w:top w:val="single" w:sz="4" w:space="0" w:color="FFC677" w:themeColor="accent4"/>
          <w:left w:val="single" w:sz="4" w:space="0" w:color="FFC677" w:themeColor="accent4"/>
          <w:bottom w:val="single" w:sz="4" w:space="0" w:color="FFC677" w:themeColor="accent4"/>
          <w:right w:val="single" w:sz="4" w:space="0" w:color="FFC677" w:themeColor="accent4"/>
          <w:insideH w:val="nil"/>
          <w:insideV w:val="nil"/>
        </w:tcBorders>
        <w:shd w:val="clear" w:color="auto" w:fill="FFC677" w:themeFill="accent4"/>
      </w:tcPr>
    </w:tblStylePr>
    <w:tblStylePr w:type="lastRow">
      <w:rPr>
        <w:b/>
        <w:bCs/>
      </w:rPr>
      <w:tblPr/>
      <w:tcPr>
        <w:tcBorders>
          <w:top w:val="double" w:sz="4" w:space="0" w:color="FFC677" w:themeColor="accent4"/>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color w:val="FFFFFF" w:themeColor="background1"/>
      </w:rPr>
      <w:tblPr/>
      <w:tcPr>
        <w:tcBorders>
          <w:top w:val="single" w:sz="4" w:space="0" w:color="FF7A34" w:themeColor="accent5"/>
          <w:left w:val="single" w:sz="4" w:space="0" w:color="FF7A34" w:themeColor="accent5"/>
          <w:bottom w:val="single" w:sz="4" w:space="0" w:color="FF7A34" w:themeColor="accent5"/>
          <w:right w:val="single" w:sz="4" w:space="0" w:color="FF7A34" w:themeColor="accent5"/>
          <w:insideH w:val="nil"/>
          <w:insideV w:val="nil"/>
        </w:tcBorders>
        <w:shd w:val="clear" w:color="auto" w:fill="FF7A34" w:themeFill="accent5"/>
      </w:tcPr>
    </w:tblStylePr>
    <w:tblStylePr w:type="lastRow">
      <w:rPr>
        <w:b/>
        <w:bCs/>
      </w:rPr>
      <w:tblPr/>
      <w:tcPr>
        <w:tcBorders>
          <w:top w:val="double" w:sz="4" w:space="0" w:color="FF7A34" w:themeColor="accent5"/>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color w:val="FFFFFF" w:themeColor="background1"/>
      </w:rPr>
      <w:tblPr/>
      <w:tcPr>
        <w:tcBorders>
          <w:top w:val="single" w:sz="4" w:space="0" w:color="F0404F" w:themeColor="accent6"/>
          <w:left w:val="single" w:sz="4" w:space="0" w:color="F0404F" w:themeColor="accent6"/>
          <w:bottom w:val="single" w:sz="4" w:space="0" w:color="F0404F" w:themeColor="accent6"/>
          <w:right w:val="single" w:sz="4" w:space="0" w:color="F0404F" w:themeColor="accent6"/>
          <w:insideH w:val="nil"/>
          <w:insideV w:val="nil"/>
        </w:tcBorders>
        <w:shd w:val="clear" w:color="auto" w:fill="F0404F" w:themeFill="accent6"/>
      </w:tcPr>
    </w:tblStylePr>
    <w:tblStylePr w:type="lastRow">
      <w:rPr>
        <w:b/>
        <w:bCs/>
      </w:rPr>
      <w:tblPr/>
      <w:tcPr>
        <w:tcBorders>
          <w:top w:val="double" w:sz="4" w:space="0" w:color="F0404F" w:themeColor="accent6"/>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EC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3A3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3A3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3A3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3A36" w:themeFill="accent1"/>
      </w:tcPr>
    </w:tblStylePr>
    <w:tblStylePr w:type="band1Vert">
      <w:tblPr/>
      <w:tcPr>
        <w:shd w:val="clear" w:color="auto" w:fill="76D9CF" w:themeFill="accent1" w:themeFillTint="66"/>
      </w:tcPr>
    </w:tblStylePr>
    <w:tblStylePr w:type="band1Horz">
      <w:tblPr/>
      <w:tcPr>
        <w:shd w:val="clear" w:color="auto" w:fill="76D9CF"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6F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36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36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36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364" w:themeFill="accent2"/>
      </w:tcPr>
    </w:tblStylePr>
    <w:tblStylePr w:type="band1Vert">
      <w:tblPr/>
      <w:tcPr>
        <w:shd w:val="clear" w:color="auto" w:fill="6DFFD0" w:themeFill="accent2" w:themeFillTint="66"/>
      </w:tcPr>
    </w:tblStylePr>
    <w:tblStylePr w:type="band1Horz">
      <w:tblPr/>
      <w:tcPr>
        <w:shd w:val="clear" w:color="auto" w:fill="6DFFD0"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9E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26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26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26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265" w:themeFill="accent3"/>
      </w:tcPr>
    </w:tblStylePr>
    <w:tblStylePr w:type="band1Vert">
      <w:tblPr/>
      <w:tcPr>
        <w:shd w:val="clear" w:color="auto" w:fill="FBF3C1" w:themeFill="accent3" w:themeFillTint="66"/>
      </w:tcPr>
    </w:tblStylePr>
    <w:tblStylePr w:type="band1Horz">
      <w:tblPr/>
      <w:tcPr>
        <w:shd w:val="clear" w:color="auto" w:fill="FBF3C1"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6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6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6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677" w:themeFill="accent4"/>
      </w:tcPr>
    </w:tblStylePr>
    <w:tblStylePr w:type="band1Vert">
      <w:tblPr/>
      <w:tcPr>
        <w:shd w:val="clear" w:color="auto" w:fill="FFE8C8" w:themeFill="accent4" w:themeFillTint="66"/>
      </w:tcPr>
    </w:tblStylePr>
    <w:tblStylePr w:type="band1Horz">
      <w:tblPr/>
      <w:tcPr>
        <w:shd w:val="clear" w:color="auto" w:fill="FFE8C8"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4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A3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A3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A3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A34" w:themeFill="accent5"/>
      </w:tcPr>
    </w:tblStylePr>
    <w:tblStylePr w:type="band1Vert">
      <w:tblPr/>
      <w:tcPr>
        <w:shd w:val="clear" w:color="auto" w:fill="FFC9AD" w:themeFill="accent5" w:themeFillTint="66"/>
      </w:tcPr>
    </w:tblStylePr>
    <w:tblStylePr w:type="band1Horz">
      <w:tblPr/>
      <w:tcPr>
        <w:shd w:val="clear" w:color="auto" w:fill="FFC9AD"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8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04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04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04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04F" w:themeFill="accent6"/>
      </w:tcPr>
    </w:tblStylePr>
    <w:tblStylePr w:type="band1Vert">
      <w:tblPr/>
      <w:tcPr>
        <w:shd w:val="clear" w:color="auto" w:fill="F9B2B8" w:themeFill="accent6" w:themeFillTint="66"/>
      </w:tcPr>
    </w:tblStylePr>
    <w:tblStylePr w:type="band1Horz">
      <w:tblPr/>
      <w:tcPr>
        <w:shd w:val="clear" w:color="auto" w:fill="F9B2B8"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0C2B28" w:themeColor="accent1" w:themeShade="BF"/>
    </w:r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bottom w:val="single" w:sz="12" w:space="0" w:color="35C2B4" w:themeColor="accent1" w:themeTint="99"/>
        </w:tcBorders>
      </w:tcPr>
    </w:tblStylePr>
    <w:tblStylePr w:type="lastRow">
      <w:rPr>
        <w:b/>
        <w:bCs/>
      </w:rPr>
      <w:tblPr/>
      <w:tcPr>
        <w:tcBorders>
          <w:top w:val="doub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006E4A" w:themeColor="accent2" w:themeShade="BF"/>
    </w:r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bottom w:val="single" w:sz="12" w:space="0" w:color="25FFB8" w:themeColor="accent2" w:themeTint="99"/>
        </w:tcBorders>
      </w:tcPr>
    </w:tblStylePr>
    <w:tblStylePr w:type="lastRow">
      <w:rPr>
        <w:b/>
        <w:bCs/>
      </w:rPr>
      <w:tblPr/>
      <w:tcPr>
        <w:tcBorders>
          <w:top w:val="doub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F1D112" w:themeColor="accent3" w:themeShade="BF"/>
    </w:r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bottom w:val="single" w:sz="12" w:space="0" w:color="F9EDA2" w:themeColor="accent3" w:themeTint="99"/>
        </w:tcBorders>
      </w:tcPr>
    </w:tblStylePr>
    <w:tblStylePr w:type="lastRow">
      <w:rPr>
        <w:b/>
        <w:bCs/>
      </w:rPr>
      <w:tblPr/>
      <w:tcPr>
        <w:tcBorders>
          <w:top w:val="doub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FF9E19" w:themeColor="accent4" w:themeShade="BF"/>
    </w:r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bottom w:val="single" w:sz="12" w:space="0" w:color="FFDCAD" w:themeColor="accent4" w:themeTint="99"/>
        </w:tcBorders>
      </w:tcPr>
    </w:tblStylePr>
    <w:tblStylePr w:type="lastRow">
      <w:rPr>
        <w:b/>
        <w:bCs/>
      </w:rPr>
      <w:tblPr/>
      <w:tcPr>
        <w:tcBorders>
          <w:top w:val="doub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E54E00" w:themeColor="accent5" w:themeShade="BF"/>
    </w:r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bottom w:val="single" w:sz="12" w:space="0" w:color="FFAE85" w:themeColor="accent5" w:themeTint="99"/>
        </w:tcBorders>
      </w:tcPr>
    </w:tblStylePr>
    <w:tblStylePr w:type="lastRow">
      <w:rPr>
        <w:b/>
        <w:bCs/>
      </w:rPr>
      <w:tblPr/>
      <w:tcPr>
        <w:tcBorders>
          <w:top w:val="doub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D31020" w:themeColor="accent6" w:themeShade="BF"/>
    </w:r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bottom w:val="single" w:sz="12" w:space="0" w:color="F68C95" w:themeColor="accent6" w:themeTint="99"/>
        </w:tcBorders>
      </w:tcPr>
    </w:tblStylePr>
    <w:tblStylePr w:type="lastRow">
      <w:rPr>
        <w:b/>
        <w:bCs/>
      </w:rPr>
      <w:tblPr/>
      <w:tcPr>
        <w:tcBorders>
          <w:top w:val="doub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0C2B28" w:themeColor="accent1" w:themeShade="BF"/>
    </w:r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insideV w:val="single" w:sz="4" w:space="0" w:color="35C2B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bottom w:val="single" w:sz="4" w:space="0" w:color="35C2B4" w:themeColor="accent1" w:themeTint="99"/>
        </w:tcBorders>
      </w:tcPr>
    </w:tblStylePr>
    <w:tblStylePr w:type="nwCell">
      <w:tblPr/>
      <w:tcPr>
        <w:tcBorders>
          <w:bottom w:val="single" w:sz="4" w:space="0" w:color="35C2B4" w:themeColor="accent1" w:themeTint="99"/>
        </w:tcBorders>
      </w:tcPr>
    </w:tblStylePr>
    <w:tblStylePr w:type="seCell">
      <w:tblPr/>
      <w:tcPr>
        <w:tcBorders>
          <w:top w:val="single" w:sz="4" w:space="0" w:color="35C2B4" w:themeColor="accent1" w:themeTint="99"/>
        </w:tcBorders>
      </w:tcPr>
    </w:tblStylePr>
    <w:tblStylePr w:type="swCell">
      <w:tblPr/>
      <w:tcPr>
        <w:tcBorders>
          <w:top w:val="single" w:sz="4" w:space="0" w:color="35C2B4"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006E4A" w:themeColor="accent2" w:themeShade="BF"/>
    </w:r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insideV w:val="single" w:sz="4" w:space="0" w:color="25FF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bottom w:val="single" w:sz="4" w:space="0" w:color="25FFB8" w:themeColor="accent2" w:themeTint="99"/>
        </w:tcBorders>
      </w:tcPr>
    </w:tblStylePr>
    <w:tblStylePr w:type="nwCell">
      <w:tblPr/>
      <w:tcPr>
        <w:tcBorders>
          <w:bottom w:val="single" w:sz="4" w:space="0" w:color="25FFB8" w:themeColor="accent2" w:themeTint="99"/>
        </w:tcBorders>
      </w:tcPr>
    </w:tblStylePr>
    <w:tblStylePr w:type="seCell">
      <w:tblPr/>
      <w:tcPr>
        <w:tcBorders>
          <w:top w:val="single" w:sz="4" w:space="0" w:color="25FFB8" w:themeColor="accent2" w:themeTint="99"/>
        </w:tcBorders>
      </w:tcPr>
    </w:tblStylePr>
    <w:tblStylePr w:type="swCell">
      <w:tblPr/>
      <w:tcPr>
        <w:tcBorders>
          <w:top w:val="single" w:sz="4" w:space="0" w:color="25FFB8"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F1D112" w:themeColor="accent3" w:themeShade="BF"/>
    </w:r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insideV w:val="single" w:sz="4" w:space="0" w:color="F9EDA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bottom w:val="single" w:sz="4" w:space="0" w:color="F9EDA2" w:themeColor="accent3" w:themeTint="99"/>
        </w:tcBorders>
      </w:tcPr>
    </w:tblStylePr>
    <w:tblStylePr w:type="nwCell">
      <w:tblPr/>
      <w:tcPr>
        <w:tcBorders>
          <w:bottom w:val="single" w:sz="4" w:space="0" w:color="F9EDA2" w:themeColor="accent3" w:themeTint="99"/>
        </w:tcBorders>
      </w:tcPr>
    </w:tblStylePr>
    <w:tblStylePr w:type="seCell">
      <w:tblPr/>
      <w:tcPr>
        <w:tcBorders>
          <w:top w:val="single" w:sz="4" w:space="0" w:color="F9EDA2" w:themeColor="accent3" w:themeTint="99"/>
        </w:tcBorders>
      </w:tcPr>
    </w:tblStylePr>
    <w:tblStylePr w:type="swCell">
      <w:tblPr/>
      <w:tcPr>
        <w:tcBorders>
          <w:top w:val="single" w:sz="4" w:space="0" w:color="F9EDA2"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FF9E19" w:themeColor="accent4" w:themeShade="BF"/>
    </w:r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insideV w:val="single" w:sz="4" w:space="0" w:color="FFDC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bottom w:val="single" w:sz="4" w:space="0" w:color="FFDCAD" w:themeColor="accent4" w:themeTint="99"/>
        </w:tcBorders>
      </w:tcPr>
    </w:tblStylePr>
    <w:tblStylePr w:type="nwCell">
      <w:tblPr/>
      <w:tcPr>
        <w:tcBorders>
          <w:bottom w:val="single" w:sz="4" w:space="0" w:color="FFDCAD" w:themeColor="accent4" w:themeTint="99"/>
        </w:tcBorders>
      </w:tcPr>
    </w:tblStylePr>
    <w:tblStylePr w:type="seCell">
      <w:tblPr/>
      <w:tcPr>
        <w:tcBorders>
          <w:top w:val="single" w:sz="4" w:space="0" w:color="FFDCAD" w:themeColor="accent4" w:themeTint="99"/>
        </w:tcBorders>
      </w:tcPr>
    </w:tblStylePr>
    <w:tblStylePr w:type="swCell">
      <w:tblPr/>
      <w:tcPr>
        <w:tcBorders>
          <w:top w:val="single" w:sz="4" w:space="0" w:color="FFDCAD"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E54E00" w:themeColor="accent5" w:themeShade="BF"/>
    </w:r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insideV w:val="single" w:sz="4" w:space="0" w:color="FFAE8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bottom w:val="single" w:sz="4" w:space="0" w:color="FFAE85" w:themeColor="accent5" w:themeTint="99"/>
        </w:tcBorders>
      </w:tcPr>
    </w:tblStylePr>
    <w:tblStylePr w:type="nwCell">
      <w:tblPr/>
      <w:tcPr>
        <w:tcBorders>
          <w:bottom w:val="single" w:sz="4" w:space="0" w:color="FFAE85" w:themeColor="accent5" w:themeTint="99"/>
        </w:tcBorders>
      </w:tcPr>
    </w:tblStylePr>
    <w:tblStylePr w:type="seCell">
      <w:tblPr/>
      <w:tcPr>
        <w:tcBorders>
          <w:top w:val="single" w:sz="4" w:space="0" w:color="FFAE85" w:themeColor="accent5" w:themeTint="99"/>
        </w:tcBorders>
      </w:tcPr>
    </w:tblStylePr>
    <w:tblStylePr w:type="swCell">
      <w:tblPr/>
      <w:tcPr>
        <w:tcBorders>
          <w:top w:val="single" w:sz="4" w:space="0" w:color="FFAE85"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D31020" w:themeColor="accent6" w:themeShade="BF"/>
    </w:r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insideV w:val="single" w:sz="4" w:space="0" w:color="F68C9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bottom w:val="single" w:sz="4" w:space="0" w:color="F68C95" w:themeColor="accent6" w:themeTint="99"/>
        </w:tcBorders>
      </w:tcPr>
    </w:tblStylePr>
    <w:tblStylePr w:type="nwCell">
      <w:tblPr/>
      <w:tcPr>
        <w:tcBorders>
          <w:bottom w:val="single" w:sz="4" w:space="0" w:color="F68C95" w:themeColor="accent6" w:themeTint="99"/>
        </w:tcBorders>
      </w:tcPr>
    </w:tblStylePr>
    <w:tblStylePr w:type="seCell">
      <w:tblPr/>
      <w:tcPr>
        <w:tcBorders>
          <w:top w:val="single" w:sz="4" w:space="0" w:color="F68C95" w:themeColor="accent6" w:themeTint="99"/>
        </w:tcBorders>
      </w:tcPr>
    </w:tblStylePr>
    <w:tblStylePr w:type="swCell">
      <w:tblPr/>
      <w:tcPr>
        <w:tcBorders>
          <w:top w:val="single" w:sz="4" w:space="0" w:color="F68C95"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insideH w:val="single" w:sz="8" w:space="0" w:color="103A36" w:themeColor="accent1"/>
        <w:insideV w:val="single" w:sz="8" w:space="0" w:color="103A3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03A36" w:themeColor="accent1"/>
          <w:left w:val="single" w:sz="8" w:space="0" w:color="103A36" w:themeColor="accent1"/>
          <w:bottom w:val="single" w:sz="18" w:space="0" w:color="103A36" w:themeColor="accent1"/>
          <w:right w:val="single" w:sz="8" w:space="0" w:color="103A36" w:themeColor="accent1"/>
          <w:insideH w:val="nil"/>
          <w:insideV w:val="single" w:sz="8" w:space="0" w:color="103A3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03A36" w:themeColor="accent1"/>
          <w:left w:val="single" w:sz="8" w:space="0" w:color="103A36" w:themeColor="accent1"/>
          <w:bottom w:val="single" w:sz="8" w:space="0" w:color="103A36" w:themeColor="accent1"/>
          <w:right w:val="single" w:sz="8" w:space="0" w:color="103A36" w:themeColor="accent1"/>
          <w:insideH w:val="nil"/>
          <w:insideV w:val="single" w:sz="8" w:space="0" w:color="103A3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tblStylePr w:type="band1Vert">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shd w:val="clear" w:color="auto" w:fill="AAE7E1" w:themeFill="accent1" w:themeFillTint="3F"/>
      </w:tcPr>
    </w:tblStylePr>
    <w:tblStylePr w:type="band1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insideV w:val="single" w:sz="8" w:space="0" w:color="103A36" w:themeColor="accent1"/>
        </w:tcBorders>
        <w:shd w:val="clear" w:color="auto" w:fill="AAE7E1" w:themeFill="accent1" w:themeFillTint="3F"/>
      </w:tcPr>
    </w:tblStylePr>
    <w:tblStylePr w:type="band2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insideV w:val="single" w:sz="8" w:space="0" w:color="103A36"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insideH w:val="single" w:sz="8" w:space="0" w:color="009364" w:themeColor="accent2"/>
        <w:insideV w:val="single" w:sz="8" w:space="0" w:color="00936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364" w:themeColor="accent2"/>
          <w:left w:val="single" w:sz="8" w:space="0" w:color="009364" w:themeColor="accent2"/>
          <w:bottom w:val="single" w:sz="18" w:space="0" w:color="009364" w:themeColor="accent2"/>
          <w:right w:val="single" w:sz="8" w:space="0" w:color="009364" w:themeColor="accent2"/>
          <w:insideH w:val="nil"/>
          <w:insideV w:val="single" w:sz="8" w:space="0" w:color="00936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364" w:themeColor="accent2"/>
          <w:left w:val="single" w:sz="8" w:space="0" w:color="009364" w:themeColor="accent2"/>
          <w:bottom w:val="single" w:sz="8" w:space="0" w:color="009364" w:themeColor="accent2"/>
          <w:right w:val="single" w:sz="8" w:space="0" w:color="009364" w:themeColor="accent2"/>
          <w:insideH w:val="nil"/>
          <w:insideV w:val="single" w:sz="8" w:space="0" w:color="00936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tblStylePr w:type="band1Vert">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shd w:val="clear" w:color="auto" w:fill="A5FFE2" w:themeFill="accent2" w:themeFillTint="3F"/>
      </w:tcPr>
    </w:tblStylePr>
    <w:tblStylePr w:type="band1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insideV w:val="single" w:sz="8" w:space="0" w:color="009364" w:themeColor="accent2"/>
        </w:tcBorders>
        <w:shd w:val="clear" w:color="auto" w:fill="A5FFE2" w:themeFill="accent2" w:themeFillTint="3F"/>
      </w:tcPr>
    </w:tblStylePr>
    <w:tblStylePr w:type="band2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insideV w:val="single" w:sz="8" w:space="0" w:color="009364"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insideH w:val="single" w:sz="8" w:space="0" w:color="F6E265" w:themeColor="accent3"/>
        <w:insideV w:val="single" w:sz="8" w:space="0" w:color="F6E26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265" w:themeColor="accent3"/>
          <w:left w:val="single" w:sz="8" w:space="0" w:color="F6E265" w:themeColor="accent3"/>
          <w:bottom w:val="single" w:sz="18" w:space="0" w:color="F6E265" w:themeColor="accent3"/>
          <w:right w:val="single" w:sz="8" w:space="0" w:color="F6E265" w:themeColor="accent3"/>
          <w:insideH w:val="nil"/>
          <w:insideV w:val="single" w:sz="8" w:space="0" w:color="F6E26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265" w:themeColor="accent3"/>
          <w:left w:val="single" w:sz="8" w:space="0" w:color="F6E265" w:themeColor="accent3"/>
          <w:bottom w:val="single" w:sz="8" w:space="0" w:color="F6E265" w:themeColor="accent3"/>
          <w:right w:val="single" w:sz="8" w:space="0" w:color="F6E265" w:themeColor="accent3"/>
          <w:insideH w:val="nil"/>
          <w:insideV w:val="single" w:sz="8" w:space="0" w:color="F6E26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tblStylePr w:type="band1Vert">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shd w:val="clear" w:color="auto" w:fill="FCF7D8" w:themeFill="accent3" w:themeFillTint="3F"/>
      </w:tcPr>
    </w:tblStylePr>
    <w:tblStylePr w:type="band1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insideV w:val="single" w:sz="8" w:space="0" w:color="F6E265" w:themeColor="accent3"/>
        </w:tcBorders>
        <w:shd w:val="clear" w:color="auto" w:fill="FCF7D8" w:themeFill="accent3" w:themeFillTint="3F"/>
      </w:tcPr>
    </w:tblStylePr>
    <w:tblStylePr w:type="band2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insideV w:val="single" w:sz="8" w:space="0" w:color="F6E265"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insideH w:val="single" w:sz="8" w:space="0" w:color="FFC677" w:themeColor="accent4"/>
        <w:insideV w:val="single" w:sz="8" w:space="0" w:color="FFC6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677" w:themeColor="accent4"/>
          <w:left w:val="single" w:sz="8" w:space="0" w:color="FFC677" w:themeColor="accent4"/>
          <w:bottom w:val="single" w:sz="18" w:space="0" w:color="FFC677" w:themeColor="accent4"/>
          <w:right w:val="single" w:sz="8" w:space="0" w:color="FFC677" w:themeColor="accent4"/>
          <w:insideH w:val="nil"/>
          <w:insideV w:val="single" w:sz="8" w:space="0" w:color="FFC6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677" w:themeColor="accent4"/>
          <w:left w:val="single" w:sz="8" w:space="0" w:color="FFC677" w:themeColor="accent4"/>
          <w:bottom w:val="single" w:sz="8" w:space="0" w:color="FFC677" w:themeColor="accent4"/>
          <w:right w:val="single" w:sz="8" w:space="0" w:color="FFC677" w:themeColor="accent4"/>
          <w:insideH w:val="nil"/>
          <w:insideV w:val="single" w:sz="8" w:space="0" w:color="FFC6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tblStylePr w:type="band1Vert">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shd w:val="clear" w:color="auto" w:fill="FFF0DD" w:themeFill="accent4" w:themeFillTint="3F"/>
      </w:tcPr>
    </w:tblStylePr>
    <w:tblStylePr w:type="band1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insideV w:val="single" w:sz="8" w:space="0" w:color="FFC677" w:themeColor="accent4"/>
        </w:tcBorders>
        <w:shd w:val="clear" w:color="auto" w:fill="FFF0DD" w:themeFill="accent4" w:themeFillTint="3F"/>
      </w:tcPr>
    </w:tblStylePr>
    <w:tblStylePr w:type="band2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insideV w:val="single" w:sz="8" w:space="0" w:color="FFC677"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insideH w:val="single" w:sz="8" w:space="0" w:color="FF7A34" w:themeColor="accent5"/>
        <w:insideV w:val="single" w:sz="8" w:space="0" w:color="FF7A3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A34" w:themeColor="accent5"/>
          <w:left w:val="single" w:sz="8" w:space="0" w:color="FF7A34" w:themeColor="accent5"/>
          <w:bottom w:val="single" w:sz="18" w:space="0" w:color="FF7A34" w:themeColor="accent5"/>
          <w:right w:val="single" w:sz="8" w:space="0" w:color="FF7A34" w:themeColor="accent5"/>
          <w:insideH w:val="nil"/>
          <w:insideV w:val="single" w:sz="8" w:space="0" w:color="FF7A3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A34" w:themeColor="accent5"/>
          <w:left w:val="single" w:sz="8" w:space="0" w:color="FF7A34" w:themeColor="accent5"/>
          <w:bottom w:val="single" w:sz="8" w:space="0" w:color="FF7A34" w:themeColor="accent5"/>
          <w:right w:val="single" w:sz="8" w:space="0" w:color="FF7A34" w:themeColor="accent5"/>
          <w:insideH w:val="nil"/>
          <w:insideV w:val="single" w:sz="8" w:space="0" w:color="FF7A3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tblStylePr w:type="band1Vert">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shd w:val="clear" w:color="auto" w:fill="FFDDCC" w:themeFill="accent5" w:themeFillTint="3F"/>
      </w:tcPr>
    </w:tblStylePr>
    <w:tblStylePr w:type="band1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insideV w:val="single" w:sz="8" w:space="0" w:color="FF7A34" w:themeColor="accent5"/>
        </w:tcBorders>
        <w:shd w:val="clear" w:color="auto" w:fill="FFDDCC" w:themeFill="accent5" w:themeFillTint="3F"/>
      </w:tcPr>
    </w:tblStylePr>
    <w:tblStylePr w:type="band2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insideV w:val="single" w:sz="8" w:space="0" w:color="FF7A34"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insideH w:val="single" w:sz="8" w:space="0" w:color="F0404F" w:themeColor="accent6"/>
        <w:insideV w:val="single" w:sz="8" w:space="0" w:color="F0404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04F" w:themeColor="accent6"/>
          <w:left w:val="single" w:sz="8" w:space="0" w:color="F0404F" w:themeColor="accent6"/>
          <w:bottom w:val="single" w:sz="18" w:space="0" w:color="F0404F" w:themeColor="accent6"/>
          <w:right w:val="single" w:sz="8" w:space="0" w:color="F0404F" w:themeColor="accent6"/>
          <w:insideH w:val="nil"/>
          <w:insideV w:val="single" w:sz="8" w:space="0" w:color="F0404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04F" w:themeColor="accent6"/>
          <w:left w:val="single" w:sz="8" w:space="0" w:color="F0404F" w:themeColor="accent6"/>
          <w:bottom w:val="single" w:sz="8" w:space="0" w:color="F0404F" w:themeColor="accent6"/>
          <w:right w:val="single" w:sz="8" w:space="0" w:color="F0404F" w:themeColor="accent6"/>
          <w:insideH w:val="nil"/>
          <w:insideV w:val="single" w:sz="8" w:space="0" w:color="F0404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tblStylePr w:type="band1Vert">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shd w:val="clear" w:color="auto" w:fill="FBCFD3" w:themeFill="accent6" w:themeFillTint="3F"/>
      </w:tcPr>
    </w:tblStylePr>
    <w:tblStylePr w:type="band1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insideV w:val="single" w:sz="8" w:space="0" w:color="F0404F" w:themeColor="accent6"/>
        </w:tcBorders>
        <w:shd w:val="clear" w:color="auto" w:fill="FBCFD3" w:themeFill="accent6" w:themeFillTint="3F"/>
      </w:tcPr>
    </w:tblStylePr>
    <w:tblStylePr w:type="band2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insideV w:val="single" w:sz="8" w:space="0" w:color="F0404F"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tblBorders>
    </w:tblPr>
    <w:tblStylePr w:type="firstRow">
      <w:pPr>
        <w:spacing w:before="0" w:after="0" w:line="240" w:lineRule="auto"/>
      </w:pPr>
      <w:rPr>
        <w:b/>
        <w:bCs/>
        <w:color w:val="FFFFFF" w:themeColor="background1"/>
      </w:rPr>
      <w:tblPr/>
      <w:tcPr>
        <w:shd w:val="clear" w:color="auto" w:fill="103A36" w:themeFill="accent1"/>
      </w:tcPr>
    </w:tblStylePr>
    <w:tblStylePr w:type="lastRow">
      <w:pPr>
        <w:spacing w:before="0" w:after="0" w:line="240" w:lineRule="auto"/>
      </w:pPr>
      <w:rPr>
        <w:b/>
        <w:bCs/>
      </w:rPr>
      <w:tblPr/>
      <w:tcPr>
        <w:tcBorders>
          <w:top w:val="double" w:sz="6" w:space="0" w:color="103A36" w:themeColor="accent1"/>
          <w:left w:val="single" w:sz="8" w:space="0" w:color="103A36" w:themeColor="accent1"/>
          <w:bottom w:val="single" w:sz="8" w:space="0" w:color="103A36" w:themeColor="accent1"/>
          <w:right w:val="single" w:sz="8" w:space="0" w:color="103A36" w:themeColor="accent1"/>
        </w:tcBorders>
      </w:tcPr>
    </w:tblStylePr>
    <w:tblStylePr w:type="firstCol">
      <w:rPr>
        <w:b/>
        <w:bCs/>
      </w:rPr>
    </w:tblStylePr>
    <w:tblStylePr w:type="lastCol">
      <w:rPr>
        <w:b/>
        <w:bCs/>
      </w:rPr>
    </w:tblStylePr>
    <w:tblStylePr w:type="band1Vert">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tblStylePr w:type="band1Horz">
      <w:tblPr/>
      <w:tcPr>
        <w:tcBorders>
          <w:top w:val="single" w:sz="8" w:space="0" w:color="103A36" w:themeColor="accent1"/>
          <w:left w:val="single" w:sz="8" w:space="0" w:color="103A36" w:themeColor="accent1"/>
          <w:bottom w:val="single" w:sz="8" w:space="0" w:color="103A36" w:themeColor="accent1"/>
          <w:right w:val="single" w:sz="8" w:space="0" w:color="103A36"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tblBorders>
    </w:tblPr>
    <w:tblStylePr w:type="firstRow">
      <w:pPr>
        <w:spacing w:before="0" w:after="0" w:line="240" w:lineRule="auto"/>
      </w:pPr>
      <w:rPr>
        <w:b/>
        <w:bCs/>
        <w:color w:val="FFFFFF" w:themeColor="background1"/>
      </w:rPr>
      <w:tblPr/>
      <w:tcPr>
        <w:shd w:val="clear" w:color="auto" w:fill="009364" w:themeFill="accent2"/>
      </w:tcPr>
    </w:tblStylePr>
    <w:tblStylePr w:type="lastRow">
      <w:pPr>
        <w:spacing w:before="0" w:after="0" w:line="240" w:lineRule="auto"/>
      </w:pPr>
      <w:rPr>
        <w:b/>
        <w:bCs/>
      </w:rPr>
      <w:tblPr/>
      <w:tcPr>
        <w:tcBorders>
          <w:top w:val="double" w:sz="6" w:space="0" w:color="009364" w:themeColor="accent2"/>
          <w:left w:val="single" w:sz="8" w:space="0" w:color="009364" w:themeColor="accent2"/>
          <w:bottom w:val="single" w:sz="8" w:space="0" w:color="009364" w:themeColor="accent2"/>
          <w:right w:val="single" w:sz="8" w:space="0" w:color="009364" w:themeColor="accent2"/>
        </w:tcBorders>
      </w:tcPr>
    </w:tblStylePr>
    <w:tblStylePr w:type="firstCol">
      <w:rPr>
        <w:b/>
        <w:bCs/>
      </w:rPr>
    </w:tblStylePr>
    <w:tblStylePr w:type="lastCol">
      <w:rPr>
        <w:b/>
        <w:bCs/>
      </w:rPr>
    </w:tblStylePr>
    <w:tblStylePr w:type="band1Vert">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tblStylePr w:type="band1Horz">
      <w:tblPr/>
      <w:tcPr>
        <w:tcBorders>
          <w:top w:val="single" w:sz="8" w:space="0" w:color="009364" w:themeColor="accent2"/>
          <w:left w:val="single" w:sz="8" w:space="0" w:color="009364" w:themeColor="accent2"/>
          <w:bottom w:val="single" w:sz="8" w:space="0" w:color="009364" w:themeColor="accent2"/>
          <w:right w:val="single" w:sz="8" w:space="0" w:color="009364"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tblBorders>
    </w:tblPr>
    <w:tblStylePr w:type="firstRow">
      <w:pPr>
        <w:spacing w:before="0" w:after="0" w:line="240" w:lineRule="auto"/>
      </w:pPr>
      <w:rPr>
        <w:b/>
        <w:bCs/>
        <w:color w:val="FFFFFF" w:themeColor="background1"/>
      </w:rPr>
      <w:tblPr/>
      <w:tcPr>
        <w:shd w:val="clear" w:color="auto" w:fill="F6E265" w:themeFill="accent3"/>
      </w:tcPr>
    </w:tblStylePr>
    <w:tblStylePr w:type="lastRow">
      <w:pPr>
        <w:spacing w:before="0" w:after="0" w:line="240" w:lineRule="auto"/>
      </w:pPr>
      <w:rPr>
        <w:b/>
        <w:bCs/>
      </w:rPr>
      <w:tblPr/>
      <w:tcPr>
        <w:tcBorders>
          <w:top w:val="double" w:sz="6" w:space="0" w:color="F6E265" w:themeColor="accent3"/>
          <w:left w:val="single" w:sz="8" w:space="0" w:color="F6E265" w:themeColor="accent3"/>
          <w:bottom w:val="single" w:sz="8" w:space="0" w:color="F6E265" w:themeColor="accent3"/>
          <w:right w:val="single" w:sz="8" w:space="0" w:color="F6E265" w:themeColor="accent3"/>
        </w:tcBorders>
      </w:tcPr>
    </w:tblStylePr>
    <w:tblStylePr w:type="firstCol">
      <w:rPr>
        <w:b/>
        <w:bCs/>
      </w:rPr>
    </w:tblStylePr>
    <w:tblStylePr w:type="lastCol">
      <w:rPr>
        <w:b/>
        <w:bCs/>
      </w:rPr>
    </w:tblStylePr>
    <w:tblStylePr w:type="band1Vert">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tblStylePr w:type="band1Horz">
      <w:tblPr/>
      <w:tcPr>
        <w:tcBorders>
          <w:top w:val="single" w:sz="8" w:space="0" w:color="F6E265" w:themeColor="accent3"/>
          <w:left w:val="single" w:sz="8" w:space="0" w:color="F6E265" w:themeColor="accent3"/>
          <w:bottom w:val="single" w:sz="8" w:space="0" w:color="F6E265" w:themeColor="accent3"/>
          <w:right w:val="single" w:sz="8" w:space="0" w:color="F6E265"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tblBorders>
    </w:tblPr>
    <w:tblStylePr w:type="firstRow">
      <w:pPr>
        <w:spacing w:before="0" w:after="0" w:line="240" w:lineRule="auto"/>
      </w:pPr>
      <w:rPr>
        <w:b/>
        <w:bCs/>
        <w:color w:val="FFFFFF" w:themeColor="background1"/>
      </w:rPr>
      <w:tblPr/>
      <w:tcPr>
        <w:shd w:val="clear" w:color="auto" w:fill="FFC677" w:themeFill="accent4"/>
      </w:tcPr>
    </w:tblStylePr>
    <w:tblStylePr w:type="lastRow">
      <w:pPr>
        <w:spacing w:before="0" w:after="0" w:line="240" w:lineRule="auto"/>
      </w:pPr>
      <w:rPr>
        <w:b/>
        <w:bCs/>
      </w:rPr>
      <w:tblPr/>
      <w:tcPr>
        <w:tcBorders>
          <w:top w:val="double" w:sz="6" w:space="0" w:color="FFC677" w:themeColor="accent4"/>
          <w:left w:val="single" w:sz="8" w:space="0" w:color="FFC677" w:themeColor="accent4"/>
          <w:bottom w:val="single" w:sz="8" w:space="0" w:color="FFC677" w:themeColor="accent4"/>
          <w:right w:val="single" w:sz="8" w:space="0" w:color="FFC677" w:themeColor="accent4"/>
        </w:tcBorders>
      </w:tcPr>
    </w:tblStylePr>
    <w:tblStylePr w:type="firstCol">
      <w:rPr>
        <w:b/>
        <w:bCs/>
      </w:rPr>
    </w:tblStylePr>
    <w:tblStylePr w:type="lastCol">
      <w:rPr>
        <w:b/>
        <w:bCs/>
      </w:rPr>
    </w:tblStylePr>
    <w:tblStylePr w:type="band1Vert">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tblStylePr w:type="band1Horz">
      <w:tblPr/>
      <w:tcPr>
        <w:tcBorders>
          <w:top w:val="single" w:sz="8" w:space="0" w:color="FFC677" w:themeColor="accent4"/>
          <w:left w:val="single" w:sz="8" w:space="0" w:color="FFC677" w:themeColor="accent4"/>
          <w:bottom w:val="single" w:sz="8" w:space="0" w:color="FFC677" w:themeColor="accent4"/>
          <w:right w:val="single" w:sz="8" w:space="0" w:color="FFC677"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tblBorders>
    </w:tblPr>
    <w:tblStylePr w:type="firstRow">
      <w:pPr>
        <w:spacing w:before="0" w:after="0" w:line="240" w:lineRule="auto"/>
      </w:pPr>
      <w:rPr>
        <w:b/>
        <w:bCs/>
        <w:color w:val="FFFFFF" w:themeColor="background1"/>
      </w:rPr>
      <w:tblPr/>
      <w:tcPr>
        <w:shd w:val="clear" w:color="auto" w:fill="FF7A34" w:themeFill="accent5"/>
      </w:tcPr>
    </w:tblStylePr>
    <w:tblStylePr w:type="lastRow">
      <w:pPr>
        <w:spacing w:before="0" w:after="0" w:line="240" w:lineRule="auto"/>
      </w:pPr>
      <w:rPr>
        <w:b/>
        <w:bCs/>
      </w:rPr>
      <w:tblPr/>
      <w:tcPr>
        <w:tcBorders>
          <w:top w:val="double" w:sz="6" w:space="0" w:color="FF7A34" w:themeColor="accent5"/>
          <w:left w:val="single" w:sz="8" w:space="0" w:color="FF7A34" w:themeColor="accent5"/>
          <w:bottom w:val="single" w:sz="8" w:space="0" w:color="FF7A34" w:themeColor="accent5"/>
          <w:right w:val="single" w:sz="8" w:space="0" w:color="FF7A34" w:themeColor="accent5"/>
        </w:tcBorders>
      </w:tcPr>
    </w:tblStylePr>
    <w:tblStylePr w:type="firstCol">
      <w:rPr>
        <w:b/>
        <w:bCs/>
      </w:rPr>
    </w:tblStylePr>
    <w:tblStylePr w:type="lastCol">
      <w:rPr>
        <w:b/>
        <w:bCs/>
      </w:rPr>
    </w:tblStylePr>
    <w:tblStylePr w:type="band1Vert">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tblStylePr w:type="band1Horz">
      <w:tblPr/>
      <w:tcPr>
        <w:tcBorders>
          <w:top w:val="single" w:sz="8" w:space="0" w:color="FF7A34" w:themeColor="accent5"/>
          <w:left w:val="single" w:sz="8" w:space="0" w:color="FF7A34" w:themeColor="accent5"/>
          <w:bottom w:val="single" w:sz="8" w:space="0" w:color="FF7A34" w:themeColor="accent5"/>
          <w:right w:val="single" w:sz="8" w:space="0" w:color="FF7A34"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tblBorders>
    </w:tblPr>
    <w:tblStylePr w:type="firstRow">
      <w:pPr>
        <w:spacing w:before="0" w:after="0" w:line="240" w:lineRule="auto"/>
      </w:pPr>
      <w:rPr>
        <w:b/>
        <w:bCs/>
        <w:color w:val="FFFFFF" w:themeColor="background1"/>
      </w:rPr>
      <w:tblPr/>
      <w:tcPr>
        <w:shd w:val="clear" w:color="auto" w:fill="F0404F" w:themeFill="accent6"/>
      </w:tcPr>
    </w:tblStylePr>
    <w:tblStylePr w:type="lastRow">
      <w:pPr>
        <w:spacing w:before="0" w:after="0" w:line="240" w:lineRule="auto"/>
      </w:pPr>
      <w:rPr>
        <w:b/>
        <w:bCs/>
      </w:rPr>
      <w:tblPr/>
      <w:tcPr>
        <w:tcBorders>
          <w:top w:val="double" w:sz="6" w:space="0" w:color="F0404F" w:themeColor="accent6"/>
          <w:left w:val="single" w:sz="8" w:space="0" w:color="F0404F" w:themeColor="accent6"/>
          <w:bottom w:val="single" w:sz="8" w:space="0" w:color="F0404F" w:themeColor="accent6"/>
          <w:right w:val="single" w:sz="8" w:space="0" w:color="F0404F" w:themeColor="accent6"/>
        </w:tcBorders>
      </w:tcPr>
    </w:tblStylePr>
    <w:tblStylePr w:type="firstCol">
      <w:rPr>
        <w:b/>
        <w:bCs/>
      </w:rPr>
    </w:tblStylePr>
    <w:tblStylePr w:type="lastCol">
      <w:rPr>
        <w:b/>
        <w:bCs/>
      </w:rPr>
    </w:tblStylePr>
    <w:tblStylePr w:type="band1Vert">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tblStylePr w:type="band1Horz">
      <w:tblPr/>
      <w:tcPr>
        <w:tcBorders>
          <w:top w:val="single" w:sz="8" w:space="0" w:color="F0404F" w:themeColor="accent6"/>
          <w:left w:val="single" w:sz="8" w:space="0" w:color="F0404F" w:themeColor="accent6"/>
          <w:bottom w:val="single" w:sz="8" w:space="0" w:color="F0404F" w:themeColor="accent6"/>
          <w:right w:val="single" w:sz="8" w:space="0" w:color="F0404F"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0C2B28" w:themeColor="accent1" w:themeShade="BF"/>
    </w:rPr>
    <w:tblPr>
      <w:tblStyleRowBandSize w:val="1"/>
      <w:tblStyleColBandSize w:val="1"/>
      <w:tblBorders>
        <w:top w:val="single" w:sz="8" w:space="0" w:color="103A36" w:themeColor="accent1"/>
        <w:bottom w:val="single" w:sz="8" w:space="0" w:color="103A36" w:themeColor="accent1"/>
      </w:tblBorders>
    </w:tblPr>
    <w:tblStylePr w:type="firstRow">
      <w:pPr>
        <w:spacing w:before="0" w:after="0" w:line="240" w:lineRule="auto"/>
      </w:pPr>
      <w:rPr>
        <w:b/>
        <w:bCs/>
      </w:rPr>
      <w:tblPr/>
      <w:tcPr>
        <w:tcBorders>
          <w:top w:val="single" w:sz="8" w:space="0" w:color="103A36" w:themeColor="accent1"/>
          <w:left w:val="nil"/>
          <w:bottom w:val="single" w:sz="8" w:space="0" w:color="103A36" w:themeColor="accent1"/>
          <w:right w:val="nil"/>
          <w:insideH w:val="nil"/>
          <w:insideV w:val="nil"/>
        </w:tcBorders>
      </w:tcPr>
    </w:tblStylePr>
    <w:tblStylePr w:type="lastRow">
      <w:pPr>
        <w:spacing w:before="0" w:after="0" w:line="240" w:lineRule="auto"/>
      </w:pPr>
      <w:rPr>
        <w:b/>
        <w:bCs/>
      </w:rPr>
      <w:tblPr/>
      <w:tcPr>
        <w:tcBorders>
          <w:top w:val="single" w:sz="8" w:space="0" w:color="103A36" w:themeColor="accent1"/>
          <w:left w:val="nil"/>
          <w:bottom w:val="single" w:sz="8" w:space="0" w:color="103A3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E7E1" w:themeFill="accent1" w:themeFillTint="3F"/>
      </w:tcPr>
    </w:tblStylePr>
    <w:tblStylePr w:type="band1Horz">
      <w:tblPr/>
      <w:tcPr>
        <w:tcBorders>
          <w:left w:val="nil"/>
          <w:right w:val="nil"/>
          <w:insideH w:val="nil"/>
          <w:insideV w:val="nil"/>
        </w:tcBorders>
        <w:shd w:val="clear" w:color="auto" w:fill="AAE7E1" w:themeFill="accent1" w:themeFillTint="3F"/>
      </w:tcPr>
    </w:tblStylePr>
  </w:style>
  <w:style w:type="table" w:styleId="LightShading-Accent2">
    <w:name w:val="Light Shading Accent 2"/>
    <w:basedOn w:val="TableNormal"/>
    <w:uiPriority w:val="60"/>
    <w:semiHidden/>
    <w:rsid w:val="0058629F"/>
    <w:pPr>
      <w:spacing w:line="240" w:lineRule="auto"/>
    </w:pPr>
    <w:rPr>
      <w:color w:val="006E4A" w:themeColor="accent2" w:themeShade="BF"/>
    </w:rPr>
    <w:tblPr>
      <w:tblStyleRowBandSize w:val="1"/>
      <w:tblStyleColBandSize w:val="1"/>
      <w:tblBorders>
        <w:top w:val="single" w:sz="8" w:space="0" w:color="009364" w:themeColor="accent2"/>
        <w:bottom w:val="single" w:sz="8" w:space="0" w:color="009364" w:themeColor="accent2"/>
      </w:tblBorders>
    </w:tblPr>
    <w:tblStylePr w:type="firstRow">
      <w:pPr>
        <w:spacing w:before="0" w:after="0" w:line="240" w:lineRule="auto"/>
      </w:pPr>
      <w:rPr>
        <w:b/>
        <w:bCs/>
      </w:rPr>
      <w:tblPr/>
      <w:tcPr>
        <w:tcBorders>
          <w:top w:val="single" w:sz="8" w:space="0" w:color="009364" w:themeColor="accent2"/>
          <w:left w:val="nil"/>
          <w:bottom w:val="single" w:sz="8" w:space="0" w:color="009364" w:themeColor="accent2"/>
          <w:right w:val="nil"/>
          <w:insideH w:val="nil"/>
          <w:insideV w:val="nil"/>
        </w:tcBorders>
      </w:tcPr>
    </w:tblStylePr>
    <w:tblStylePr w:type="lastRow">
      <w:pPr>
        <w:spacing w:before="0" w:after="0" w:line="240" w:lineRule="auto"/>
      </w:pPr>
      <w:rPr>
        <w:b/>
        <w:bCs/>
      </w:rPr>
      <w:tblPr/>
      <w:tcPr>
        <w:tcBorders>
          <w:top w:val="single" w:sz="8" w:space="0" w:color="009364" w:themeColor="accent2"/>
          <w:left w:val="nil"/>
          <w:bottom w:val="single" w:sz="8" w:space="0" w:color="00936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2" w:themeFill="accent2" w:themeFillTint="3F"/>
      </w:tcPr>
    </w:tblStylePr>
    <w:tblStylePr w:type="band1Horz">
      <w:tblPr/>
      <w:tcPr>
        <w:tcBorders>
          <w:left w:val="nil"/>
          <w:right w:val="nil"/>
          <w:insideH w:val="nil"/>
          <w:insideV w:val="nil"/>
        </w:tcBorders>
        <w:shd w:val="clear" w:color="auto" w:fill="A5FFE2" w:themeFill="accent2" w:themeFillTint="3F"/>
      </w:tcPr>
    </w:tblStylePr>
  </w:style>
  <w:style w:type="table" w:styleId="LightShading-Accent3">
    <w:name w:val="Light Shading Accent 3"/>
    <w:basedOn w:val="TableNormal"/>
    <w:uiPriority w:val="60"/>
    <w:semiHidden/>
    <w:rsid w:val="0058629F"/>
    <w:pPr>
      <w:spacing w:line="240" w:lineRule="auto"/>
    </w:pPr>
    <w:rPr>
      <w:color w:val="F1D112" w:themeColor="accent3" w:themeShade="BF"/>
    </w:rPr>
    <w:tblPr>
      <w:tblStyleRowBandSize w:val="1"/>
      <w:tblStyleColBandSize w:val="1"/>
      <w:tblBorders>
        <w:top w:val="single" w:sz="8" w:space="0" w:color="F6E265" w:themeColor="accent3"/>
        <w:bottom w:val="single" w:sz="8" w:space="0" w:color="F6E265" w:themeColor="accent3"/>
      </w:tblBorders>
    </w:tblPr>
    <w:tblStylePr w:type="firstRow">
      <w:pPr>
        <w:spacing w:before="0" w:after="0" w:line="240" w:lineRule="auto"/>
      </w:pPr>
      <w:rPr>
        <w:b/>
        <w:bCs/>
      </w:rPr>
      <w:tblPr/>
      <w:tcPr>
        <w:tcBorders>
          <w:top w:val="single" w:sz="8" w:space="0" w:color="F6E265" w:themeColor="accent3"/>
          <w:left w:val="nil"/>
          <w:bottom w:val="single" w:sz="8" w:space="0" w:color="F6E265" w:themeColor="accent3"/>
          <w:right w:val="nil"/>
          <w:insideH w:val="nil"/>
          <w:insideV w:val="nil"/>
        </w:tcBorders>
      </w:tcPr>
    </w:tblStylePr>
    <w:tblStylePr w:type="lastRow">
      <w:pPr>
        <w:spacing w:before="0" w:after="0" w:line="240" w:lineRule="auto"/>
      </w:pPr>
      <w:rPr>
        <w:b/>
        <w:bCs/>
      </w:rPr>
      <w:tblPr/>
      <w:tcPr>
        <w:tcBorders>
          <w:top w:val="single" w:sz="8" w:space="0" w:color="F6E265" w:themeColor="accent3"/>
          <w:left w:val="nil"/>
          <w:bottom w:val="single" w:sz="8" w:space="0" w:color="F6E26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7D8" w:themeFill="accent3" w:themeFillTint="3F"/>
      </w:tcPr>
    </w:tblStylePr>
    <w:tblStylePr w:type="band1Horz">
      <w:tblPr/>
      <w:tcPr>
        <w:tcBorders>
          <w:left w:val="nil"/>
          <w:right w:val="nil"/>
          <w:insideH w:val="nil"/>
          <w:insideV w:val="nil"/>
        </w:tcBorders>
        <w:shd w:val="clear" w:color="auto" w:fill="FCF7D8" w:themeFill="accent3" w:themeFillTint="3F"/>
      </w:tcPr>
    </w:tblStylePr>
  </w:style>
  <w:style w:type="table" w:styleId="LightShading-Accent4">
    <w:name w:val="Light Shading Accent 4"/>
    <w:basedOn w:val="TableNormal"/>
    <w:uiPriority w:val="60"/>
    <w:semiHidden/>
    <w:rsid w:val="0058629F"/>
    <w:pPr>
      <w:spacing w:line="240" w:lineRule="auto"/>
    </w:pPr>
    <w:rPr>
      <w:color w:val="FF9E19" w:themeColor="accent4" w:themeShade="BF"/>
    </w:rPr>
    <w:tblPr>
      <w:tblStyleRowBandSize w:val="1"/>
      <w:tblStyleColBandSize w:val="1"/>
      <w:tblBorders>
        <w:top w:val="single" w:sz="8" w:space="0" w:color="FFC677" w:themeColor="accent4"/>
        <w:bottom w:val="single" w:sz="8" w:space="0" w:color="FFC677" w:themeColor="accent4"/>
      </w:tblBorders>
    </w:tblPr>
    <w:tblStylePr w:type="firstRow">
      <w:pPr>
        <w:spacing w:before="0" w:after="0" w:line="240" w:lineRule="auto"/>
      </w:pPr>
      <w:rPr>
        <w:b/>
        <w:bCs/>
      </w:rPr>
      <w:tblPr/>
      <w:tcPr>
        <w:tcBorders>
          <w:top w:val="single" w:sz="8" w:space="0" w:color="FFC677" w:themeColor="accent4"/>
          <w:left w:val="nil"/>
          <w:bottom w:val="single" w:sz="8" w:space="0" w:color="FFC677" w:themeColor="accent4"/>
          <w:right w:val="nil"/>
          <w:insideH w:val="nil"/>
          <w:insideV w:val="nil"/>
        </w:tcBorders>
      </w:tcPr>
    </w:tblStylePr>
    <w:tblStylePr w:type="lastRow">
      <w:pPr>
        <w:spacing w:before="0" w:after="0" w:line="240" w:lineRule="auto"/>
      </w:pPr>
      <w:rPr>
        <w:b/>
        <w:bCs/>
      </w:rPr>
      <w:tblPr/>
      <w:tcPr>
        <w:tcBorders>
          <w:top w:val="single" w:sz="8" w:space="0" w:color="FFC677" w:themeColor="accent4"/>
          <w:left w:val="nil"/>
          <w:bottom w:val="single" w:sz="8" w:space="0" w:color="FFC6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0DD" w:themeFill="accent4" w:themeFillTint="3F"/>
      </w:tcPr>
    </w:tblStylePr>
    <w:tblStylePr w:type="band1Horz">
      <w:tblPr/>
      <w:tcPr>
        <w:tcBorders>
          <w:left w:val="nil"/>
          <w:right w:val="nil"/>
          <w:insideH w:val="nil"/>
          <w:insideV w:val="nil"/>
        </w:tcBorders>
        <w:shd w:val="clear" w:color="auto" w:fill="FFF0DD" w:themeFill="accent4" w:themeFillTint="3F"/>
      </w:tcPr>
    </w:tblStylePr>
  </w:style>
  <w:style w:type="table" w:styleId="LightShading-Accent5">
    <w:name w:val="Light Shading Accent 5"/>
    <w:basedOn w:val="TableNormal"/>
    <w:uiPriority w:val="60"/>
    <w:semiHidden/>
    <w:rsid w:val="0058629F"/>
    <w:pPr>
      <w:spacing w:line="240" w:lineRule="auto"/>
    </w:pPr>
    <w:rPr>
      <w:color w:val="E54E00" w:themeColor="accent5" w:themeShade="BF"/>
    </w:rPr>
    <w:tblPr>
      <w:tblStyleRowBandSize w:val="1"/>
      <w:tblStyleColBandSize w:val="1"/>
      <w:tblBorders>
        <w:top w:val="single" w:sz="8" w:space="0" w:color="FF7A34" w:themeColor="accent5"/>
        <w:bottom w:val="single" w:sz="8" w:space="0" w:color="FF7A34" w:themeColor="accent5"/>
      </w:tblBorders>
    </w:tblPr>
    <w:tblStylePr w:type="firstRow">
      <w:pPr>
        <w:spacing w:before="0" w:after="0" w:line="240" w:lineRule="auto"/>
      </w:pPr>
      <w:rPr>
        <w:b/>
        <w:bCs/>
      </w:rPr>
      <w:tblPr/>
      <w:tcPr>
        <w:tcBorders>
          <w:top w:val="single" w:sz="8" w:space="0" w:color="FF7A34" w:themeColor="accent5"/>
          <w:left w:val="nil"/>
          <w:bottom w:val="single" w:sz="8" w:space="0" w:color="FF7A34" w:themeColor="accent5"/>
          <w:right w:val="nil"/>
          <w:insideH w:val="nil"/>
          <w:insideV w:val="nil"/>
        </w:tcBorders>
      </w:tcPr>
    </w:tblStylePr>
    <w:tblStylePr w:type="lastRow">
      <w:pPr>
        <w:spacing w:before="0" w:after="0" w:line="240" w:lineRule="auto"/>
      </w:pPr>
      <w:rPr>
        <w:b/>
        <w:bCs/>
      </w:rPr>
      <w:tblPr/>
      <w:tcPr>
        <w:tcBorders>
          <w:top w:val="single" w:sz="8" w:space="0" w:color="FF7A34" w:themeColor="accent5"/>
          <w:left w:val="nil"/>
          <w:bottom w:val="single" w:sz="8" w:space="0" w:color="FF7A3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C" w:themeFill="accent5" w:themeFillTint="3F"/>
      </w:tcPr>
    </w:tblStylePr>
    <w:tblStylePr w:type="band1Horz">
      <w:tblPr/>
      <w:tcPr>
        <w:tcBorders>
          <w:left w:val="nil"/>
          <w:right w:val="nil"/>
          <w:insideH w:val="nil"/>
          <w:insideV w:val="nil"/>
        </w:tcBorders>
        <w:shd w:val="clear" w:color="auto" w:fill="FFDDCC" w:themeFill="accent5" w:themeFillTint="3F"/>
      </w:tcPr>
    </w:tblStylePr>
  </w:style>
  <w:style w:type="table" w:styleId="LightShading-Accent6">
    <w:name w:val="Light Shading Accent 6"/>
    <w:basedOn w:val="TableNormal"/>
    <w:uiPriority w:val="60"/>
    <w:semiHidden/>
    <w:rsid w:val="0058629F"/>
    <w:pPr>
      <w:spacing w:line="240" w:lineRule="auto"/>
    </w:pPr>
    <w:rPr>
      <w:color w:val="D31020" w:themeColor="accent6" w:themeShade="BF"/>
    </w:rPr>
    <w:tblPr>
      <w:tblStyleRowBandSize w:val="1"/>
      <w:tblStyleColBandSize w:val="1"/>
      <w:tblBorders>
        <w:top w:val="single" w:sz="8" w:space="0" w:color="F0404F" w:themeColor="accent6"/>
        <w:bottom w:val="single" w:sz="8" w:space="0" w:color="F0404F" w:themeColor="accent6"/>
      </w:tblBorders>
    </w:tblPr>
    <w:tblStylePr w:type="firstRow">
      <w:pPr>
        <w:spacing w:before="0" w:after="0" w:line="240" w:lineRule="auto"/>
      </w:pPr>
      <w:rPr>
        <w:b/>
        <w:bCs/>
      </w:rPr>
      <w:tblPr/>
      <w:tcPr>
        <w:tcBorders>
          <w:top w:val="single" w:sz="8" w:space="0" w:color="F0404F" w:themeColor="accent6"/>
          <w:left w:val="nil"/>
          <w:bottom w:val="single" w:sz="8" w:space="0" w:color="F0404F" w:themeColor="accent6"/>
          <w:right w:val="nil"/>
          <w:insideH w:val="nil"/>
          <w:insideV w:val="nil"/>
        </w:tcBorders>
      </w:tcPr>
    </w:tblStylePr>
    <w:tblStylePr w:type="lastRow">
      <w:pPr>
        <w:spacing w:before="0" w:after="0" w:line="240" w:lineRule="auto"/>
      </w:pPr>
      <w:rPr>
        <w:b/>
        <w:bCs/>
      </w:rPr>
      <w:tblPr/>
      <w:tcPr>
        <w:tcBorders>
          <w:top w:val="single" w:sz="8" w:space="0" w:color="F0404F" w:themeColor="accent6"/>
          <w:left w:val="nil"/>
          <w:bottom w:val="single" w:sz="8" w:space="0" w:color="F0404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CFD3" w:themeFill="accent6" w:themeFillTint="3F"/>
      </w:tcPr>
    </w:tblStylePr>
    <w:tblStylePr w:type="band1Horz">
      <w:tblPr/>
      <w:tcPr>
        <w:tcBorders>
          <w:left w:val="nil"/>
          <w:right w:val="nil"/>
          <w:insideH w:val="nil"/>
          <w:insideV w:val="nil"/>
        </w:tcBorders>
        <w:shd w:val="clear" w:color="auto" w:fill="FBCFD3"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35C2B4" w:themeColor="accent1" w:themeTint="99"/>
        </w:tcBorders>
      </w:tcPr>
    </w:tblStylePr>
    <w:tblStylePr w:type="lastRow">
      <w:rPr>
        <w:b/>
        <w:bCs/>
      </w:rPr>
      <w:tblPr/>
      <w:tcPr>
        <w:tcBorders>
          <w:top w:val="sing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25FFB8" w:themeColor="accent2" w:themeTint="99"/>
        </w:tcBorders>
      </w:tcPr>
    </w:tblStylePr>
    <w:tblStylePr w:type="lastRow">
      <w:rPr>
        <w:b/>
        <w:bCs/>
      </w:rPr>
      <w:tblPr/>
      <w:tcPr>
        <w:tcBorders>
          <w:top w:val="sing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EDA2" w:themeColor="accent3" w:themeTint="99"/>
        </w:tcBorders>
      </w:tcPr>
    </w:tblStylePr>
    <w:tblStylePr w:type="lastRow">
      <w:rPr>
        <w:b/>
        <w:bCs/>
      </w:rPr>
      <w:tblPr/>
      <w:tcPr>
        <w:tcBorders>
          <w:top w:val="sing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DCAD" w:themeColor="accent4" w:themeTint="99"/>
        </w:tcBorders>
      </w:tcPr>
    </w:tblStylePr>
    <w:tblStylePr w:type="lastRow">
      <w:rPr>
        <w:b/>
        <w:bCs/>
      </w:rPr>
      <w:tblPr/>
      <w:tcPr>
        <w:tcBorders>
          <w:top w:val="sing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FAE85" w:themeColor="accent5" w:themeTint="99"/>
        </w:tcBorders>
      </w:tcPr>
    </w:tblStylePr>
    <w:tblStylePr w:type="lastRow">
      <w:rPr>
        <w:b/>
        <w:bCs/>
      </w:rPr>
      <w:tblPr/>
      <w:tcPr>
        <w:tcBorders>
          <w:top w:val="sing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68C95" w:themeColor="accent6" w:themeTint="99"/>
        </w:tcBorders>
      </w:tcPr>
    </w:tblStylePr>
    <w:tblStylePr w:type="lastRow">
      <w:rPr>
        <w:b/>
        <w:bCs/>
      </w:rPr>
      <w:tblPr/>
      <w:tcPr>
        <w:tcBorders>
          <w:top w:val="sing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35C2B4" w:themeColor="accent1" w:themeTint="99"/>
        <w:bottom w:val="single" w:sz="4" w:space="0" w:color="35C2B4" w:themeColor="accent1" w:themeTint="99"/>
        <w:insideH w:val="single" w:sz="4" w:space="0" w:color="35C2B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25FFB8" w:themeColor="accent2" w:themeTint="99"/>
        <w:bottom w:val="single" w:sz="4" w:space="0" w:color="25FFB8" w:themeColor="accent2" w:themeTint="99"/>
        <w:insideH w:val="single" w:sz="4" w:space="0" w:color="25FF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9EDA2" w:themeColor="accent3" w:themeTint="99"/>
        <w:bottom w:val="single" w:sz="4" w:space="0" w:color="F9EDA2" w:themeColor="accent3" w:themeTint="99"/>
        <w:insideH w:val="single" w:sz="4" w:space="0" w:color="F9EDA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FDCAD" w:themeColor="accent4" w:themeTint="99"/>
        <w:bottom w:val="single" w:sz="4" w:space="0" w:color="FFDCAD" w:themeColor="accent4" w:themeTint="99"/>
        <w:insideH w:val="single" w:sz="4" w:space="0" w:color="FFDC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FFAE85" w:themeColor="accent5" w:themeTint="99"/>
        <w:bottom w:val="single" w:sz="4" w:space="0" w:color="FFAE85" w:themeColor="accent5" w:themeTint="99"/>
        <w:insideH w:val="single" w:sz="4" w:space="0" w:color="FFAE8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F68C95" w:themeColor="accent6" w:themeTint="99"/>
        <w:bottom w:val="single" w:sz="4" w:space="0" w:color="F68C95" w:themeColor="accent6" w:themeTint="99"/>
        <w:insideH w:val="single" w:sz="4" w:space="0" w:color="F68C9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103A36" w:themeColor="accent1"/>
        <w:left w:val="single" w:sz="4" w:space="0" w:color="103A36" w:themeColor="accent1"/>
        <w:bottom w:val="single" w:sz="4" w:space="0" w:color="103A36" w:themeColor="accent1"/>
        <w:right w:val="single" w:sz="4" w:space="0" w:color="103A36" w:themeColor="accent1"/>
      </w:tblBorders>
    </w:tblPr>
    <w:tblStylePr w:type="firstRow">
      <w:rPr>
        <w:b/>
        <w:bCs/>
        <w:color w:val="FFFFFF" w:themeColor="background1"/>
      </w:rPr>
      <w:tblPr/>
      <w:tcPr>
        <w:shd w:val="clear" w:color="auto" w:fill="103A36" w:themeFill="accent1"/>
      </w:tcPr>
    </w:tblStylePr>
    <w:tblStylePr w:type="lastRow">
      <w:rPr>
        <w:b/>
        <w:bCs/>
      </w:rPr>
      <w:tblPr/>
      <w:tcPr>
        <w:tcBorders>
          <w:top w:val="double" w:sz="4" w:space="0" w:color="103A3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3A36" w:themeColor="accent1"/>
          <w:right w:val="single" w:sz="4" w:space="0" w:color="103A36" w:themeColor="accent1"/>
        </w:tcBorders>
      </w:tcPr>
    </w:tblStylePr>
    <w:tblStylePr w:type="band1Horz">
      <w:tblPr/>
      <w:tcPr>
        <w:tcBorders>
          <w:top w:val="single" w:sz="4" w:space="0" w:color="103A36" w:themeColor="accent1"/>
          <w:bottom w:val="single" w:sz="4" w:space="0" w:color="103A3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3A36" w:themeColor="accent1"/>
          <w:left w:val="nil"/>
        </w:tcBorders>
      </w:tcPr>
    </w:tblStylePr>
    <w:tblStylePr w:type="swCell">
      <w:tblPr/>
      <w:tcPr>
        <w:tcBorders>
          <w:top w:val="double" w:sz="4" w:space="0" w:color="103A36"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009364" w:themeColor="accent2"/>
        <w:left w:val="single" w:sz="4" w:space="0" w:color="009364" w:themeColor="accent2"/>
        <w:bottom w:val="single" w:sz="4" w:space="0" w:color="009364" w:themeColor="accent2"/>
        <w:right w:val="single" w:sz="4" w:space="0" w:color="009364" w:themeColor="accent2"/>
      </w:tblBorders>
    </w:tblPr>
    <w:tblStylePr w:type="firstRow">
      <w:rPr>
        <w:b/>
        <w:bCs/>
        <w:color w:val="FFFFFF" w:themeColor="background1"/>
      </w:rPr>
      <w:tblPr/>
      <w:tcPr>
        <w:shd w:val="clear" w:color="auto" w:fill="009364" w:themeFill="accent2"/>
      </w:tcPr>
    </w:tblStylePr>
    <w:tblStylePr w:type="lastRow">
      <w:rPr>
        <w:b/>
        <w:bCs/>
      </w:rPr>
      <w:tblPr/>
      <w:tcPr>
        <w:tcBorders>
          <w:top w:val="double" w:sz="4" w:space="0" w:color="0093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364" w:themeColor="accent2"/>
          <w:right w:val="single" w:sz="4" w:space="0" w:color="009364" w:themeColor="accent2"/>
        </w:tcBorders>
      </w:tcPr>
    </w:tblStylePr>
    <w:tblStylePr w:type="band1Horz">
      <w:tblPr/>
      <w:tcPr>
        <w:tcBorders>
          <w:top w:val="single" w:sz="4" w:space="0" w:color="009364" w:themeColor="accent2"/>
          <w:bottom w:val="single" w:sz="4" w:space="0" w:color="0093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364" w:themeColor="accent2"/>
          <w:left w:val="nil"/>
        </w:tcBorders>
      </w:tcPr>
    </w:tblStylePr>
    <w:tblStylePr w:type="swCell">
      <w:tblPr/>
      <w:tcPr>
        <w:tcBorders>
          <w:top w:val="double" w:sz="4" w:space="0" w:color="009364"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F6E265" w:themeColor="accent3"/>
        <w:left w:val="single" w:sz="4" w:space="0" w:color="F6E265" w:themeColor="accent3"/>
        <w:bottom w:val="single" w:sz="4" w:space="0" w:color="F6E265" w:themeColor="accent3"/>
        <w:right w:val="single" w:sz="4" w:space="0" w:color="F6E265" w:themeColor="accent3"/>
      </w:tblBorders>
    </w:tblPr>
    <w:tblStylePr w:type="firstRow">
      <w:rPr>
        <w:b/>
        <w:bCs/>
        <w:color w:val="FFFFFF" w:themeColor="background1"/>
      </w:rPr>
      <w:tblPr/>
      <w:tcPr>
        <w:shd w:val="clear" w:color="auto" w:fill="F6E265" w:themeFill="accent3"/>
      </w:tcPr>
    </w:tblStylePr>
    <w:tblStylePr w:type="lastRow">
      <w:rPr>
        <w:b/>
        <w:bCs/>
      </w:rPr>
      <w:tblPr/>
      <w:tcPr>
        <w:tcBorders>
          <w:top w:val="double" w:sz="4" w:space="0" w:color="F6E26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265" w:themeColor="accent3"/>
          <w:right w:val="single" w:sz="4" w:space="0" w:color="F6E265" w:themeColor="accent3"/>
        </w:tcBorders>
      </w:tcPr>
    </w:tblStylePr>
    <w:tblStylePr w:type="band1Horz">
      <w:tblPr/>
      <w:tcPr>
        <w:tcBorders>
          <w:top w:val="single" w:sz="4" w:space="0" w:color="F6E265" w:themeColor="accent3"/>
          <w:bottom w:val="single" w:sz="4" w:space="0" w:color="F6E26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265" w:themeColor="accent3"/>
          <w:left w:val="nil"/>
        </w:tcBorders>
      </w:tcPr>
    </w:tblStylePr>
    <w:tblStylePr w:type="swCell">
      <w:tblPr/>
      <w:tcPr>
        <w:tcBorders>
          <w:top w:val="double" w:sz="4" w:space="0" w:color="F6E265"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FC677" w:themeColor="accent4"/>
        <w:left w:val="single" w:sz="4" w:space="0" w:color="FFC677" w:themeColor="accent4"/>
        <w:bottom w:val="single" w:sz="4" w:space="0" w:color="FFC677" w:themeColor="accent4"/>
        <w:right w:val="single" w:sz="4" w:space="0" w:color="FFC677" w:themeColor="accent4"/>
      </w:tblBorders>
    </w:tblPr>
    <w:tblStylePr w:type="firstRow">
      <w:rPr>
        <w:b/>
        <w:bCs/>
        <w:color w:val="FFFFFF" w:themeColor="background1"/>
      </w:rPr>
      <w:tblPr/>
      <w:tcPr>
        <w:shd w:val="clear" w:color="auto" w:fill="FFC677" w:themeFill="accent4"/>
      </w:tcPr>
    </w:tblStylePr>
    <w:tblStylePr w:type="lastRow">
      <w:rPr>
        <w:b/>
        <w:bCs/>
      </w:rPr>
      <w:tblPr/>
      <w:tcPr>
        <w:tcBorders>
          <w:top w:val="double" w:sz="4" w:space="0" w:color="FFC6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677" w:themeColor="accent4"/>
          <w:right w:val="single" w:sz="4" w:space="0" w:color="FFC677" w:themeColor="accent4"/>
        </w:tcBorders>
      </w:tcPr>
    </w:tblStylePr>
    <w:tblStylePr w:type="band1Horz">
      <w:tblPr/>
      <w:tcPr>
        <w:tcBorders>
          <w:top w:val="single" w:sz="4" w:space="0" w:color="FFC677" w:themeColor="accent4"/>
          <w:bottom w:val="single" w:sz="4" w:space="0" w:color="FFC6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677" w:themeColor="accent4"/>
          <w:left w:val="nil"/>
        </w:tcBorders>
      </w:tcPr>
    </w:tblStylePr>
    <w:tblStylePr w:type="swCell">
      <w:tblPr/>
      <w:tcPr>
        <w:tcBorders>
          <w:top w:val="double" w:sz="4" w:space="0" w:color="FFC677"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FF7A34" w:themeColor="accent5"/>
        <w:left w:val="single" w:sz="4" w:space="0" w:color="FF7A34" w:themeColor="accent5"/>
        <w:bottom w:val="single" w:sz="4" w:space="0" w:color="FF7A34" w:themeColor="accent5"/>
        <w:right w:val="single" w:sz="4" w:space="0" w:color="FF7A34" w:themeColor="accent5"/>
      </w:tblBorders>
    </w:tblPr>
    <w:tblStylePr w:type="firstRow">
      <w:rPr>
        <w:b/>
        <w:bCs/>
        <w:color w:val="FFFFFF" w:themeColor="background1"/>
      </w:rPr>
      <w:tblPr/>
      <w:tcPr>
        <w:shd w:val="clear" w:color="auto" w:fill="FF7A34" w:themeFill="accent5"/>
      </w:tcPr>
    </w:tblStylePr>
    <w:tblStylePr w:type="lastRow">
      <w:rPr>
        <w:b/>
        <w:bCs/>
      </w:rPr>
      <w:tblPr/>
      <w:tcPr>
        <w:tcBorders>
          <w:top w:val="double" w:sz="4" w:space="0" w:color="FF7A3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A34" w:themeColor="accent5"/>
          <w:right w:val="single" w:sz="4" w:space="0" w:color="FF7A34" w:themeColor="accent5"/>
        </w:tcBorders>
      </w:tcPr>
    </w:tblStylePr>
    <w:tblStylePr w:type="band1Horz">
      <w:tblPr/>
      <w:tcPr>
        <w:tcBorders>
          <w:top w:val="single" w:sz="4" w:space="0" w:color="FF7A34" w:themeColor="accent5"/>
          <w:bottom w:val="single" w:sz="4" w:space="0" w:color="FF7A3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A34" w:themeColor="accent5"/>
          <w:left w:val="nil"/>
        </w:tcBorders>
      </w:tcPr>
    </w:tblStylePr>
    <w:tblStylePr w:type="swCell">
      <w:tblPr/>
      <w:tcPr>
        <w:tcBorders>
          <w:top w:val="double" w:sz="4" w:space="0" w:color="FF7A34"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F0404F" w:themeColor="accent6"/>
        <w:left w:val="single" w:sz="4" w:space="0" w:color="F0404F" w:themeColor="accent6"/>
        <w:bottom w:val="single" w:sz="4" w:space="0" w:color="F0404F" w:themeColor="accent6"/>
        <w:right w:val="single" w:sz="4" w:space="0" w:color="F0404F" w:themeColor="accent6"/>
      </w:tblBorders>
    </w:tblPr>
    <w:tblStylePr w:type="firstRow">
      <w:rPr>
        <w:b/>
        <w:bCs/>
        <w:color w:val="FFFFFF" w:themeColor="background1"/>
      </w:rPr>
      <w:tblPr/>
      <w:tcPr>
        <w:shd w:val="clear" w:color="auto" w:fill="F0404F" w:themeFill="accent6"/>
      </w:tcPr>
    </w:tblStylePr>
    <w:tblStylePr w:type="lastRow">
      <w:rPr>
        <w:b/>
        <w:bCs/>
      </w:rPr>
      <w:tblPr/>
      <w:tcPr>
        <w:tcBorders>
          <w:top w:val="double" w:sz="4" w:space="0" w:color="F0404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04F" w:themeColor="accent6"/>
          <w:right w:val="single" w:sz="4" w:space="0" w:color="F0404F" w:themeColor="accent6"/>
        </w:tcBorders>
      </w:tcPr>
    </w:tblStylePr>
    <w:tblStylePr w:type="band1Horz">
      <w:tblPr/>
      <w:tcPr>
        <w:tcBorders>
          <w:top w:val="single" w:sz="4" w:space="0" w:color="F0404F" w:themeColor="accent6"/>
          <w:bottom w:val="single" w:sz="4" w:space="0" w:color="F0404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04F" w:themeColor="accent6"/>
          <w:left w:val="nil"/>
        </w:tcBorders>
      </w:tcPr>
    </w:tblStylePr>
    <w:tblStylePr w:type="swCell">
      <w:tblPr/>
      <w:tcPr>
        <w:tcBorders>
          <w:top w:val="double" w:sz="4" w:space="0" w:color="F0404F"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35C2B4" w:themeColor="accent1" w:themeTint="99"/>
        <w:left w:val="single" w:sz="4" w:space="0" w:color="35C2B4" w:themeColor="accent1" w:themeTint="99"/>
        <w:bottom w:val="single" w:sz="4" w:space="0" w:color="35C2B4" w:themeColor="accent1" w:themeTint="99"/>
        <w:right w:val="single" w:sz="4" w:space="0" w:color="35C2B4" w:themeColor="accent1" w:themeTint="99"/>
        <w:insideH w:val="single" w:sz="4" w:space="0" w:color="35C2B4" w:themeColor="accent1" w:themeTint="99"/>
      </w:tblBorders>
    </w:tblPr>
    <w:tblStylePr w:type="firstRow">
      <w:rPr>
        <w:b/>
        <w:bCs/>
        <w:color w:val="FFFFFF" w:themeColor="background1"/>
      </w:rPr>
      <w:tblPr/>
      <w:tcPr>
        <w:tcBorders>
          <w:top w:val="single" w:sz="4" w:space="0" w:color="103A36" w:themeColor="accent1"/>
          <w:left w:val="single" w:sz="4" w:space="0" w:color="103A36" w:themeColor="accent1"/>
          <w:bottom w:val="single" w:sz="4" w:space="0" w:color="103A36" w:themeColor="accent1"/>
          <w:right w:val="single" w:sz="4" w:space="0" w:color="103A36" w:themeColor="accent1"/>
          <w:insideH w:val="nil"/>
        </w:tcBorders>
        <w:shd w:val="clear" w:color="auto" w:fill="103A36" w:themeFill="accent1"/>
      </w:tcPr>
    </w:tblStylePr>
    <w:tblStylePr w:type="lastRow">
      <w:rPr>
        <w:b/>
        <w:bCs/>
      </w:rPr>
      <w:tblPr/>
      <w:tcPr>
        <w:tcBorders>
          <w:top w:val="double" w:sz="4" w:space="0" w:color="35C2B4" w:themeColor="accent1" w:themeTint="99"/>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25FFB8" w:themeColor="accent2" w:themeTint="99"/>
        <w:left w:val="single" w:sz="4" w:space="0" w:color="25FFB8" w:themeColor="accent2" w:themeTint="99"/>
        <w:bottom w:val="single" w:sz="4" w:space="0" w:color="25FFB8" w:themeColor="accent2" w:themeTint="99"/>
        <w:right w:val="single" w:sz="4" w:space="0" w:color="25FFB8" w:themeColor="accent2" w:themeTint="99"/>
        <w:insideH w:val="single" w:sz="4" w:space="0" w:color="25FFB8" w:themeColor="accent2" w:themeTint="99"/>
      </w:tblBorders>
    </w:tblPr>
    <w:tblStylePr w:type="firstRow">
      <w:rPr>
        <w:b/>
        <w:bCs/>
        <w:color w:val="FFFFFF" w:themeColor="background1"/>
      </w:rPr>
      <w:tblPr/>
      <w:tcPr>
        <w:tcBorders>
          <w:top w:val="single" w:sz="4" w:space="0" w:color="009364" w:themeColor="accent2"/>
          <w:left w:val="single" w:sz="4" w:space="0" w:color="009364" w:themeColor="accent2"/>
          <w:bottom w:val="single" w:sz="4" w:space="0" w:color="009364" w:themeColor="accent2"/>
          <w:right w:val="single" w:sz="4" w:space="0" w:color="009364" w:themeColor="accent2"/>
          <w:insideH w:val="nil"/>
        </w:tcBorders>
        <w:shd w:val="clear" w:color="auto" w:fill="009364" w:themeFill="accent2"/>
      </w:tcPr>
    </w:tblStylePr>
    <w:tblStylePr w:type="lastRow">
      <w:rPr>
        <w:b/>
        <w:bCs/>
      </w:rPr>
      <w:tblPr/>
      <w:tcPr>
        <w:tcBorders>
          <w:top w:val="double" w:sz="4" w:space="0" w:color="25FFB8" w:themeColor="accent2" w:themeTint="99"/>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9EDA2" w:themeColor="accent3" w:themeTint="99"/>
        <w:left w:val="single" w:sz="4" w:space="0" w:color="F9EDA2" w:themeColor="accent3" w:themeTint="99"/>
        <w:bottom w:val="single" w:sz="4" w:space="0" w:color="F9EDA2" w:themeColor="accent3" w:themeTint="99"/>
        <w:right w:val="single" w:sz="4" w:space="0" w:color="F9EDA2" w:themeColor="accent3" w:themeTint="99"/>
        <w:insideH w:val="single" w:sz="4" w:space="0" w:color="F9EDA2" w:themeColor="accent3" w:themeTint="99"/>
      </w:tblBorders>
    </w:tblPr>
    <w:tblStylePr w:type="firstRow">
      <w:rPr>
        <w:b/>
        <w:bCs/>
        <w:color w:val="FFFFFF" w:themeColor="background1"/>
      </w:rPr>
      <w:tblPr/>
      <w:tcPr>
        <w:tcBorders>
          <w:top w:val="single" w:sz="4" w:space="0" w:color="F6E265" w:themeColor="accent3"/>
          <w:left w:val="single" w:sz="4" w:space="0" w:color="F6E265" w:themeColor="accent3"/>
          <w:bottom w:val="single" w:sz="4" w:space="0" w:color="F6E265" w:themeColor="accent3"/>
          <w:right w:val="single" w:sz="4" w:space="0" w:color="F6E265" w:themeColor="accent3"/>
          <w:insideH w:val="nil"/>
        </w:tcBorders>
        <w:shd w:val="clear" w:color="auto" w:fill="F6E265" w:themeFill="accent3"/>
      </w:tcPr>
    </w:tblStylePr>
    <w:tblStylePr w:type="lastRow">
      <w:rPr>
        <w:b/>
        <w:bCs/>
      </w:rPr>
      <w:tblPr/>
      <w:tcPr>
        <w:tcBorders>
          <w:top w:val="double" w:sz="4" w:space="0" w:color="F9EDA2" w:themeColor="accent3" w:themeTint="99"/>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FDCAD" w:themeColor="accent4" w:themeTint="99"/>
        <w:left w:val="single" w:sz="4" w:space="0" w:color="FFDCAD" w:themeColor="accent4" w:themeTint="99"/>
        <w:bottom w:val="single" w:sz="4" w:space="0" w:color="FFDCAD" w:themeColor="accent4" w:themeTint="99"/>
        <w:right w:val="single" w:sz="4" w:space="0" w:color="FFDCAD" w:themeColor="accent4" w:themeTint="99"/>
        <w:insideH w:val="single" w:sz="4" w:space="0" w:color="FFDCAD" w:themeColor="accent4" w:themeTint="99"/>
      </w:tblBorders>
    </w:tblPr>
    <w:tblStylePr w:type="firstRow">
      <w:rPr>
        <w:b/>
        <w:bCs/>
        <w:color w:val="FFFFFF" w:themeColor="background1"/>
      </w:rPr>
      <w:tblPr/>
      <w:tcPr>
        <w:tcBorders>
          <w:top w:val="single" w:sz="4" w:space="0" w:color="FFC677" w:themeColor="accent4"/>
          <w:left w:val="single" w:sz="4" w:space="0" w:color="FFC677" w:themeColor="accent4"/>
          <w:bottom w:val="single" w:sz="4" w:space="0" w:color="FFC677" w:themeColor="accent4"/>
          <w:right w:val="single" w:sz="4" w:space="0" w:color="FFC677" w:themeColor="accent4"/>
          <w:insideH w:val="nil"/>
        </w:tcBorders>
        <w:shd w:val="clear" w:color="auto" w:fill="FFC677" w:themeFill="accent4"/>
      </w:tcPr>
    </w:tblStylePr>
    <w:tblStylePr w:type="lastRow">
      <w:rPr>
        <w:b/>
        <w:bCs/>
      </w:rPr>
      <w:tblPr/>
      <w:tcPr>
        <w:tcBorders>
          <w:top w:val="double" w:sz="4" w:space="0" w:color="FFDCAD" w:themeColor="accent4" w:themeTint="99"/>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FFAE85" w:themeColor="accent5" w:themeTint="99"/>
        <w:left w:val="single" w:sz="4" w:space="0" w:color="FFAE85" w:themeColor="accent5" w:themeTint="99"/>
        <w:bottom w:val="single" w:sz="4" w:space="0" w:color="FFAE85" w:themeColor="accent5" w:themeTint="99"/>
        <w:right w:val="single" w:sz="4" w:space="0" w:color="FFAE85" w:themeColor="accent5" w:themeTint="99"/>
        <w:insideH w:val="single" w:sz="4" w:space="0" w:color="FFAE85" w:themeColor="accent5" w:themeTint="99"/>
      </w:tblBorders>
    </w:tblPr>
    <w:tblStylePr w:type="firstRow">
      <w:rPr>
        <w:b/>
        <w:bCs/>
        <w:color w:val="FFFFFF" w:themeColor="background1"/>
      </w:rPr>
      <w:tblPr/>
      <w:tcPr>
        <w:tcBorders>
          <w:top w:val="single" w:sz="4" w:space="0" w:color="FF7A34" w:themeColor="accent5"/>
          <w:left w:val="single" w:sz="4" w:space="0" w:color="FF7A34" w:themeColor="accent5"/>
          <w:bottom w:val="single" w:sz="4" w:space="0" w:color="FF7A34" w:themeColor="accent5"/>
          <w:right w:val="single" w:sz="4" w:space="0" w:color="FF7A34" w:themeColor="accent5"/>
          <w:insideH w:val="nil"/>
        </w:tcBorders>
        <w:shd w:val="clear" w:color="auto" w:fill="FF7A34" w:themeFill="accent5"/>
      </w:tcPr>
    </w:tblStylePr>
    <w:tblStylePr w:type="lastRow">
      <w:rPr>
        <w:b/>
        <w:bCs/>
      </w:rPr>
      <w:tblPr/>
      <w:tcPr>
        <w:tcBorders>
          <w:top w:val="double" w:sz="4" w:space="0" w:color="FFAE85" w:themeColor="accent5" w:themeTint="99"/>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F68C95" w:themeColor="accent6" w:themeTint="99"/>
        <w:left w:val="single" w:sz="4" w:space="0" w:color="F68C95" w:themeColor="accent6" w:themeTint="99"/>
        <w:bottom w:val="single" w:sz="4" w:space="0" w:color="F68C95" w:themeColor="accent6" w:themeTint="99"/>
        <w:right w:val="single" w:sz="4" w:space="0" w:color="F68C95" w:themeColor="accent6" w:themeTint="99"/>
        <w:insideH w:val="single" w:sz="4" w:space="0" w:color="F68C95" w:themeColor="accent6" w:themeTint="99"/>
      </w:tblBorders>
    </w:tblPr>
    <w:tblStylePr w:type="firstRow">
      <w:rPr>
        <w:b/>
        <w:bCs/>
        <w:color w:val="FFFFFF" w:themeColor="background1"/>
      </w:rPr>
      <w:tblPr/>
      <w:tcPr>
        <w:tcBorders>
          <w:top w:val="single" w:sz="4" w:space="0" w:color="F0404F" w:themeColor="accent6"/>
          <w:left w:val="single" w:sz="4" w:space="0" w:color="F0404F" w:themeColor="accent6"/>
          <w:bottom w:val="single" w:sz="4" w:space="0" w:color="F0404F" w:themeColor="accent6"/>
          <w:right w:val="single" w:sz="4" w:space="0" w:color="F0404F" w:themeColor="accent6"/>
          <w:insideH w:val="nil"/>
        </w:tcBorders>
        <w:shd w:val="clear" w:color="auto" w:fill="F0404F" w:themeFill="accent6"/>
      </w:tcPr>
    </w:tblStylePr>
    <w:tblStylePr w:type="lastRow">
      <w:rPr>
        <w:b/>
        <w:bCs/>
      </w:rPr>
      <w:tblPr/>
      <w:tcPr>
        <w:tcBorders>
          <w:top w:val="double" w:sz="4" w:space="0" w:color="F68C95" w:themeColor="accent6" w:themeTint="99"/>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103A36" w:themeColor="accent1"/>
        <w:left w:val="single" w:sz="24" w:space="0" w:color="103A36" w:themeColor="accent1"/>
        <w:bottom w:val="single" w:sz="24" w:space="0" w:color="103A36" w:themeColor="accent1"/>
        <w:right w:val="single" w:sz="24" w:space="0" w:color="103A36" w:themeColor="accent1"/>
      </w:tblBorders>
    </w:tblPr>
    <w:tcPr>
      <w:shd w:val="clear" w:color="auto" w:fill="103A3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9364" w:themeColor="accent2"/>
        <w:left w:val="single" w:sz="24" w:space="0" w:color="009364" w:themeColor="accent2"/>
        <w:bottom w:val="single" w:sz="24" w:space="0" w:color="009364" w:themeColor="accent2"/>
        <w:right w:val="single" w:sz="24" w:space="0" w:color="009364" w:themeColor="accent2"/>
      </w:tblBorders>
    </w:tblPr>
    <w:tcPr>
      <w:shd w:val="clear" w:color="auto" w:fill="00936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265" w:themeColor="accent3"/>
        <w:left w:val="single" w:sz="24" w:space="0" w:color="F6E265" w:themeColor="accent3"/>
        <w:bottom w:val="single" w:sz="24" w:space="0" w:color="F6E265" w:themeColor="accent3"/>
        <w:right w:val="single" w:sz="24" w:space="0" w:color="F6E265" w:themeColor="accent3"/>
      </w:tblBorders>
    </w:tblPr>
    <w:tcPr>
      <w:shd w:val="clear" w:color="auto" w:fill="F6E26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C677" w:themeColor="accent4"/>
        <w:left w:val="single" w:sz="24" w:space="0" w:color="FFC677" w:themeColor="accent4"/>
        <w:bottom w:val="single" w:sz="24" w:space="0" w:color="FFC677" w:themeColor="accent4"/>
        <w:right w:val="single" w:sz="24" w:space="0" w:color="FFC677" w:themeColor="accent4"/>
      </w:tblBorders>
    </w:tblPr>
    <w:tcPr>
      <w:shd w:val="clear" w:color="auto" w:fill="FFC6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FF7A34" w:themeColor="accent5"/>
        <w:left w:val="single" w:sz="24" w:space="0" w:color="FF7A34" w:themeColor="accent5"/>
        <w:bottom w:val="single" w:sz="24" w:space="0" w:color="FF7A34" w:themeColor="accent5"/>
        <w:right w:val="single" w:sz="24" w:space="0" w:color="FF7A34" w:themeColor="accent5"/>
      </w:tblBorders>
    </w:tblPr>
    <w:tcPr>
      <w:shd w:val="clear" w:color="auto" w:fill="FF7A3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F0404F" w:themeColor="accent6"/>
        <w:left w:val="single" w:sz="24" w:space="0" w:color="F0404F" w:themeColor="accent6"/>
        <w:bottom w:val="single" w:sz="24" w:space="0" w:color="F0404F" w:themeColor="accent6"/>
        <w:right w:val="single" w:sz="24" w:space="0" w:color="F0404F" w:themeColor="accent6"/>
      </w:tblBorders>
    </w:tblPr>
    <w:tcPr>
      <w:shd w:val="clear" w:color="auto" w:fill="F0404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0C2B28" w:themeColor="accent1" w:themeShade="BF"/>
    </w:rPr>
    <w:tblPr>
      <w:tblStyleRowBandSize w:val="1"/>
      <w:tblStyleColBandSize w:val="1"/>
      <w:tblBorders>
        <w:top w:val="single" w:sz="4" w:space="0" w:color="103A36" w:themeColor="accent1"/>
        <w:bottom w:val="single" w:sz="4" w:space="0" w:color="103A36" w:themeColor="accent1"/>
      </w:tblBorders>
    </w:tblPr>
    <w:tblStylePr w:type="firstRow">
      <w:rPr>
        <w:b/>
        <w:bCs/>
      </w:rPr>
      <w:tblPr/>
      <w:tcPr>
        <w:tcBorders>
          <w:bottom w:val="single" w:sz="4" w:space="0" w:color="103A36" w:themeColor="accent1"/>
        </w:tcBorders>
      </w:tcPr>
    </w:tblStylePr>
    <w:tblStylePr w:type="lastRow">
      <w:rPr>
        <w:b/>
        <w:bCs/>
      </w:rPr>
      <w:tblPr/>
      <w:tcPr>
        <w:tcBorders>
          <w:top w:val="double" w:sz="4" w:space="0" w:color="103A36" w:themeColor="accent1"/>
        </w:tcBorders>
      </w:tcPr>
    </w:tblStylePr>
    <w:tblStylePr w:type="firstCol">
      <w:rPr>
        <w:b/>
        <w:bCs/>
      </w:rPr>
    </w:tblStylePr>
    <w:tblStylePr w:type="lastCol">
      <w:rPr>
        <w:b/>
        <w:bCs/>
      </w:rPr>
    </w:tblStylePr>
    <w:tblStylePr w:type="band1Vert">
      <w:tblPr/>
      <w:tcPr>
        <w:shd w:val="clear" w:color="auto" w:fill="BAECE7" w:themeFill="accent1" w:themeFillTint="33"/>
      </w:tcPr>
    </w:tblStylePr>
    <w:tblStylePr w:type="band1Horz">
      <w:tblPr/>
      <w:tcPr>
        <w:shd w:val="clear" w:color="auto" w:fill="BAEC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006E4A" w:themeColor="accent2" w:themeShade="BF"/>
    </w:rPr>
    <w:tblPr>
      <w:tblStyleRowBandSize w:val="1"/>
      <w:tblStyleColBandSize w:val="1"/>
      <w:tblBorders>
        <w:top w:val="single" w:sz="4" w:space="0" w:color="009364" w:themeColor="accent2"/>
        <w:bottom w:val="single" w:sz="4" w:space="0" w:color="009364" w:themeColor="accent2"/>
      </w:tblBorders>
    </w:tblPr>
    <w:tblStylePr w:type="firstRow">
      <w:rPr>
        <w:b/>
        <w:bCs/>
      </w:rPr>
      <w:tblPr/>
      <w:tcPr>
        <w:tcBorders>
          <w:bottom w:val="single" w:sz="4" w:space="0" w:color="009364" w:themeColor="accent2"/>
        </w:tcBorders>
      </w:tcPr>
    </w:tblStylePr>
    <w:tblStylePr w:type="lastRow">
      <w:rPr>
        <w:b/>
        <w:bCs/>
      </w:rPr>
      <w:tblPr/>
      <w:tcPr>
        <w:tcBorders>
          <w:top w:val="double" w:sz="4" w:space="0" w:color="009364" w:themeColor="accent2"/>
        </w:tcBorders>
      </w:tcPr>
    </w:tblStylePr>
    <w:tblStylePr w:type="firstCol">
      <w:rPr>
        <w:b/>
        <w:bCs/>
      </w:rPr>
    </w:tblStylePr>
    <w:tblStylePr w:type="lastCol">
      <w:rPr>
        <w:b/>
        <w:bCs/>
      </w:rPr>
    </w:tblStylePr>
    <w:tblStylePr w:type="band1Vert">
      <w:tblPr/>
      <w:tcPr>
        <w:shd w:val="clear" w:color="auto" w:fill="B6FFE7" w:themeFill="accent2" w:themeFillTint="33"/>
      </w:tcPr>
    </w:tblStylePr>
    <w:tblStylePr w:type="band1Horz">
      <w:tblPr/>
      <w:tcPr>
        <w:shd w:val="clear" w:color="auto" w:fill="B6FFE7"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F1D112" w:themeColor="accent3" w:themeShade="BF"/>
    </w:rPr>
    <w:tblPr>
      <w:tblStyleRowBandSize w:val="1"/>
      <w:tblStyleColBandSize w:val="1"/>
      <w:tblBorders>
        <w:top w:val="single" w:sz="4" w:space="0" w:color="F6E265" w:themeColor="accent3"/>
        <w:bottom w:val="single" w:sz="4" w:space="0" w:color="F6E265" w:themeColor="accent3"/>
      </w:tblBorders>
    </w:tblPr>
    <w:tblStylePr w:type="firstRow">
      <w:rPr>
        <w:b/>
        <w:bCs/>
      </w:rPr>
      <w:tblPr/>
      <w:tcPr>
        <w:tcBorders>
          <w:bottom w:val="single" w:sz="4" w:space="0" w:color="F6E265" w:themeColor="accent3"/>
        </w:tcBorders>
      </w:tcPr>
    </w:tblStylePr>
    <w:tblStylePr w:type="lastRow">
      <w:rPr>
        <w:b/>
        <w:bCs/>
      </w:rPr>
      <w:tblPr/>
      <w:tcPr>
        <w:tcBorders>
          <w:top w:val="double" w:sz="4" w:space="0" w:color="F6E265" w:themeColor="accent3"/>
        </w:tcBorders>
      </w:tcPr>
    </w:tblStylePr>
    <w:tblStylePr w:type="firstCol">
      <w:rPr>
        <w:b/>
        <w:bCs/>
      </w:rPr>
    </w:tblStylePr>
    <w:tblStylePr w:type="lastCol">
      <w:rPr>
        <w:b/>
        <w:bCs/>
      </w:rPr>
    </w:tblStylePr>
    <w:tblStylePr w:type="band1Vert">
      <w:tblPr/>
      <w:tcPr>
        <w:shd w:val="clear" w:color="auto" w:fill="FDF9E0" w:themeFill="accent3" w:themeFillTint="33"/>
      </w:tcPr>
    </w:tblStylePr>
    <w:tblStylePr w:type="band1Horz">
      <w:tblPr/>
      <w:tcPr>
        <w:shd w:val="clear" w:color="auto" w:fill="FDF9E0"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FF9E19" w:themeColor="accent4" w:themeShade="BF"/>
    </w:rPr>
    <w:tblPr>
      <w:tblStyleRowBandSize w:val="1"/>
      <w:tblStyleColBandSize w:val="1"/>
      <w:tblBorders>
        <w:top w:val="single" w:sz="4" w:space="0" w:color="FFC677" w:themeColor="accent4"/>
        <w:bottom w:val="single" w:sz="4" w:space="0" w:color="FFC677" w:themeColor="accent4"/>
      </w:tblBorders>
    </w:tblPr>
    <w:tblStylePr w:type="firstRow">
      <w:rPr>
        <w:b/>
        <w:bCs/>
      </w:rPr>
      <w:tblPr/>
      <w:tcPr>
        <w:tcBorders>
          <w:bottom w:val="single" w:sz="4" w:space="0" w:color="FFC677" w:themeColor="accent4"/>
        </w:tcBorders>
      </w:tcPr>
    </w:tblStylePr>
    <w:tblStylePr w:type="lastRow">
      <w:rPr>
        <w:b/>
        <w:bCs/>
      </w:rPr>
      <w:tblPr/>
      <w:tcPr>
        <w:tcBorders>
          <w:top w:val="double" w:sz="4" w:space="0" w:color="FFC677" w:themeColor="accent4"/>
        </w:tcBorders>
      </w:tcPr>
    </w:tblStylePr>
    <w:tblStylePr w:type="firstCol">
      <w:rPr>
        <w:b/>
        <w:bCs/>
      </w:rPr>
    </w:tblStylePr>
    <w:tblStylePr w:type="lastCol">
      <w:rPr>
        <w:b/>
        <w:bCs/>
      </w:rPr>
    </w:tblStylePr>
    <w:tblStylePr w:type="band1Vert">
      <w:tblPr/>
      <w:tcPr>
        <w:shd w:val="clear" w:color="auto" w:fill="FFF3E3" w:themeFill="accent4" w:themeFillTint="33"/>
      </w:tcPr>
    </w:tblStylePr>
    <w:tblStylePr w:type="band1Horz">
      <w:tblPr/>
      <w:tcPr>
        <w:shd w:val="clear" w:color="auto" w:fill="FFF3E3"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E54E00" w:themeColor="accent5" w:themeShade="BF"/>
    </w:rPr>
    <w:tblPr>
      <w:tblStyleRowBandSize w:val="1"/>
      <w:tblStyleColBandSize w:val="1"/>
      <w:tblBorders>
        <w:top w:val="single" w:sz="4" w:space="0" w:color="FF7A34" w:themeColor="accent5"/>
        <w:bottom w:val="single" w:sz="4" w:space="0" w:color="FF7A34" w:themeColor="accent5"/>
      </w:tblBorders>
    </w:tblPr>
    <w:tblStylePr w:type="firstRow">
      <w:rPr>
        <w:b/>
        <w:bCs/>
      </w:rPr>
      <w:tblPr/>
      <w:tcPr>
        <w:tcBorders>
          <w:bottom w:val="single" w:sz="4" w:space="0" w:color="FF7A34" w:themeColor="accent5"/>
        </w:tcBorders>
      </w:tcPr>
    </w:tblStylePr>
    <w:tblStylePr w:type="lastRow">
      <w:rPr>
        <w:b/>
        <w:bCs/>
      </w:rPr>
      <w:tblPr/>
      <w:tcPr>
        <w:tcBorders>
          <w:top w:val="double" w:sz="4" w:space="0" w:color="FF7A34" w:themeColor="accent5"/>
        </w:tcBorders>
      </w:tcPr>
    </w:tblStylePr>
    <w:tblStylePr w:type="firstCol">
      <w:rPr>
        <w:b/>
        <w:bCs/>
      </w:rPr>
    </w:tblStylePr>
    <w:tblStylePr w:type="lastCol">
      <w:rPr>
        <w:b/>
        <w:bCs/>
      </w:rPr>
    </w:tblStylePr>
    <w:tblStylePr w:type="band1Vert">
      <w:tblPr/>
      <w:tcPr>
        <w:shd w:val="clear" w:color="auto" w:fill="FFE4D6" w:themeFill="accent5" w:themeFillTint="33"/>
      </w:tcPr>
    </w:tblStylePr>
    <w:tblStylePr w:type="band1Horz">
      <w:tblPr/>
      <w:tcPr>
        <w:shd w:val="clear" w:color="auto" w:fill="FFE4D6"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D31020" w:themeColor="accent6" w:themeShade="BF"/>
    </w:rPr>
    <w:tblPr>
      <w:tblStyleRowBandSize w:val="1"/>
      <w:tblStyleColBandSize w:val="1"/>
      <w:tblBorders>
        <w:top w:val="single" w:sz="4" w:space="0" w:color="F0404F" w:themeColor="accent6"/>
        <w:bottom w:val="single" w:sz="4" w:space="0" w:color="F0404F" w:themeColor="accent6"/>
      </w:tblBorders>
    </w:tblPr>
    <w:tblStylePr w:type="firstRow">
      <w:rPr>
        <w:b/>
        <w:bCs/>
      </w:rPr>
      <w:tblPr/>
      <w:tcPr>
        <w:tcBorders>
          <w:bottom w:val="single" w:sz="4" w:space="0" w:color="F0404F" w:themeColor="accent6"/>
        </w:tcBorders>
      </w:tcPr>
    </w:tblStylePr>
    <w:tblStylePr w:type="lastRow">
      <w:rPr>
        <w:b/>
        <w:bCs/>
      </w:rPr>
      <w:tblPr/>
      <w:tcPr>
        <w:tcBorders>
          <w:top w:val="double" w:sz="4" w:space="0" w:color="F0404F" w:themeColor="accent6"/>
        </w:tcBorders>
      </w:tcPr>
    </w:tblStylePr>
    <w:tblStylePr w:type="firstCol">
      <w:rPr>
        <w:b/>
        <w:bCs/>
      </w:rPr>
    </w:tblStylePr>
    <w:tblStylePr w:type="lastCol">
      <w:rPr>
        <w:b/>
        <w:bCs/>
      </w:rPr>
    </w:tblStylePr>
    <w:tblStylePr w:type="band1Vert">
      <w:tblPr/>
      <w:tcPr>
        <w:shd w:val="clear" w:color="auto" w:fill="FCD8DB" w:themeFill="accent6" w:themeFillTint="33"/>
      </w:tcPr>
    </w:tblStylePr>
    <w:tblStylePr w:type="band1Horz">
      <w:tblPr/>
      <w:tcPr>
        <w:shd w:val="clear" w:color="auto" w:fill="FCD8DB"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0C2B2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3A3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3A3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3A3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3A36" w:themeColor="accent1"/>
        </w:tcBorders>
        <w:shd w:val="clear" w:color="auto" w:fill="FFFFFF" w:themeFill="background1"/>
      </w:tcPr>
    </w:tblStylePr>
    <w:tblStylePr w:type="band1Vert">
      <w:tblPr/>
      <w:tcPr>
        <w:shd w:val="clear" w:color="auto" w:fill="BAECE7" w:themeFill="accent1" w:themeFillTint="33"/>
      </w:tcPr>
    </w:tblStylePr>
    <w:tblStylePr w:type="band1Horz">
      <w:tblPr/>
      <w:tcPr>
        <w:shd w:val="clear" w:color="auto" w:fill="BAEC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006E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36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36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36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364" w:themeColor="accent2"/>
        </w:tcBorders>
        <w:shd w:val="clear" w:color="auto" w:fill="FFFFFF" w:themeFill="background1"/>
      </w:tcPr>
    </w:tblStylePr>
    <w:tblStylePr w:type="band1Vert">
      <w:tblPr/>
      <w:tcPr>
        <w:shd w:val="clear" w:color="auto" w:fill="B6FFE7" w:themeFill="accent2" w:themeFillTint="33"/>
      </w:tcPr>
    </w:tblStylePr>
    <w:tblStylePr w:type="band1Horz">
      <w:tblPr/>
      <w:tcPr>
        <w:shd w:val="clear" w:color="auto" w:fill="B6FF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F1D11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26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26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26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265" w:themeColor="accent3"/>
        </w:tcBorders>
        <w:shd w:val="clear" w:color="auto" w:fill="FFFFFF" w:themeFill="background1"/>
      </w:tcPr>
    </w:tblStylePr>
    <w:tblStylePr w:type="band1Vert">
      <w:tblPr/>
      <w:tcPr>
        <w:shd w:val="clear" w:color="auto" w:fill="FDF9E0" w:themeFill="accent3" w:themeFillTint="33"/>
      </w:tcPr>
    </w:tblStylePr>
    <w:tblStylePr w:type="band1Horz">
      <w:tblPr/>
      <w:tcPr>
        <w:shd w:val="clear" w:color="auto" w:fill="FDF9E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FF9E1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6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6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6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677" w:themeColor="accent4"/>
        </w:tcBorders>
        <w:shd w:val="clear" w:color="auto" w:fill="FFFFFF" w:themeFill="background1"/>
      </w:tcPr>
    </w:tblStylePr>
    <w:tblStylePr w:type="band1Vert">
      <w:tblPr/>
      <w:tcPr>
        <w:shd w:val="clear" w:color="auto" w:fill="FFF3E3" w:themeFill="accent4" w:themeFillTint="33"/>
      </w:tcPr>
    </w:tblStylePr>
    <w:tblStylePr w:type="band1Horz">
      <w:tblPr/>
      <w:tcPr>
        <w:shd w:val="clear" w:color="auto" w:fill="FFF3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E54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A3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A3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A3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A34" w:themeColor="accent5"/>
        </w:tcBorders>
        <w:shd w:val="clear" w:color="auto" w:fill="FFFFFF" w:themeFill="background1"/>
      </w:tcPr>
    </w:tblStylePr>
    <w:tblStylePr w:type="band1Vert">
      <w:tblPr/>
      <w:tcPr>
        <w:shd w:val="clear" w:color="auto" w:fill="FFE4D6" w:themeFill="accent5" w:themeFillTint="33"/>
      </w:tcPr>
    </w:tblStylePr>
    <w:tblStylePr w:type="band1Horz">
      <w:tblPr/>
      <w:tcPr>
        <w:shd w:val="clear" w:color="auto" w:fill="FFE4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D3102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04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04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04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04F" w:themeColor="accent6"/>
        </w:tcBorders>
        <w:shd w:val="clear" w:color="auto" w:fill="FFFFFF" w:themeFill="background1"/>
      </w:tcPr>
    </w:tblStylePr>
    <w:tblStylePr w:type="band1Vert">
      <w:tblPr/>
      <w:tcPr>
        <w:shd w:val="clear" w:color="auto" w:fill="FCD8DB" w:themeFill="accent6" w:themeFillTint="33"/>
      </w:tcPr>
    </w:tblStylePr>
    <w:tblStylePr w:type="band1Horz">
      <w:tblPr/>
      <w:tcPr>
        <w:shd w:val="clear" w:color="auto" w:fill="FCD8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single" w:sz="8" w:space="0" w:color="278F85" w:themeColor="accent1" w:themeTint="BF"/>
        <w:insideV w:val="single" w:sz="8" w:space="0" w:color="278F85" w:themeColor="accent1" w:themeTint="BF"/>
      </w:tblBorders>
    </w:tblPr>
    <w:tcPr>
      <w:shd w:val="clear" w:color="auto" w:fill="AAE7E1" w:themeFill="accent1" w:themeFillTint="3F"/>
    </w:tcPr>
    <w:tblStylePr w:type="firstRow">
      <w:rPr>
        <w:b/>
        <w:bCs/>
      </w:rPr>
    </w:tblStylePr>
    <w:tblStylePr w:type="lastRow">
      <w:rPr>
        <w:b/>
        <w:bCs/>
      </w:rPr>
      <w:tblPr/>
      <w:tcPr>
        <w:tcBorders>
          <w:top w:val="single" w:sz="18" w:space="0" w:color="278F85" w:themeColor="accent1" w:themeTint="BF"/>
        </w:tcBorders>
      </w:tcPr>
    </w:tblStylePr>
    <w:tblStylePr w:type="firstCol">
      <w:rPr>
        <w:b/>
        <w:bCs/>
      </w:rPr>
    </w:tblStylePr>
    <w:tblStylePr w:type="lastCol">
      <w:rPr>
        <w:b/>
        <w:bCs/>
      </w:rPr>
    </w:tblStylePr>
    <w:tblStylePr w:type="band1Vert">
      <w:tblPr/>
      <w:tcPr>
        <w:shd w:val="clear" w:color="auto" w:fill="54D0C3" w:themeFill="accent1" w:themeFillTint="7F"/>
      </w:tcPr>
    </w:tblStylePr>
    <w:tblStylePr w:type="band1Horz">
      <w:tblPr/>
      <w:tcPr>
        <w:shd w:val="clear" w:color="auto" w:fill="54D0C3"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single" w:sz="8" w:space="0" w:color="00EEA1" w:themeColor="accent2" w:themeTint="BF"/>
        <w:insideV w:val="single" w:sz="8" w:space="0" w:color="00EEA1" w:themeColor="accent2" w:themeTint="BF"/>
      </w:tblBorders>
    </w:tblPr>
    <w:tcPr>
      <w:shd w:val="clear" w:color="auto" w:fill="A5FFE2" w:themeFill="accent2" w:themeFillTint="3F"/>
    </w:tcPr>
    <w:tblStylePr w:type="firstRow">
      <w:rPr>
        <w:b/>
        <w:bCs/>
      </w:rPr>
    </w:tblStylePr>
    <w:tblStylePr w:type="lastRow">
      <w:rPr>
        <w:b/>
        <w:bCs/>
      </w:rPr>
      <w:tblPr/>
      <w:tcPr>
        <w:tcBorders>
          <w:top w:val="single" w:sz="18" w:space="0" w:color="00EEA1" w:themeColor="accent2" w:themeTint="BF"/>
        </w:tcBorders>
      </w:tcPr>
    </w:tblStylePr>
    <w:tblStylePr w:type="firstCol">
      <w:rPr>
        <w:b/>
        <w:bCs/>
      </w:rPr>
    </w:tblStylePr>
    <w:tblStylePr w:type="lastCol">
      <w:rPr>
        <w:b/>
        <w:bCs/>
      </w:rPr>
    </w:tblStylePr>
    <w:tblStylePr w:type="band1Vert">
      <w:tblPr/>
      <w:tcPr>
        <w:shd w:val="clear" w:color="auto" w:fill="4AFFC4" w:themeFill="accent2" w:themeFillTint="7F"/>
      </w:tcPr>
    </w:tblStylePr>
    <w:tblStylePr w:type="band1Horz">
      <w:tblPr/>
      <w:tcPr>
        <w:shd w:val="clear" w:color="auto" w:fill="4AFFC4"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single" w:sz="8" w:space="0" w:color="F8E88B" w:themeColor="accent3" w:themeTint="BF"/>
        <w:insideV w:val="single" w:sz="8" w:space="0" w:color="F8E88B" w:themeColor="accent3" w:themeTint="BF"/>
      </w:tblBorders>
    </w:tblPr>
    <w:tcPr>
      <w:shd w:val="clear" w:color="auto" w:fill="FCF7D8" w:themeFill="accent3" w:themeFillTint="3F"/>
    </w:tcPr>
    <w:tblStylePr w:type="firstRow">
      <w:rPr>
        <w:b/>
        <w:bCs/>
      </w:rPr>
    </w:tblStylePr>
    <w:tblStylePr w:type="lastRow">
      <w:rPr>
        <w:b/>
        <w:bCs/>
      </w:rPr>
      <w:tblPr/>
      <w:tcPr>
        <w:tcBorders>
          <w:top w:val="single" w:sz="18" w:space="0" w:color="F8E88B" w:themeColor="accent3" w:themeTint="BF"/>
        </w:tcBorders>
      </w:tcPr>
    </w:tblStylePr>
    <w:tblStylePr w:type="firstCol">
      <w:rPr>
        <w:b/>
        <w:bCs/>
      </w:rPr>
    </w:tblStylePr>
    <w:tblStylePr w:type="lastCol">
      <w:rPr>
        <w:b/>
        <w:bCs/>
      </w:rPr>
    </w:tblStylePr>
    <w:tblStylePr w:type="band1Vert">
      <w:tblPr/>
      <w:tcPr>
        <w:shd w:val="clear" w:color="auto" w:fill="FAF0B2" w:themeFill="accent3" w:themeFillTint="7F"/>
      </w:tcPr>
    </w:tblStylePr>
    <w:tblStylePr w:type="band1Horz">
      <w:tblPr/>
      <w:tcPr>
        <w:shd w:val="clear" w:color="auto" w:fill="FAF0B2"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single" w:sz="8" w:space="0" w:color="FFD499" w:themeColor="accent4" w:themeTint="BF"/>
        <w:insideV w:val="single" w:sz="8" w:space="0" w:color="FFD499" w:themeColor="accent4" w:themeTint="BF"/>
      </w:tblBorders>
    </w:tblPr>
    <w:tcPr>
      <w:shd w:val="clear" w:color="auto" w:fill="FFF0DD" w:themeFill="accent4" w:themeFillTint="3F"/>
    </w:tcPr>
    <w:tblStylePr w:type="firstRow">
      <w:rPr>
        <w:b/>
        <w:bCs/>
      </w:rPr>
    </w:tblStylePr>
    <w:tblStylePr w:type="lastRow">
      <w:rPr>
        <w:b/>
        <w:bCs/>
      </w:rPr>
      <w:tblPr/>
      <w:tcPr>
        <w:tcBorders>
          <w:top w:val="single" w:sz="18" w:space="0" w:color="FFD499" w:themeColor="accent4" w:themeTint="BF"/>
        </w:tcBorders>
      </w:tcPr>
    </w:tblStylePr>
    <w:tblStylePr w:type="firstCol">
      <w:rPr>
        <w:b/>
        <w:bCs/>
      </w:rPr>
    </w:tblStylePr>
    <w:tblStylePr w:type="lastCol">
      <w:rPr>
        <w:b/>
        <w:bCs/>
      </w:rPr>
    </w:tblStylePr>
    <w:tblStylePr w:type="band1Vert">
      <w:tblPr/>
      <w:tcPr>
        <w:shd w:val="clear" w:color="auto" w:fill="FFE2BB" w:themeFill="accent4" w:themeFillTint="7F"/>
      </w:tcPr>
    </w:tblStylePr>
    <w:tblStylePr w:type="band1Horz">
      <w:tblPr/>
      <w:tcPr>
        <w:shd w:val="clear" w:color="auto" w:fill="FFE2BB"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single" w:sz="8" w:space="0" w:color="FF9A66" w:themeColor="accent5" w:themeTint="BF"/>
        <w:insideV w:val="single" w:sz="8" w:space="0" w:color="FF9A66" w:themeColor="accent5" w:themeTint="BF"/>
      </w:tblBorders>
    </w:tblPr>
    <w:tcPr>
      <w:shd w:val="clear" w:color="auto" w:fill="FFDDCC" w:themeFill="accent5" w:themeFillTint="3F"/>
    </w:tcPr>
    <w:tblStylePr w:type="firstRow">
      <w:rPr>
        <w:b/>
        <w:bCs/>
      </w:rPr>
    </w:tblStylePr>
    <w:tblStylePr w:type="lastRow">
      <w:rPr>
        <w:b/>
        <w:bCs/>
      </w:rPr>
      <w:tblPr/>
      <w:tcPr>
        <w:tcBorders>
          <w:top w:val="single" w:sz="18" w:space="0" w:color="FF9A66" w:themeColor="accent5" w:themeTint="BF"/>
        </w:tcBorders>
      </w:tcPr>
    </w:tblStylePr>
    <w:tblStylePr w:type="firstCol">
      <w:rPr>
        <w:b/>
        <w:bCs/>
      </w:rPr>
    </w:tblStylePr>
    <w:tblStylePr w:type="lastCol">
      <w:rPr>
        <w:b/>
        <w:bCs/>
      </w:rPr>
    </w:tblStylePr>
    <w:tblStylePr w:type="band1Vert">
      <w:tblPr/>
      <w:tcPr>
        <w:shd w:val="clear" w:color="auto" w:fill="FFBC99" w:themeFill="accent5" w:themeFillTint="7F"/>
      </w:tcPr>
    </w:tblStylePr>
    <w:tblStylePr w:type="band1Horz">
      <w:tblPr/>
      <w:tcPr>
        <w:shd w:val="clear" w:color="auto" w:fill="FFBC99"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single" w:sz="8" w:space="0" w:color="F36F7A" w:themeColor="accent6" w:themeTint="BF"/>
        <w:insideV w:val="single" w:sz="8" w:space="0" w:color="F36F7A" w:themeColor="accent6" w:themeTint="BF"/>
      </w:tblBorders>
    </w:tblPr>
    <w:tcPr>
      <w:shd w:val="clear" w:color="auto" w:fill="FBCFD3" w:themeFill="accent6" w:themeFillTint="3F"/>
    </w:tcPr>
    <w:tblStylePr w:type="firstRow">
      <w:rPr>
        <w:b/>
        <w:bCs/>
      </w:rPr>
    </w:tblStylePr>
    <w:tblStylePr w:type="lastRow">
      <w:rPr>
        <w:b/>
        <w:bCs/>
      </w:rPr>
      <w:tblPr/>
      <w:tcPr>
        <w:tcBorders>
          <w:top w:val="single" w:sz="18" w:space="0" w:color="F36F7A" w:themeColor="accent6" w:themeTint="BF"/>
        </w:tcBorders>
      </w:tcPr>
    </w:tblStylePr>
    <w:tblStylePr w:type="firstCol">
      <w:rPr>
        <w:b/>
        <w:bCs/>
      </w:rPr>
    </w:tblStylePr>
    <w:tblStylePr w:type="lastCol">
      <w:rPr>
        <w:b/>
        <w:bCs/>
      </w:rPr>
    </w:tblStylePr>
    <w:tblStylePr w:type="band1Vert">
      <w:tblPr/>
      <w:tcPr>
        <w:shd w:val="clear" w:color="auto" w:fill="F79FA6" w:themeFill="accent6" w:themeFillTint="7F"/>
      </w:tcPr>
    </w:tblStylePr>
    <w:tblStylePr w:type="band1Horz">
      <w:tblPr/>
      <w:tcPr>
        <w:shd w:val="clear" w:color="auto" w:fill="F79FA6"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insideH w:val="single" w:sz="8" w:space="0" w:color="103A36" w:themeColor="accent1"/>
        <w:insideV w:val="single" w:sz="8" w:space="0" w:color="103A36" w:themeColor="accent1"/>
      </w:tblBorders>
    </w:tblPr>
    <w:tcPr>
      <w:shd w:val="clear" w:color="auto" w:fill="AAE7E1" w:themeFill="accent1" w:themeFillTint="3F"/>
    </w:tcPr>
    <w:tblStylePr w:type="firstRow">
      <w:rPr>
        <w:b/>
        <w:bCs/>
        <w:color w:val="000000" w:themeColor="text1"/>
      </w:rPr>
      <w:tblPr/>
      <w:tcPr>
        <w:shd w:val="clear" w:color="auto" w:fill="DDF5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CE7" w:themeFill="accent1" w:themeFillTint="33"/>
      </w:tcPr>
    </w:tblStylePr>
    <w:tblStylePr w:type="band1Vert">
      <w:tblPr/>
      <w:tcPr>
        <w:shd w:val="clear" w:color="auto" w:fill="54D0C3" w:themeFill="accent1" w:themeFillTint="7F"/>
      </w:tcPr>
    </w:tblStylePr>
    <w:tblStylePr w:type="band1Horz">
      <w:tblPr/>
      <w:tcPr>
        <w:tcBorders>
          <w:insideH w:val="single" w:sz="6" w:space="0" w:color="103A36" w:themeColor="accent1"/>
          <w:insideV w:val="single" w:sz="6" w:space="0" w:color="103A36" w:themeColor="accent1"/>
        </w:tcBorders>
        <w:shd w:val="clear" w:color="auto" w:fill="54D0C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insideH w:val="single" w:sz="8" w:space="0" w:color="009364" w:themeColor="accent2"/>
        <w:insideV w:val="single" w:sz="8" w:space="0" w:color="009364" w:themeColor="accent2"/>
      </w:tblBorders>
    </w:tblPr>
    <w:tcPr>
      <w:shd w:val="clear" w:color="auto" w:fill="A5FFE2" w:themeFill="accent2" w:themeFillTint="3F"/>
    </w:tcPr>
    <w:tblStylePr w:type="firstRow">
      <w:rPr>
        <w:b/>
        <w:bCs/>
        <w:color w:val="000000" w:themeColor="text1"/>
      </w:rPr>
      <w:tblPr/>
      <w:tcPr>
        <w:shd w:val="clear" w:color="auto" w:fill="DBFF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6FFE7" w:themeFill="accent2" w:themeFillTint="33"/>
      </w:tcPr>
    </w:tblStylePr>
    <w:tblStylePr w:type="band1Vert">
      <w:tblPr/>
      <w:tcPr>
        <w:shd w:val="clear" w:color="auto" w:fill="4AFFC4" w:themeFill="accent2" w:themeFillTint="7F"/>
      </w:tcPr>
    </w:tblStylePr>
    <w:tblStylePr w:type="band1Horz">
      <w:tblPr/>
      <w:tcPr>
        <w:tcBorders>
          <w:insideH w:val="single" w:sz="6" w:space="0" w:color="009364" w:themeColor="accent2"/>
          <w:insideV w:val="single" w:sz="6" w:space="0" w:color="009364" w:themeColor="accent2"/>
        </w:tcBorders>
        <w:shd w:val="clear" w:color="auto" w:fill="4AFFC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insideH w:val="single" w:sz="8" w:space="0" w:color="F6E265" w:themeColor="accent3"/>
        <w:insideV w:val="single" w:sz="8" w:space="0" w:color="F6E265" w:themeColor="accent3"/>
      </w:tblBorders>
    </w:tblPr>
    <w:tcPr>
      <w:shd w:val="clear" w:color="auto" w:fill="FCF7D8" w:themeFill="accent3" w:themeFillTint="3F"/>
    </w:tcPr>
    <w:tblStylePr w:type="firstRow">
      <w:rPr>
        <w:b/>
        <w:bCs/>
        <w:color w:val="000000" w:themeColor="text1"/>
      </w:rPr>
      <w:tblPr/>
      <w:tcPr>
        <w:shd w:val="clear" w:color="auto" w:fill="FEFC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9E0" w:themeFill="accent3" w:themeFillTint="33"/>
      </w:tcPr>
    </w:tblStylePr>
    <w:tblStylePr w:type="band1Vert">
      <w:tblPr/>
      <w:tcPr>
        <w:shd w:val="clear" w:color="auto" w:fill="FAF0B2" w:themeFill="accent3" w:themeFillTint="7F"/>
      </w:tcPr>
    </w:tblStylePr>
    <w:tblStylePr w:type="band1Horz">
      <w:tblPr/>
      <w:tcPr>
        <w:tcBorders>
          <w:insideH w:val="single" w:sz="6" w:space="0" w:color="F6E265" w:themeColor="accent3"/>
          <w:insideV w:val="single" w:sz="6" w:space="0" w:color="F6E265" w:themeColor="accent3"/>
        </w:tcBorders>
        <w:shd w:val="clear" w:color="auto" w:fill="FAF0B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insideH w:val="single" w:sz="8" w:space="0" w:color="FFC677" w:themeColor="accent4"/>
        <w:insideV w:val="single" w:sz="8" w:space="0" w:color="FFC677" w:themeColor="accent4"/>
      </w:tblBorders>
    </w:tblPr>
    <w:tcPr>
      <w:shd w:val="clear" w:color="auto" w:fill="FFF0DD" w:themeFill="accent4" w:themeFillTint="3F"/>
    </w:tcPr>
    <w:tblStylePr w:type="firstRow">
      <w:rPr>
        <w:b/>
        <w:bCs/>
        <w:color w:val="000000" w:themeColor="text1"/>
      </w:rPr>
      <w:tblPr/>
      <w:tcPr>
        <w:shd w:val="clear" w:color="auto" w:fill="FFF9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3E3" w:themeFill="accent4" w:themeFillTint="33"/>
      </w:tcPr>
    </w:tblStylePr>
    <w:tblStylePr w:type="band1Vert">
      <w:tblPr/>
      <w:tcPr>
        <w:shd w:val="clear" w:color="auto" w:fill="FFE2BB" w:themeFill="accent4" w:themeFillTint="7F"/>
      </w:tcPr>
    </w:tblStylePr>
    <w:tblStylePr w:type="band1Horz">
      <w:tblPr/>
      <w:tcPr>
        <w:tcBorders>
          <w:insideH w:val="single" w:sz="6" w:space="0" w:color="FFC677" w:themeColor="accent4"/>
          <w:insideV w:val="single" w:sz="6" w:space="0" w:color="FFC677" w:themeColor="accent4"/>
        </w:tcBorders>
        <w:shd w:val="clear" w:color="auto" w:fill="FFE2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insideH w:val="single" w:sz="8" w:space="0" w:color="FF7A34" w:themeColor="accent5"/>
        <w:insideV w:val="single" w:sz="8" w:space="0" w:color="FF7A34" w:themeColor="accent5"/>
      </w:tblBorders>
    </w:tblPr>
    <w:tcPr>
      <w:shd w:val="clear" w:color="auto" w:fill="FFDDCC" w:themeFill="accent5" w:themeFillTint="3F"/>
    </w:tcPr>
    <w:tblStylePr w:type="firstRow">
      <w:rPr>
        <w:b/>
        <w:bCs/>
        <w:color w:val="000000" w:themeColor="text1"/>
      </w:rPr>
      <w:tblPr/>
      <w:tcPr>
        <w:shd w:val="clear" w:color="auto" w:fill="FFF1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D6" w:themeFill="accent5" w:themeFillTint="33"/>
      </w:tcPr>
    </w:tblStylePr>
    <w:tblStylePr w:type="band1Vert">
      <w:tblPr/>
      <w:tcPr>
        <w:shd w:val="clear" w:color="auto" w:fill="FFBC99" w:themeFill="accent5" w:themeFillTint="7F"/>
      </w:tcPr>
    </w:tblStylePr>
    <w:tblStylePr w:type="band1Horz">
      <w:tblPr/>
      <w:tcPr>
        <w:tcBorders>
          <w:insideH w:val="single" w:sz="6" w:space="0" w:color="FF7A34" w:themeColor="accent5"/>
          <w:insideV w:val="single" w:sz="6" w:space="0" w:color="FF7A34" w:themeColor="accent5"/>
        </w:tcBorders>
        <w:shd w:val="clear" w:color="auto" w:fill="FFBC9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insideH w:val="single" w:sz="8" w:space="0" w:color="F0404F" w:themeColor="accent6"/>
        <w:insideV w:val="single" w:sz="8" w:space="0" w:color="F0404F" w:themeColor="accent6"/>
      </w:tblBorders>
    </w:tblPr>
    <w:tcPr>
      <w:shd w:val="clear" w:color="auto" w:fill="FBCFD3" w:themeFill="accent6" w:themeFillTint="3F"/>
    </w:tcPr>
    <w:tblStylePr w:type="firstRow">
      <w:rPr>
        <w:b/>
        <w:bCs/>
        <w:color w:val="000000" w:themeColor="text1"/>
      </w:rPr>
      <w:tblPr/>
      <w:tcPr>
        <w:shd w:val="clear" w:color="auto" w:fill="FDEC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D8DB" w:themeFill="accent6" w:themeFillTint="33"/>
      </w:tcPr>
    </w:tblStylePr>
    <w:tblStylePr w:type="band1Vert">
      <w:tblPr/>
      <w:tcPr>
        <w:shd w:val="clear" w:color="auto" w:fill="F79FA6" w:themeFill="accent6" w:themeFillTint="7F"/>
      </w:tcPr>
    </w:tblStylePr>
    <w:tblStylePr w:type="band1Horz">
      <w:tblPr/>
      <w:tcPr>
        <w:tcBorders>
          <w:insideH w:val="single" w:sz="6" w:space="0" w:color="F0404F" w:themeColor="accent6"/>
          <w:insideV w:val="single" w:sz="6" w:space="0" w:color="F0404F" w:themeColor="accent6"/>
        </w:tcBorders>
        <w:shd w:val="clear" w:color="auto" w:fill="F79F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E7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03A3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03A3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03A3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03A3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D0C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D0C3"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5FFE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36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36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36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36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AFF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AFFC4"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7D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26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26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26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26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0B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0B2"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0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6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6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6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6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2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2BB"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A3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A3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A3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A3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9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99"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CF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04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04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04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04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9F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9FA6"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103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103A36" w:themeColor="accent1"/>
        <w:bottom w:val="single" w:sz="8" w:space="0" w:color="103A36" w:themeColor="accent1"/>
      </w:tblBorders>
    </w:tblPr>
    <w:tblStylePr w:type="firstRow">
      <w:rPr>
        <w:rFonts w:asciiTheme="majorHAnsi" w:eastAsiaTheme="majorEastAsia" w:hAnsiTheme="majorHAnsi" w:cstheme="majorBidi"/>
      </w:rPr>
      <w:tblPr/>
      <w:tcPr>
        <w:tcBorders>
          <w:top w:val="nil"/>
          <w:bottom w:val="single" w:sz="8" w:space="0" w:color="103A36" w:themeColor="accent1"/>
        </w:tcBorders>
      </w:tcPr>
    </w:tblStylePr>
    <w:tblStylePr w:type="lastRow">
      <w:rPr>
        <w:b/>
        <w:bCs/>
        <w:color w:val="001032" w:themeColor="text2"/>
      </w:rPr>
      <w:tblPr/>
      <w:tcPr>
        <w:tcBorders>
          <w:top w:val="single" w:sz="8" w:space="0" w:color="103A36" w:themeColor="accent1"/>
          <w:bottom w:val="single" w:sz="8" w:space="0" w:color="103A36" w:themeColor="accent1"/>
        </w:tcBorders>
      </w:tcPr>
    </w:tblStylePr>
    <w:tblStylePr w:type="firstCol">
      <w:rPr>
        <w:b/>
        <w:bCs/>
      </w:rPr>
    </w:tblStylePr>
    <w:tblStylePr w:type="lastCol">
      <w:rPr>
        <w:b/>
        <w:bCs/>
      </w:rPr>
      <w:tblPr/>
      <w:tcPr>
        <w:tcBorders>
          <w:top w:val="single" w:sz="8" w:space="0" w:color="103A36" w:themeColor="accent1"/>
          <w:bottom w:val="single" w:sz="8" w:space="0" w:color="103A36" w:themeColor="accent1"/>
        </w:tcBorders>
      </w:tcPr>
    </w:tblStylePr>
    <w:tblStylePr w:type="band1Vert">
      <w:tblPr/>
      <w:tcPr>
        <w:shd w:val="clear" w:color="auto" w:fill="AAE7E1" w:themeFill="accent1" w:themeFillTint="3F"/>
      </w:tcPr>
    </w:tblStylePr>
    <w:tblStylePr w:type="band1Horz">
      <w:tblPr/>
      <w:tcPr>
        <w:shd w:val="clear" w:color="auto" w:fill="AAE7E1"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009364" w:themeColor="accent2"/>
        <w:bottom w:val="single" w:sz="8" w:space="0" w:color="009364" w:themeColor="accent2"/>
      </w:tblBorders>
    </w:tblPr>
    <w:tblStylePr w:type="firstRow">
      <w:rPr>
        <w:rFonts w:asciiTheme="majorHAnsi" w:eastAsiaTheme="majorEastAsia" w:hAnsiTheme="majorHAnsi" w:cstheme="majorBidi"/>
      </w:rPr>
      <w:tblPr/>
      <w:tcPr>
        <w:tcBorders>
          <w:top w:val="nil"/>
          <w:bottom w:val="single" w:sz="8" w:space="0" w:color="009364" w:themeColor="accent2"/>
        </w:tcBorders>
      </w:tcPr>
    </w:tblStylePr>
    <w:tblStylePr w:type="lastRow">
      <w:rPr>
        <w:b/>
        <w:bCs/>
        <w:color w:val="001032" w:themeColor="text2"/>
      </w:rPr>
      <w:tblPr/>
      <w:tcPr>
        <w:tcBorders>
          <w:top w:val="single" w:sz="8" w:space="0" w:color="009364" w:themeColor="accent2"/>
          <w:bottom w:val="single" w:sz="8" w:space="0" w:color="009364" w:themeColor="accent2"/>
        </w:tcBorders>
      </w:tcPr>
    </w:tblStylePr>
    <w:tblStylePr w:type="firstCol">
      <w:rPr>
        <w:b/>
        <w:bCs/>
      </w:rPr>
    </w:tblStylePr>
    <w:tblStylePr w:type="lastCol">
      <w:rPr>
        <w:b/>
        <w:bCs/>
      </w:rPr>
      <w:tblPr/>
      <w:tcPr>
        <w:tcBorders>
          <w:top w:val="single" w:sz="8" w:space="0" w:color="009364" w:themeColor="accent2"/>
          <w:bottom w:val="single" w:sz="8" w:space="0" w:color="009364" w:themeColor="accent2"/>
        </w:tcBorders>
      </w:tcPr>
    </w:tblStylePr>
    <w:tblStylePr w:type="band1Vert">
      <w:tblPr/>
      <w:tcPr>
        <w:shd w:val="clear" w:color="auto" w:fill="A5FFE2" w:themeFill="accent2" w:themeFillTint="3F"/>
      </w:tcPr>
    </w:tblStylePr>
    <w:tblStylePr w:type="band1Horz">
      <w:tblPr/>
      <w:tcPr>
        <w:shd w:val="clear" w:color="auto" w:fill="A5FFE2"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F6E265" w:themeColor="accent3"/>
        <w:bottom w:val="single" w:sz="8" w:space="0" w:color="F6E265" w:themeColor="accent3"/>
      </w:tblBorders>
    </w:tblPr>
    <w:tblStylePr w:type="firstRow">
      <w:rPr>
        <w:rFonts w:asciiTheme="majorHAnsi" w:eastAsiaTheme="majorEastAsia" w:hAnsiTheme="majorHAnsi" w:cstheme="majorBidi"/>
      </w:rPr>
      <w:tblPr/>
      <w:tcPr>
        <w:tcBorders>
          <w:top w:val="nil"/>
          <w:bottom w:val="single" w:sz="8" w:space="0" w:color="F6E265" w:themeColor="accent3"/>
        </w:tcBorders>
      </w:tcPr>
    </w:tblStylePr>
    <w:tblStylePr w:type="lastRow">
      <w:rPr>
        <w:b/>
        <w:bCs/>
        <w:color w:val="001032" w:themeColor="text2"/>
      </w:rPr>
      <w:tblPr/>
      <w:tcPr>
        <w:tcBorders>
          <w:top w:val="single" w:sz="8" w:space="0" w:color="F6E265" w:themeColor="accent3"/>
          <w:bottom w:val="single" w:sz="8" w:space="0" w:color="F6E265" w:themeColor="accent3"/>
        </w:tcBorders>
      </w:tcPr>
    </w:tblStylePr>
    <w:tblStylePr w:type="firstCol">
      <w:rPr>
        <w:b/>
        <w:bCs/>
      </w:rPr>
    </w:tblStylePr>
    <w:tblStylePr w:type="lastCol">
      <w:rPr>
        <w:b/>
        <w:bCs/>
      </w:rPr>
      <w:tblPr/>
      <w:tcPr>
        <w:tcBorders>
          <w:top w:val="single" w:sz="8" w:space="0" w:color="F6E265" w:themeColor="accent3"/>
          <w:bottom w:val="single" w:sz="8" w:space="0" w:color="F6E265" w:themeColor="accent3"/>
        </w:tcBorders>
      </w:tcPr>
    </w:tblStylePr>
    <w:tblStylePr w:type="band1Vert">
      <w:tblPr/>
      <w:tcPr>
        <w:shd w:val="clear" w:color="auto" w:fill="FCF7D8" w:themeFill="accent3" w:themeFillTint="3F"/>
      </w:tcPr>
    </w:tblStylePr>
    <w:tblStylePr w:type="band1Horz">
      <w:tblPr/>
      <w:tcPr>
        <w:shd w:val="clear" w:color="auto" w:fill="FCF7D8"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FC677" w:themeColor="accent4"/>
        <w:bottom w:val="single" w:sz="8" w:space="0" w:color="FFC677" w:themeColor="accent4"/>
      </w:tblBorders>
    </w:tblPr>
    <w:tblStylePr w:type="firstRow">
      <w:rPr>
        <w:rFonts w:asciiTheme="majorHAnsi" w:eastAsiaTheme="majorEastAsia" w:hAnsiTheme="majorHAnsi" w:cstheme="majorBidi"/>
      </w:rPr>
      <w:tblPr/>
      <w:tcPr>
        <w:tcBorders>
          <w:top w:val="nil"/>
          <w:bottom w:val="single" w:sz="8" w:space="0" w:color="FFC677" w:themeColor="accent4"/>
        </w:tcBorders>
      </w:tcPr>
    </w:tblStylePr>
    <w:tblStylePr w:type="lastRow">
      <w:rPr>
        <w:b/>
        <w:bCs/>
        <w:color w:val="001032" w:themeColor="text2"/>
      </w:rPr>
      <w:tblPr/>
      <w:tcPr>
        <w:tcBorders>
          <w:top w:val="single" w:sz="8" w:space="0" w:color="FFC677" w:themeColor="accent4"/>
          <w:bottom w:val="single" w:sz="8" w:space="0" w:color="FFC677" w:themeColor="accent4"/>
        </w:tcBorders>
      </w:tcPr>
    </w:tblStylePr>
    <w:tblStylePr w:type="firstCol">
      <w:rPr>
        <w:b/>
        <w:bCs/>
      </w:rPr>
    </w:tblStylePr>
    <w:tblStylePr w:type="lastCol">
      <w:rPr>
        <w:b/>
        <w:bCs/>
      </w:rPr>
      <w:tblPr/>
      <w:tcPr>
        <w:tcBorders>
          <w:top w:val="single" w:sz="8" w:space="0" w:color="FFC677" w:themeColor="accent4"/>
          <w:bottom w:val="single" w:sz="8" w:space="0" w:color="FFC677" w:themeColor="accent4"/>
        </w:tcBorders>
      </w:tcPr>
    </w:tblStylePr>
    <w:tblStylePr w:type="band1Vert">
      <w:tblPr/>
      <w:tcPr>
        <w:shd w:val="clear" w:color="auto" w:fill="FFF0DD" w:themeFill="accent4" w:themeFillTint="3F"/>
      </w:tcPr>
    </w:tblStylePr>
    <w:tblStylePr w:type="band1Horz">
      <w:tblPr/>
      <w:tcPr>
        <w:shd w:val="clear" w:color="auto" w:fill="FFF0DD"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FF7A34" w:themeColor="accent5"/>
        <w:bottom w:val="single" w:sz="8" w:space="0" w:color="FF7A34" w:themeColor="accent5"/>
      </w:tblBorders>
    </w:tblPr>
    <w:tblStylePr w:type="firstRow">
      <w:rPr>
        <w:rFonts w:asciiTheme="majorHAnsi" w:eastAsiaTheme="majorEastAsia" w:hAnsiTheme="majorHAnsi" w:cstheme="majorBidi"/>
      </w:rPr>
      <w:tblPr/>
      <w:tcPr>
        <w:tcBorders>
          <w:top w:val="nil"/>
          <w:bottom w:val="single" w:sz="8" w:space="0" w:color="FF7A34" w:themeColor="accent5"/>
        </w:tcBorders>
      </w:tcPr>
    </w:tblStylePr>
    <w:tblStylePr w:type="lastRow">
      <w:rPr>
        <w:b/>
        <w:bCs/>
        <w:color w:val="001032" w:themeColor="text2"/>
      </w:rPr>
      <w:tblPr/>
      <w:tcPr>
        <w:tcBorders>
          <w:top w:val="single" w:sz="8" w:space="0" w:color="FF7A34" w:themeColor="accent5"/>
          <w:bottom w:val="single" w:sz="8" w:space="0" w:color="FF7A34" w:themeColor="accent5"/>
        </w:tcBorders>
      </w:tcPr>
    </w:tblStylePr>
    <w:tblStylePr w:type="firstCol">
      <w:rPr>
        <w:b/>
        <w:bCs/>
      </w:rPr>
    </w:tblStylePr>
    <w:tblStylePr w:type="lastCol">
      <w:rPr>
        <w:b/>
        <w:bCs/>
      </w:rPr>
      <w:tblPr/>
      <w:tcPr>
        <w:tcBorders>
          <w:top w:val="single" w:sz="8" w:space="0" w:color="FF7A34" w:themeColor="accent5"/>
          <w:bottom w:val="single" w:sz="8" w:space="0" w:color="FF7A34" w:themeColor="accent5"/>
        </w:tcBorders>
      </w:tcPr>
    </w:tblStylePr>
    <w:tblStylePr w:type="band1Vert">
      <w:tblPr/>
      <w:tcPr>
        <w:shd w:val="clear" w:color="auto" w:fill="FFDDCC" w:themeFill="accent5" w:themeFillTint="3F"/>
      </w:tcPr>
    </w:tblStylePr>
    <w:tblStylePr w:type="band1Horz">
      <w:tblPr/>
      <w:tcPr>
        <w:shd w:val="clear" w:color="auto" w:fill="FFDDCC"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F0404F" w:themeColor="accent6"/>
        <w:bottom w:val="single" w:sz="8" w:space="0" w:color="F0404F" w:themeColor="accent6"/>
      </w:tblBorders>
    </w:tblPr>
    <w:tblStylePr w:type="firstRow">
      <w:rPr>
        <w:rFonts w:asciiTheme="majorHAnsi" w:eastAsiaTheme="majorEastAsia" w:hAnsiTheme="majorHAnsi" w:cstheme="majorBidi"/>
      </w:rPr>
      <w:tblPr/>
      <w:tcPr>
        <w:tcBorders>
          <w:top w:val="nil"/>
          <w:bottom w:val="single" w:sz="8" w:space="0" w:color="F0404F" w:themeColor="accent6"/>
        </w:tcBorders>
      </w:tcPr>
    </w:tblStylePr>
    <w:tblStylePr w:type="lastRow">
      <w:rPr>
        <w:b/>
        <w:bCs/>
        <w:color w:val="001032" w:themeColor="text2"/>
      </w:rPr>
      <w:tblPr/>
      <w:tcPr>
        <w:tcBorders>
          <w:top w:val="single" w:sz="8" w:space="0" w:color="F0404F" w:themeColor="accent6"/>
          <w:bottom w:val="single" w:sz="8" w:space="0" w:color="F0404F" w:themeColor="accent6"/>
        </w:tcBorders>
      </w:tcPr>
    </w:tblStylePr>
    <w:tblStylePr w:type="firstCol">
      <w:rPr>
        <w:b/>
        <w:bCs/>
      </w:rPr>
    </w:tblStylePr>
    <w:tblStylePr w:type="lastCol">
      <w:rPr>
        <w:b/>
        <w:bCs/>
      </w:rPr>
      <w:tblPr/>
      <w:tcPr>
        <w:tcBorders>
          <w:top w:val="single" w:sz="8" w:space="0" w:color="F0404F" w:themeColor="accent6"/>
          <w:bottom w:val="single" w:sz="8" w:space="0" w:color="F0404F" w:themeColor="accent6"/>
        </w:tcBorders>
      </w:tcPr>
    </w:tblStylePr>
    <w:tblStylePr w:type="band1Vert">
      <w:tblPr/>
      <w:tcPr>
        <w:shd w:val="clear" w:color="auto" w:fill="FBCFD3" w:themeFill="accent6" w:themeFillTint="3F"/>
      </w:tcPr>
    </w:tblStylePr>
    <w:tblStylePr w:type="band1Horz">
      <w:tblPr/>
      <w:tcPr>
        <w:shd w:val="clear" w:color="auto" w:fill="FBCFD3"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103A36" w:themeColor="accent1"/>
        <w:left w:val="single" w:sz="8" w:space="0" w:color="103A36" w:themeColor="accent1"/>
        <w:bottom w:val="single" w:sz="8" w:space="0" w:color="103A36" w:themeColor="accent1"/>
        <w:right w:val="single" w:sz="8" w:space="0" w:color="103A36" w:themeColor="accent1"/>
      </w:tblBorders>
    </w:tblPr>
    <w:tblStylePr w:type="firstRow">
      <w:rPr>
        <w:sz w:val="24"/>
        <w:szCs w:val="24"/>
      </w:rPr>
      <w:tblPr/>
      <w:tcPr>
        <w:tcBorders>
          <w:top w:val="nil"/>
          <w:left w:val="nil"/>
          <w:bottom w:val="single" w:sz="24" w:space="0" w:color="103A36" w:themeColor="accent1"/>
          <w:right w:val="nil"/>
          <w:insideH w:val="nil"/>
          <w:insideV w:val="nil"/>
        </w:tcBorders>
        <w:shd w:val="clear" w:color="auto" w:fill="FFFFFF" w:themeFill="background1"/>
      </w:tcPr>
    </w:tblStylePr>
    <w:tblStylePr w:type="lastRow">
      <w:tblPr/>
      <w:tcPr>
        <w:tcBorders>
          <w:top w:val="single" w:sz="8" w:space="0" w:color="103A3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03A36" w:themeColor="accent1"/>
          <w:insideH w:val="nil"/>
          <w:insideV w:val="nil"/>
        </w:tcBorders>
        <w:shd w:val="clear" w:color="auto" w:fill="FFFFFF" w:themeFill="background1"/>
      </w:tcPr>
    </w:tblStylePr>
    <w:tblStylePr w:type="lastCol">
      <w:tblPr/>
      <w:tcPr>
        <w:tcBorders>
          <w:top w:val="nil"/>
          <w:left w:val="single" w:sz="8" w:space="0" w:color="103A3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E7E1" w:themeFill="accent1" w:themeFillTint="3F"/>
      </w:tcPr>
    </w:tblStylePr>
    <w:tblStylePr w:type="band1Horz">
      <w:tblPr/>
      <w:tcPr>
        <w:tcBorders>
          <w:top w:val="nil"/>
          <w:bottom w:val="nil"/>
          <w:insideH w:val="nil"/>
          <w:insideV w:val="nil"/>
        </w:tcBorders>
        <w:shd w:val="clear" w:color="auto" w:fill="AAE7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9364" w:themeColor="accent2"/>
        <w:left w:val="single" w:sz="8" w:space="0" w:color="009364" w:themeColor="accent2"/>
        <w:bottom w:val="single" w:sz="8" w:space="0" w:color="009364" w:themeColor="accent2"/>
        <w:right w:val="single" w:sz="8" w:space="0" w:color="009364" w:themeColor="accent2"/>
      </w:tblBorders>
    </w:tblPr>
    <w:tblStylePr w:type="firstRow">
      <w:rPr>
        <w:sz w:val="24"/>
        <w:szCs w:val="24"/>
      </w:rPr>
      <w:tblPr/>
      <w:tcPr>
        <w:tcBorders>
          <w:top w:val="nil"/>
          <w:left w:val="nil"/>
          <w:bottom w:val="single" w:sz="24" w:space="0" w:color="009364" w:themeColor="accent2"/>
          <w:right w:val="nil"/>
          <w:insideH w:val="nil"/>
          <w:insideV w:val="nil"/>
        </w:tcBorders>
        <w:shd w:val="clear" w:color="auto" w:fill="FFFFFF" w:themeFill="background1"/>
      </w:tcPr>
    </w:tblStylePr>
    <w:tblStylePr w:type="lastRow">
      <w:tblPr/>
      <w:tcPr>
        <w:tcBorders>
          <w:top w:val="single" w:sz="8" w:space="0" w:color="00936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364" w:themeColor="accent2"/>
          <w:insideH w:val="nil"/>
          <w:insideV w:val="nil"/>
        </w:tcBorders>
        <w:shd w:val="clear" w:color="auto" w:fill="FFFFFF" w:themeFill="background1"/>
      </w:tcPr>
    </w:tblStylePr>
    <w:tblStylePr w:type="lastCol">
      <w:tblPr/>
      <w:tcPr>
        <w:tcBorders>
          <w:top w:val="nil"/>
          <w:left w:val="single" w:sz="8" w:space="0" w:color="00936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5FFE2" w:themeFill="accent2" w:themeFillTint="3F"/>
      </w:tcPr>
    </w:tblStylePr>
    <w:tblStylePr w:type="band1Horz">
      <w:tblPr/>
      <w:tcPr>
        <w:tcBorders>
          <w:top w:val="nil"/>
          <w:bottom w:val="nil"/>
          <w:insideH w:val="nil"/>
          <w:insideV w:val="nil"/>
        </w:tcBorders>
        <w:shd w:val="clear" w:color="auto" w:fill="A5FFE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265" w:themeColor="accent3"/>
        <w:left w:val="single" w:sz="8" w:space="0" w:color="F6E265" w:themeColor="accent3"/>
        <w:bottom w:val="single" w:sz="8" w:space="0" w:color="F6E265" w:themeColor="accent3"/>
        <w:right w:val="single" w:sz="8" w:space="0" w:color="F6E265" w:themeColor="accent3"/>
      </w:tblBorders>
    </w:tblPr>
    <w:tblStylePr w:type="firstRow">
      <w:rPr>
        <w:sz w:val="24"/>
        <w:szCs w:val="24"/>
      </w:rPr>
      <w:tblPr/>
      <w:tcPr>
        <w:tcBorders>
          <w:top w:val="nil"/>
          <w:left w:val="nil"/>
          <w:bottom w:val="single" w:sz="24" w:space="0" w:color="F6E265" w:themeColor="accent3"/>
          <w:right w:val="nil"/>
          <w:insideH w:val="nil"/>
          <w:insideV w:val="nil"/>
        </w:tcBorders>
        <w:shd w:val="clear" w:color="auto" w:fill="FFFFFF" w:themeFill="background1"/>
      </w:tcPr>
    </w:tblStylePr>
    <w:tblStylePr w:type="lastRow">
      <w:tblPr/>
      <w:tcPr>
        <w:tcBorders>
          <w:top w:val="single" w:sz="8" w:space="0" w:color="F6E26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265" w:themeColor="accent3"/>
          <w:insideH w:val="nil"/>
          <w:insideV w:val="nil"/>
        </w:tcBorders>
        <w:shd w:val="clear" w:color="auto" w:fill="FFFFFF" w:themeFill="background1"/>
      </w:tcPr>
    </w:tblStylePr>
    <w:tblStylePr w:type="lastCol">
      <w:tblPr/>
      <w:tcPr>
        <w:tcBorders>
          <w:top w:val="nil"/>
          <w:left w:val="single" w:sz="8" w:space="0" w:color="F6E26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7D8" w:themeFill="accent3" w:themeFillTint="3F"/>
      </w:tcPr>
    </w:tblStylePr>
    <w:tblStylePr w:type="band1Horz">
      <w:tblPr/>
      <w:tcPr>
        <w:tcBorders>
          <w:top w:val="nil"/>
          <w:bottom w:val="nil"/>
          <w:insideH w:val="nil"/>
          <w:insideV w:val="nil"/>
        </w:tcBorders>
        <w:shd w:val="clear" w:color="auto" w:fill="FCF7D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C677" w:themeColor="accent4"/>
        <w:left w:val="single" w:sz="8" w:space="0" w:color="FFC677" w:themeColor="accent4"/>
        <w:bottom w:val="single" w:sz="8" w:space="0" w:color="FFC677" w:themeColor="accent4"/>
        <w:right w:val="single" w:sz="8" w:space="0" w:color="FFC677" w:themeColor="accent4"/>
      </w:tblBorders>
    </w:tblPr>
    <w:tblStylePr w:type="firstRow">
      <w:rPr>
        <w:sz w:val="24"/>
        <w:szCs w:val="24"/>
      </w:rPr>
      <w:tblPr/>
      <w:tcPr>
        <w:tcBorders>
          <w:top w:val="nil"/>
          <w:left w:val="nil"/>
          <w:bottom w:val="single" w:sz="24" w:space="0" w:color="FFC677" w:themeColor="accent4"/>
          <w:right w:val="nil"/>
          <w:insideH w:val="nil"/>
          <w:insideV w:val="nil"/>
        </w:tcBorders>
        <w:shd w:val="clear" w:color="auto" w:fill="FFFFFF" w:themeFill="background1"/>
      </w:tcPr>
    </w:tblStylePr>
    <w:tblStylePr w:type="lastRow">
      <w:tblPr/>
      <w:tcPr>
        <w:tcBorders>
          <w:top w:val="single" w:sz="8" w:space="0" w:color="FFC67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677" w:themeColor="accent4"/>
          <w:insideH w:val="nil"/>
          <w:insideV w:val="nil"/>
        </w:tcBorders>
        <w:shd w:val="clear" w:color="auto" w:fill="FFFFFF" w:themeFill="background1"/>
      </w:tcPr>
    </w:tblStylePr>
    <w:tblStylePr w:type="lastCol">
      <w:tblPr/>
      <w:tcPr>
        <w:tcBorders>
          <w:top w:val="nil"/>
          <w:left w:val="single" w:sz="8" w:space="0" w:color="FFC6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0DD" w:themeFill="accent4" w:themeFillTint="3F"/>
      </w:tcPr>
    </w:tblStylePr>
    <w:tblStylePr w:type="band1Horz">
      <w:tblPr/>
      <w:tcPr>
        <w:tcBorders>
          <w:top w:val="nil"/>
          <w:bottom w:val="nil"/>
          <w:insideH w:val="nil"/>
          <w:insideV w:val="nil"/>
        </w:tcBorders>
        <w:shd w:val="clear" w:color="auto" w:fill="FFF0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F7A34" w:themeColor="accent5"/>
        <w:left w:val="single" w:sz="8" w:space="0" w:color="FF7A34" w:themeColor="accent5"/>
        <w:bottom w:val="single" w:sz="8" w:space="0" w:color="FF7A34" w:themeColor="accent5"/>
        <w:right w:val="single" w:sz="8" w:space="0" w:color="FF7A34" w:themeColor="accent5"/>
      </w:tblBorders>
    </w:tblPr>
    <w:tblStylePr w:type="firstRow">
      <w:rPr>
        <w:sz w:val="24"/>
        <w:szCs w:val="24"/>
      </w:rPr>
      <w:tblPr/>
      <w:tcPr>
        <w:tcBorders>
          <w:top w:val="nil"/>
          <w:left w:val="nil"/>
          <w:bottom w:val="single" w:sz="24" w:space="0" w:color="FF7A34" w:themeColor="accent5"/>
          <w:right w:val="nil"/>
          <w:insideH w:val="nil"/>
          <w:insideV w:val="nil"/>
        </w:tcBorders>
        <w:shd w:val="clear" w:color="auto" w:fill="FFFFFF" w:themeFill="background1"/>
      </w:tcPr>
    </w:tblStylePr>
    <w:tblStylePr w:type="lastRow">
      <w:tblPr/>
      <w:tcPr>
        <w:tcBorders>
          <w:top w:val="single" w:sz="8" w:space="0" w:color="FF7A3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A34" w:themeColor="accent5"/>
          <w:insideH w:val="nil"/>
          <w:insideV w:val="nil"/>
        </w:tcBorders>
        <w:shd w:val="clear" w:color="auto" w:fill="FFFFFF" w:themeFill="background1"/>
      </w:tcPr>
    </w:tblStylePr>
    <w:tblStylePr w:type="lastCol">
      <w:tblPr/>
      <w:tcPr>
        <w:tcBorders>
          <w:top w:val="nil"/>
          <w:left w:val="single" w:sz="8" w:space="0" w:color="FF7A3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C" w:themeFill="accent5" w:themeFillTint="3F"/>
      </w:tcPr>
    </w:tblStylePr>
    <w:tblStylePr w:type="band1Horz">
      <w:tblPr/>
      <w:tcPr>
        <w:tcBorders>
          <w:top w:val="nil"/>
          <w:bottom w:val="nil"/>
          <w:insideH w:val="nil"/>
          <w:insideV w:val="nil"/>
        </w:tcBorders>
        <w:shd w:val="clear" w:color="auto" w:fill="FFDD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0404F" w:themeColor="accent6"/>
        <w:left w:val="single" w:sz="8" w:space="0" w:color="F0404F" w:themeColor="accent6"/>
        <w:bottom w:val="single" w:sz="8" w:space="0" w:color="F0404F" w:themeColor="accent6"/>
        <w:right w:val="single" w:sz="8" w:space="0" w:color="F0404F" w:themeColor="accent6"/>
      </w:tblBorders>
    </w:tblPr>
    <w:tblStylePr w:type="firstRow">
      <w:rPr>
        <w:sz w:val="24"/>
        <w:szCs w:val="24"/>
      </w:rPr>
      <w:tblPr/>
      <w:tcPr>
        <w:tcBorders>
          <w:top w:val="nil"/>
          <w:left w:val="nil"/>
          <w:bottom w:val="single" w:sz="24" w:space="0" w:color="F0404F" w:themeColor="accent6"/>
          <w:right w:val="nil"/>
          <w:insideH w:val="nil"/>
          <w:insideV w:val="nil"/>
        </w:tcBorders>
        <w:shd w:val="clear" w:color="auto" w:fill="FFFFFF" w:themeFill="background1"/>
      </w:tcPr>
    </w:tblStylePr>
    <w:tblStylePr w:type="lastRow">
      <w:tblPr/>
      <w:tcPr>
        <w:tcBorders>
          <w:top w:val="single" w:sz="8" w:space="0" w:color="F0404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04F" w:themeColor="accent6"/>
          <w:insideH w:val="nil"/>
          <w:insideV w:val="nil"/>
        </w:tcBorders>
        <w:shd w:val="clear" w:color="auto" w:fill="FFFFFF" w:themeFill="background1"/>
      </w:tcPr>
    </w:tblStylePr>
    <w:tblStylePr w:type="lastCol">
      <w:tblPr/>
      <w:tcPr>
        <w:tcBorders>
          <w:top w:val="nil"/>
          <w:left w:val="single" w:sz="8" w:space="0" w:color="F0404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CFD3" w:themeFill="accent6" w:themeFillTint="3F"/>
      </w:tcPr>
    </w:tblStylePr>
    <w:tblStylePr w:type="band1Horz">
      <w:tblPr/>
      <w:tcPr>
        <w:tcBorders>
          <w:top w:val="nil"/>
          <w:bottom w:val="nil"/>
          <w:insideH w:val="nil"/>
          <w:insideV w:val="nil"/>
        </w:tcBorders>
        <w:shd w:val="clear" w:color="auto" w:fill="FBCF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single" w:sz="8" w:space="0" w:color="278F85" w:themeColor="accent1" w:themeTint="BF"/>
      </w:tblBorders>
    </w:tblPr>
    <w:tblStylePr w:type="firstRow">
      <w:pPr>
        <w:spacing w:before="0" w:after="0" w:line="240" w:lineRule="auto"/>
      </w:pPr>
      <w:rPr>
        <w:b/>
        <w:bCs/>
        <w:color w:val="FFFFFF" w:themeColor="background1"/>
      </w:rPr>
      <w:tblPr/>
      <w:tcPr>
        <w:tcBorders>
          <w:top w:val="single" w:sz="8"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nil"/>
          <w:insideV w:val="nil"/>
        </w:tcBorders>
        <w:shd w:val="clear" w:color="auto" w:fill="103A36" w:themeFill="accent1"/>
      </w:tcPr>
    </w:tblStylePr>
    <w:tblStylePr w:type="lastRow">
      <w:pPr>
        <w:spacing w:before="0" w:after="0" w:line="240" w:lineRule="auto"/>
      </w:pPr>
      <w:rPr>
        <w:b/>
        <w:bCs/>
      </w:rPr>
      <w:tblPr/>
      <w:tcPr>
        <w:tcBorders>
          <w:top w:val="double" w:sz="6" w:space="0" w:color="278F85" w:themeColor="accent1" w:themeTint="BF"/>
          <w:left w:val="single" w:sz="8" w:space="0" w:color="278F85" w:themeColor="accent1" w:themeTint="BF"/>
          <w:bottom w:val="single" w:sz="8" w:space="0" w:color="278F85" w:themeColor="accent1" w:themeTint="BF"/>
          <w:right w:val="single" w:sz="8" w:space="0" w:color="278F85" w:themeColor="accent1" w:themeTint="BF"/>
          <w:insideH w:val="nil"/>
          <w:insideV w:val="nil"/>
        </w:tcBorders>
      </w:tcPr>
    </w:tblStylePr>
    <w:tblStylePr w:type="firstCol">
      <w:rPr>
        <w:b/>
        <w:bCs/>
      </w:rPr>
    </w:tblStylePr>
    <w:tblStylePr w:type="lastCol">
      <w:rPr>
        <w:b/>
        <w:bCs/>
      </w:rPr>
    </w:tblStylePr>
    <w:tblStylePr w:type="band1Vert">
      <w:tblPr/>
      <w:tcPr>
        <w:shd w:val="clear" w:color="auto" w:fill="AAE7E1" w:themeFill="accent1" w:themeFillTint="3F"/>
      </w:tcPr>
    </w:tblStylePr>
    <w:tblStylePr w:type="band1Horz">
      <w:tblPr/>
      <w:tcPr>
        <w:tcBorders>
          <w:insideH w:val="nil"/>
          <w:insideV w:val="nil"/>
        </w:tcBorders>
        <w:shd w:val="clear" w:color="auto" w:fill="AAE7E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single" w:sz="8" w:space="0" w:color="00EEA1" w:themeColor="accent2" w:themeTint="BF"/>
      </w:tblBorders>
    </w:tblPr>
    <w:tblStylePr w:type="firstRow">
      <w:pPr>
        <w:spacing w:before="0" w:after="0" w:line="240" w:lineRule="auto"/>
      </w:pPr>
      <w:rPr>
        <w:b/>
        <w:bCs/>
        <w:color w:val="FFFFFF" w:themeColor="background1"/>
      </w:rPr>
      <w:tblPr/>
      <w:tcPr>
        <w:tcBorders>
          <w:top w:val="single" w:sz="8"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nil"/>
          <w:insideV w:val="nil"/>
        </w:tcBorders>
        <w:shd w:val="clear" w:color="auto" w:fill="009364" w:themeFill="accent2"/>
      </w:tcPr>
    </w:tblStylePr>
    <w:tblStylePr w:type="lastRow">
      <w:pPr>
        <w:spacing w:before="0" w:after="0" w:line="240" w:lineRule="auto"/>
      </w:pPr>
      <w:rPr>
        <w:b/>
        <w:bCs/>
      </w:rPr>
      <w:tblPr/>
      <w:tcPr>
        <w:tcBorders>
          <w:top w:val="double" w:sz="6" w:space="0" w:color="00EEA1" w:themeColor="accent2" w:themeTint="BF"/>
          <w:left w:val="single" w:sz="8" w:space="0" w:color="00EEA1" w:themeColor="accent2" w:themeTint="BF"/>
          <w:bottom w:val="single" w:sz="8" w:space="0" w:color="00EEA1" w:themeColor="accent2" w:themeTint="BF"/>
          <w:right w:val="single" w:sz="8" w:space="0" w:color="00EEA1" w:themeColor="accent2" w:themeTint="BF"/>
          <w:insideH w:val="nil"/>
          <w:insideV w:val="nil"/>
        </w:tcBorders>
      </w:tcPr>
    </w:tblStylePr>
    <w:tblStylePr w:type="firstCol">
      <w:rPr>
        <w:b/>
        <w:bCs/>
      </w:rPr>
    </w:tblStylePr>
    <w:tblStylePr w:type="lastCol">
      <w:rPr>
        <w:b/>
        <w:bCs/>
      </w:rPr>
    </w:tblStylePr>
    <w:tblStylePr w:type="band1Vert">
      <w:tblPr/>
      <w:tcPr>
        <w:shd w:val="clear" w:color="auto" w:fill="A5FFE2" w:themeFill="accent2" w:themeFillTint="3F"/>
      </w:tcPr>
    </w:tblStylePr>
    <w:tblStylePr w:type="band1Horz">
      <w:tblPr/>
      <w:tcPr>
        <w:tcBorders>
          <w:insideH w:val="nil"/>
          <w:insideV w:val="nil"/>
        </w:tcBorders>
        <w:shd w:val="clear" w:color="auto" w:fill="A5FFE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single" w:sz="8" w:space="0" w:color="F8E88B" w:themeColor="accent3" w:themeTint="BF"/>
      </w:tblBorders>
    </w:tblPr>
    <w:tblStylePr w:type="firstRow">
      <w:pPr>
        <w:spacing w:before="0" w:after="0" w:line="240" w:lineRule="auto"/>
      </w:pPr>
      <w:rPr>
        <w:b/>
        <w:bCs/>
        <w:color w:val="FFFFFF" w:themeColor="background1"/>
      </w:rPr>
      <w:tblPr/>
      <w:tcPr>
        <w:tcBorders>
          <w:top w:val="single" w:sz="8"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nil"/>
          <w:insideV w:val="nil"/>
        </w:tcBorders>
        <w:shd w:val="clear" w:color="auto" w:fill="F6E265" w:themeFill="accent3"/>
      </w:tcPr>
    </w:tblStylePr>
    <w:tblStylePr w:type="lastRow">
      <w:pPr>
        <w:spacing w:before="0" w:after="0" w:line="240" w:lineRule="auto"/>
      </w:pPr>
      <w:rPr>
        <w:b/>
        <w:bCs/>
      </w:rPr>
      <w:tblPr/>
      <w:tcPr>
        <w:tcBorders>
          <w:top w:val="double" w:sz="6" w:space="0" w:color="F8E88B" w:themeColor="accent3" w:themeTint="BF"/>
          <w:left w:val="single" w:sz="8" w:space="0" w:color="F8E88B" w:themeColor="accent3" w:themeTint="BF"/>
          <w:bottom w:val="single" w:sz="8" w:space="0" w:color="F8E88B" w:themeColor="accent3" w:themeTint="BF"/>
          <w:right w:val="single" w:sz="8" w:space="0" w:color="F8E88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7D8" w:themeFill="accent3" w:themeFillTint="3F"/>
      </w:tcPr>
    </w:tblStylePr>
    <w:tblStylePr w:type="band1Horz">
      <w:tblPr/>
      <w:tcPr>
        <w:tcBorders>
          <w:insideH w:val="nil"/>
          <w:insideV w:val="nil"/>
        </w:tcBorders>
        <w:shd w:val="clear" w:color="auto" w:fill="FCF7D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single" w:sz="8" w:space="0" w:color="FFD499" w:themeColor="accent4" w:themeTint="BF"/>
      </w:tblBorders>
    </w:tblPr>
    <w:tblStylePr w:type="firstRow">
      <w:pPr>
        <w:spacing w:before="0" w:after="0" w:line="240" w:lineRule="auto"/>
      </w:pPr>
      <w:rPr>
        <w:b/>
        <w:bCs/>
        <w:color w:val="FFFFFF" w:themeColor="background1"/>
      </w:rPr>
      <w:tblPr/>
      <w:tcPr>
        <w:tcBorders>
          <w:top w:val="single" w:sz="8"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nil"/>
          <w:insideV w:val="nil"/>
        </w:tcBorders>
        <w:shd w:val="clear" w:color="auto" w:fill="FFC677" w:themeFill="accent4"/>
      </w:tcPr>
    </w:tblStylePr>
    <w:tblStylePr w:type="lastRow">
      <w:pPr>
        <w:spacing w:before="0" w:after="0" w:line="240" w:lineRule="auto"/>
      </w:pPr>
      <w:rPr>
        <w:b/>
        <w:bCs/>
      </w:rPr>
      <w:tblPr/>
      <w:tcPr>
        <w:tcBorders>
          <w:top w:val="double" w:sz="6" w:space="0" w:color="FFD499" w:themeColor="accent4" w:themeTint="BF"/>
          <w:left w:val="single" w:sz="8" w:space="0" w:color="FFD499" w:themeColor="accent4" w:themeTint="BF"/>
          <w:bottom w:val="single" w:sz="8" w:space="0" w:color="FFD499" w:themeColor="accent4" w:themeTint="BF"/>
          <w:right w:val="single" w:sz="8" w:space="0" w:color="FFD49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0DD" w:themeFill="accent4" w:themeFillTint="3F"/>
      </w:tcPr>
    </w:tblStylePr>
    <w:tblStylePr w:type="band1Horz">
      <w:tblPr/>
      <w:tcPr>
        <w:tcBorders>
          <w:insideH w:val="nil"/>
          <w:insideV w:val="nil"/>
        </w:tcBorders>
        <w:shd w:val="clear" w:color="auto" w:fill="FFF0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single" w:sz="8" w:space="0" w:color="FF9A66" w:themeColor="accent5" w:themeTint="BF"/>
      </w:tblBorders>
    </w:tblPr>
    <w:tblStylePr w:type="firstRow">
      <w:pPr>
        <w:spacing w:before="0" w:after="0" w:line="240" w:lineRule="auto"/>
      </w:pPr>
      <w:rPr>
        <w:b/>
        <w:bCs/>
        <w:color w:val="FFFFFF" w:themeColor="background1"/>
      </w:rPr>
      <w:tblPr/>
      <w:tcPr>
        <w:tcBorders>
          <w:top w:val="single" w:sz="8"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nil"/>
          <w:insideV w:val="nil"/>
        </w:tcBorders>
        <w:shd w:val="clear" w:color="auto" w:fill="FF7A34" w:themeFill="accent5"/>
      </w:tcPr>
    </w:tblStylePr>
    <w:tblStylePr w:type="lastRow">
      <w:pPr>
        <w:spacing w:before="0" w:after="0" w:line="240" w:lineRule="auto"/>
      </w:pPr>
      <w:rPr>
        <w:b/>
        <w:bCs/>
      </w:rPr>
      <w:tblPr/>
      <w:tcPr>
        <w:tcBorders>
          <w:top w:val="double" w:sz="6" w:space="0" w:color="FF9A66" w:themeColor="accent5" w:themeTint="BF"/>
          <w:left w:val="single" w:sz="8" w:space="0" w:color="FF9A66" w:themeColor="accent5" w:themeTint="BF"/>
          <w:bottom w:val="single" w:sz="8" w:space="0" w:color="FF9A66" w:themeColor="accent5" w:themeTint="BF"/>
          <w:right w:val="single" w:sz="8" w:space="0" w:color="FF9A6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DCC" w:themeFill="accent5" w:themeFillTint="3F"/>
      </w:tcPr>
    </w:tblStylePr>
    <w:tblStylePr w:type="band1Horz">
      <w:tblPr/>
      <w:tcPr>
        <w:tcBorders>
          <w:insideH w:val="nil"/>
          <w:insideV w:val="nil"/>
        </w:tcBorders>
        <w:shd w:val="clear" w:color="auto" w:fill="FFDDC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single" w:sz="8" w:space="0" w:color="F36F7A" w:themeColor="accent6" w:themeTint="BF"/>
      </w:tblBorders>
    </w:tblPr>
    <w:tblStylePr w:type="firstRow">
      <w:pPr>
        <w:spacing w:before="0" w:after="0" w:line="240" w:lineRule="auto"/>
      </w:pPr>
      <w:rPr>
        <w:b/>
        <w:bCs/>
        <w:color w:val="FFFFFF" w:themeColor="background1"/>
      </w:rPr>
      <w:tblPr/>
      <w:tcPr>
        <w:tcBorders>
          <w:top w:val="single" w:sz="8"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nil"/>
          <w:insideV w:val="nil"/>
        </w:tcBorders>
        <w:shd w:val="clear" w:color="auto" w:fill="F0404F" w:themeFill="accent6"/>
      </w:tcPr>
    </w:tblStylePr>
    <w:tblStylePr w:type="lastRow">
      <w:pPr>
        <w:spacing w:before="0" w:after="0" w:line="240" w:lineRule="auto"/>
      </w:pPr>
      <w:rPr>
        <w:b/>
        <w:bCs/>
      </w:rPr>
      <w:tblPr/>
      <w:tcPr>
        <w:tcBorders>
          <w:top w:val="double" w:sz="6" w:space="0" w:color="F36F7A" w:themeColor="accent6" w:themeTint="BF"/>
          <w:left w:val="single" w:sz="8" w:space="0" w:color="F36F7A" w:themeColor="accent6" w:themeTint="BF"/>
          <w:bottom w:val="single" w:sz="8" w:space="0" w:color="F36F7A" w:themeColor="accent6" w:themeTint="BF"/>
          <w:right w:val="single" w:sz="8" w:space="0" w:color="F36F7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CFD3" w:themeFill="accent6" w:themeFillTint="3F"/>
      </w:tcPr>
    </w:tblStylePr>
    <w:tblStylePr w:type="band1Horz">
      <w:tblPr/>
      <w:tcPr>
        <w:tcBorders>
          <w:insideH w:val="nil"/>
          <w:insideV w:val="nil"/>
        </w:tcBorders>
        <w:shd w:val="clear" w:color="auto" w:fill="FBCF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03A3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03A36" w:themeFill="accent1"/>
      </w:tcPr>
    </w:tblStylePr>
    <w:tblStylePr w:type="lastCol">
      <w:rPr>
        <w:b/>
        <w:bCs/>
        <w:color w:val="FFFFFF" w:themeColor="background1"/>
      </w:rPr>
      <w:tblPr/>
      <w:tcPr>
        <w:tcBorders>
          <w:left w:val="nil"/>
          <w:right w:val="nil"/>
          <w:insideH w:val="nil"/>
          <w:insideV w:val="nil"/>
        </w:tcBorders>
        <w:shd w:val="clear" w:color="auto" w:fill="103A3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36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364" w:themeFill="accent2"/>
      </w:tcPr>
    </w:tblStylePr>
    <w:tblStylePr w:type="lastCol">
      <w:rPr>
        <w:b/>
        <w:bCs/>
        <w:color w:val="FFFFFF" w:themeColor="background1"/>
      </w:rPr>
      <w:tblPr/>
      <w:tcPr>
        <w:tcBorders>
          <w:left w:val="nil"/>
          <w:right w:val="nil"/>
          <w:insideH w:val="nil"/>
          <w:insideV w:val="nil"/>
        </w:tcBorders>
        <w:shd w:val="clear" w:color="auto" w:fill="00936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26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265" w:themeFill="accent3"/>
      </w:tcPr>
    </w:tblStylePr>
    <w:tblStylePr w:type="lastCol">
      <w:rPr>
        <w:b/>
        <w:bCs/>
        <w:color w:val="FFFFFF" w:themeColor="background1"/>
      </w:rPr>
      <w:tblPr/>
      <w:tcPr>
        <w:tcBorders>
          <w:left w:val="nil"/>
          <w:right w:val="nil"/>
          <w:insideH w:val="nil"/>
          <w:insideV w:val="nil"/>
        </w:tcBorders>
        <w:shd w:val="clear" w:color="auto" w:fill="F6E26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6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677" w:themeFill="accent4"/>
      </w:tcPr>
    </w:tblStylePr>
    <w:tblStylePr w:type="lastCol">
      <w:rPr>
        <w:b/>
        <w:bCs/>
        <w:color w:val="FFFFFF" w:themeColor="background1"/>
      </w:rPr>
      <w:tblPr/>
      <w:tcPr>
        <w:tcBorders>
          <w:left w:val="nil"/>
          <w:right w:val="nil"/>
          <w:insideH w:val="nil"/>
          <w:insideV w:val="nil"/>
        </w:tcBorders>
        <w:shd w:val="clear" w:color="auto" w:fill="FFC6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A3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A34" w:themeFill="accent5"/>
      </w:tcPr>
    </w:tblStylePr>
    <w:tblStylePr w:type="lastCol">
      <w:rPr>
        <w:b/>
        <w:bCs/>
        <w:color w:val="FFFFFF" w:themeColor="background1"/>
      </w:rPr>
      <w:tblPr/>
      <w:tcPr>
        <w:tcBorders>
          <w:left w:val="nil"/>
          <w:right w:val="nil"/>
          <w:insideH w:val="nil"/>
          <w:insideV w:val="nil"/>
        </w:tcBorders>
        <w:shd w:val="clear" w:color="auto" w:fill="FF7A3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04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04F" w:themeFill="accent6"/>
      </w:tcPr>
    </w:tblStylePr>
    <w:tblStylePr w:type="lastCol">
      <w:rPr>
        <w:b/>
        <w:bCs/>
        <w:color w:val="FFFFFF" w:themeColor="background1"/>
      </w:rPr>
      <w:tblPr/>
      <w:tcPr>
        <w:tcBorders>
          <w:left w:val="nil"/>
          <w:right w:val="nil"/>
          <w:insideH w:val="nil"/>
          <w:insideV w:val="nil"/>
        </w:tcBorders>
        <w:shd w:val="clear" w:color="auto" w:fill="F0404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oteHeading">
    <w:name w:val="Note Heading"/>
    <w:basedOn w:val="Normal"/>
    <w:next w:val="Normal"/>
    <w:link w:val="NoteHeadingChar"/>
    <w:qFormat/>
    <w:rsid w:val="00811E79"/>
    <w:pPr>
      <w:spacing w:before="100" w:after="100" w:line="220" w:lineRule="atLeast"/>
    </w:pPr>
    <w:rPr>
      <w:sz w:val="16"/>
    </w:rPr>
  </w:style>
  <w:style w:type="character" w:customStyle="1" w:styleId="NoteHeadingChar">
    <w:name w:val="Note Heading Char"/>
    <w:basedOn w:val="DefaultParagraphFont"/>
    <w:link w:val="NoteHeading"/>
    <w:rsid w:val="00811E79"/>
    <w:rPr>
      <w:sz w:val="16"/>
    </w:rPr>
  </w:style>
  <w:style w:type="paragraph" w:styleId="PlainText">
    <w:name w:val="Plain Text"/>
    <w:basedOn w:val="Normal"/>
    <w:link w:val="PlainTextChar"/>
    <w:uiPriority w:val="99"/>
    <w:semiHidden/>
    <w:unhideWhenUsed/>
    <w:rsid w:val="0058629F"/>
    <w:pPr>
      <w:spacing w:line="240" w:lineRule="auto"/>
    </w:pPr>
    <w:rPr>
      <w:rFonts w:ascii="Calibri" w:hAnsi="Calibri"/>
      <w:color w:val="auto"/>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D96685"/>
    <w:rPr>
      <w:sz w:val="16"/>
    </w:rPr>
  </w:style>
  <w:style w:type="character" w:customStyle="1" w:styleId="TOC1Char">
    <w:name w:val="TOC 1 Char"/>
    <w:basedOn w:val="DefaultParagraphFont"/>
    <w:link w:val="TOC1"/>
    <w:uiPriority w:val="39"/>
    <w:rsid w:val="007B6704"/>
    <w:rPr>
      <w:b/>
      <w:noProof/>
      <w:sz w:val="24"/>
    </w:rPr>
  </w:style>
  <w:style w:type="paragraph" w:styleId="EndnoteText">
    <w:name w:val="endnote text"/>
    <w:basedOn w:val="Normal"/>
    <w:link w:val="EndnoteTextChar"/>
    <w:semiHidden/>
    <w:unhideWhenUsed/>
    <w:rsid w:val="00D96685"/>
    <w:pPr>
      <w:spacing w:before="40" w:after="0" w:line="220" w:lineRule="atLeast"/>
    </w:pPr>
    <w:rPr>
      <w:sz w:val="16"/>
    </w:rPr>
  </w:style>
  <w:style w:type="paragraph" w:styleId="ListContinue4">
    <w:name w:val="List Continue 4"/>
    <w:basedOn w:val="Normal"/>
    <w:semiHidden/>
    <w:rsid w:val="0058629F"/>
    <w:pPr>
      <w:spacing w:before="100" w:after="100"/>
      <w:ind w:left="1814"/>
    </w:pPr>
  </w:style>
  <w:style w:type="paragraph" w:styleId="ListContinue5">
    <w:name w:val="List Continue 5"/>
    <w:basedOn w:val="Normal"/>
    <w:semiHidden/>
    <w:rsid w:val="0058629F"/>
    <w:pPr>
      <w:spacing w:before="100" w:after="100"/>
      <w:ind w:left="2268"/>
    </w:pPr>
  </w:style>
  <w:style w:type="numbering" w:customStyle="1" w:styleId="LstBullets">
    <w:name w:val="Lst_Bullets"/>
    <w:uiPriority w:val="99"/>
    <w:rsid w:val="00B2011B"/>
    <w:pPr>
      <w:numPr>
        <w:numId w:val="19"/>
      </w:numPr>
    </w:pPr>
  </w:style>
  <w:style w:type="paragraph" w:styleId="List">
    <w:name w:val="List"/>
    <w:basedOn w:val="Normal"/>
    <w:rsid w:val="0011224F"/>
    <w:pPr>
      <w:numPr>
        <w:numId w:val="21"/>
      </w:numPr>
    </w:pPr>
  </w:style>
  <w:style w:type="paragraph" w:styleId="List2">
    <w:name w:val="List 2"/>
    <w:basedOn w:val="Normal"/>
    <w:rsid w:val="0011224F"/>
    <w:pPr>
      <w:numPr>
        <w:ilvl w:val="1"/>
        <w:numId w:val="21"/>
      </w:numPr>
      <w:ind w:left="964" w:hanging="567"/>
    </w:pPr>
  </w:style>
  <w:style w:type="paragraph" w:customStyle="1" w:styleId="DisclaimerTextinFrame12pt">
    <w:name w:val="Disclaimer Text in Frame 12pt"/>
    <w:basedOn w:val="DisclaimerTextinFrame"/>
    <w:uiPriority w:val="31"/>
    <w:rsid w:val="00625F4C"/>
    <w:pPr>
      <w:framePr w:wrap="around"/>
      <w:spacing w:before="190"/>
    </w:pPr>
    <w:rPr>
      <w:sz w:val="24"/>
    </w:rPr>
  </w:style>
  <w:style w:type="character" w:styleId="UnresolvedMention">
    <w:name w:val="Unresolved Mention"/>
    <w:basedOn w:val="DefaultParagraphFont"/>
    <w:uiPriority w:val="99"/>
    <w:semiHidden/>
    <w:unhideWhenUsed/>
    <w:rsid w:val="00625F4C"/>
    <w:rPr>
      <w:color w:val="605E5C"/>
      <w:shd w:val="clear" w:color="auto" w:fill="E1DFDD"/>
    </w:rPr>
  </w:style>
  <w:style w:type="paragraph" w:customStyle="1" w:styleId="Source">
    <w:name w:val="Source"/>
    <w:basedOn w:val="Normal"/>
    <w:next w:val="Normal"/>
    <w:qFormat/>
    <w:rsid w:val="0028513C"/>
    <w:pPr>
      <w:numPr>
        <w:numId w:val="16"/>
      </w:numPr>
      <w:spacing w:before="120" w:after="360" w:line="220" w:lineRule="atLeast"/>
    </w:pPr>
    <w:rPr>
      <w:sz w:val="16"/>
    </w:rPr>
  </w:style>
  <w:style w:type="character" w:customStyle="1" w:styleId="EndnoteTextChar">
    <w:name w:val="Endnote Text Char"/>
    <w:basedOn w:val="DefaultParagraphFont"/>
    <w:link w:val="EndnoteText"/>
    <w:semiHidden/>
    <w:rsid w:val="00D96685"/>
    <w:rPr>
      <w:sz w:val="16"/>
    </w:rPr>
  </w:style>
  <w:style w:type="character" w:styleId="EndnoteReference">
    <w:name w:val="endnote reference"/>
    <w:basedOn w:val="DefaultParagraphFont"/>
    <w:semiHidden/>
    <w:unhideWhenUsed/>
    <w:rsid w:val="00E36C40"/>
    <w:rPr>
      <w:vertAlign w:val="superscript"/>
    </w:rPr>
  </w:style>
  <w:style w:type="paragraph" w:customStyle="1" w:styleId="NotesNumbered">
    <w:name w:val="Notes Numbered"/>
    <w:basedOn w:val="NoteHeading"/>
    <w:qFormat/>
    <w:rsid w:val="00811E79"/>
    <w:pPr>
      <w:numPr>
        <w:numId w:val="15"/>
      </w:numPr>
      <w:contextualSpacing/>
    </w:pPr>
  </w:style>
  <w:style w:type="paragraph" w:customStyle="1" w:styleId="Introduction">
    <w:name w:val="Introduction"/>
    <w:basedOn w:val="Normal"/>
    <w:qFormat/>
    <w:rsid w:val="000115DE"/>
    <w:pPr>
      <w:spacing w:line="320" w:lineRule="atLeast"/>
    </w:pPr>
    <w:rPr>
      <w:sz w:val="26"/>
    </w:rPr>
  </w:style>
  <w:style w:type="paragraph" w:styleId="Quote">
    <w:name w:val="Quote"/>
    <w:basedOn w:val="Normal"/>
    <w:next w:val="Normal"/>
    <w:link w:val="QuoteChar"/>
    <w:rsid w:val="0028513C"/>
    <w:pPr>
      <w:spacing w:before="240" w:after="240" w:line="320" w:lineRule="atLeast"/>
    </w:pPr>
    <w:rPr>
      <w:iCs/>
      <w:color w:val="00855B"/>
      <w:sz w:val="26"/>
    </w:rPr>
  </w:style>
  <w:style w:type="character" w:customStyle="1" w:styleId="QuoteChar">
    <w:name w:val="Quote Char"/>
    <w:basedOn w:val="DefaultParagraphFont"/>
    <w:link w:val="Quote"/>
    <w:rsid w:val="0028513C"/>
    <w:rPr>
      <w:iCs/>
      <w:color w:val="00855B"/>
      <w:sz w:val="26"/>
    </w:rPr>
  </w:style>
  <w:style w:type="table" w:styleId="TableGrid">
    <w:name w:val="Table Grid"/>
    <w:basedOn w:val="TableNormal"/>
    <w:rsid w:val="00397986"/>
    <w:pPr>
      <w:spacing w:before="110" w:after="11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Pr>
    <w:tblStylePr w:type="firstRow">
      <w:rPr>
        <w:b/>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FFFFFF" w:themeColor="background1"/>
          <w:tl2br w:val="nil"/>
          <w:tr2bl w:val="nil"/>
        </w:tcBorders>
        <w:shd w:val="clear" w:color="auto" w:fill="001032" w:themeFill="text2"/>
      </w:tcPr>
    </w:tblStylePr>
  </w:style>
  <w:style w:type="paragraph" w:styleId="ListNumber4">
    <w:name w:val="List Number 4"/>
    <w:basedOn w:val="ListNumber3"/>
    <w:uiPriority w:val="99"/>
    <w:unhideWhenUsed/>
    <w:rsid w:val="00AB6CB2"/>
    <w:pPr>
      <w:numPr>
        <w:numId w:val="48"/>
      </w:numPr>
    </w:pPr>
  </w:style>
  <w:style w:type="paragraph" w:styleId="ListBullet4">
    <w:name w:val="List Bullet 4"/>
    <w:basedOn w:val="ListBullet3"/>
    <w:unhideWhenUsed/>
    <w:rsid w:val="00B30BDC"/>
    <w:pPr>
      <w:contextualSpacing/>
    </w:pPr>
  </w:style>
  <w:style w:type="paragraph" w:styleId="TOC3">
    <w:name w:val="toc 3"/>
    <w:basedOn w:val="Normal"/>
    <w:next w:val="Normal"/>
    <w:autoRedefine/>
    <w:uiPriority w:val="39"/>
    <w:rsid w:val="007B6704"/>
    <w:pPr>
      <w:tabs>
        <w:tab w:val="right" w:pos="9582"/>
      </w:tabs>
      <w:spacing w:before="240" w:after="240"/>
      <w:ind w:left="567" w:right="567"/>
    </w:pPr>
    <w:rPr>
      <w:sz w:val="24"/>
    </w:rPr>
  </w:style>
  <w:style w:type="paragraph" w:styleId="Date">
    <w:name w:val="Date"/>
    <w:basedOn w:val="Normal"/>
    <w:next w:val="Normal"/>
    <w:link w:val="DateChar"/>
    <w:uiPriority w:val="31"/>
    <w:unhideWhenUsed/>
    <w:rsid w:val="0005768A"/>
    <w:pPr>
      <w:spacing w:before="0" w:after="0" w:line="336" w:lineRule="atLeast"/>
    </w:pPr>
    <w:rPr>
      <w:sz w:val="28"/>
    </w:rPr>
  </w:style>
  <w:style w:type="character" w:customStyle="1" w:styleId="DateChar">
    <w:name w:val="Date Char"/>
    <w:basedOn w:val="DefaultParagraphFont"/>
    <w:link w:val="Date"/>
    <w:uiPriority w:val="31"/>
    <w:rsid w:val="000F09E7"/>
    <w:rPr>
      <w:sz w:val="28"/>
    </w:rPr>
  </w:style>
  <w:style w:type="paragraph" w:styleId="List3">
    <w:name w:val="List 3"/>
    <w:basedOn w:val="Normal"/>
    <w:rsid w:val="0011224F"/>
    <w:pPr>
      <w:numPr>
        <w:ilvl w:val="2"/>
        <w:numId w:val="21"/>
      </w:numPr>
      <w:ind w:left="1701" w:hanging="737"/>
    </w:pPr>
  </w:style>
  <w:style w:type="paragraph" w:customStyle="1" w:styleId="ListAlpha">
    <w:name w:val="List Alpha"/>
    <w:basedOn w:val="Normal"/>
    <w:rsid w:val="0021154B"/>
    <w:pPr>
      <w:numPr>
        <w:numId w:val="25"/>
      </w:numPr>
    </w:pPr>
  </w:style>
  <w:style w:type="numbering" w:customStyle="1" w:styleId="LstLegalNumbering">
    <w:name w:val="Lst_LegalNumbering"/>
    <w:uiPriority w:val="99"/>
    <w:rsid w:val="0011224F"/>
    <w:pPr>
      <w:numPr>
        <w:numId w:val="22"/>
      </w:numPr>
    </w:pPr>
  </w:style>
  <w:style w:type="numbering" w:customStyle="1" w:styleId="LstAlpha">
    <w:name w:val="Lst_Alpha"/>
    <w:uiPriority w:val="99"/>
    <w:rsid w:val="0021154B"/>
    <w:pPr>
      <w:numPr>
        <w:numId w:val="24"/>
      </w:numPr>
    </w:pPr>
  </w:style>
  <w:style w:type="numbering" w:customStyle="1" w:styleId="LstHeadings">
    <w:name w:val="Lst_Headings"/>
    <w:uiPriority w:val="99"/>
    <w:rsid w:val="00E72AE2"/>
    <w:pPr>
      <w:numPr>
        <w:numId w:val="26"/>
      </w:numPr>
    </w:pPr>
  </w:style>
  <w:style w:type="paragraph" w:customStyle="1" w:styleId="FooterLineBelow">
    <w:name w:val="Footer Line Below"/>
    <w:basedOn w:val="Footer"/>
    <w:uiPriority w:val="31"/>
    <w:rsid w:val="00026F37"/>
    <w:pPr>
      <w:pBdr>
        <w:bottom w:val="single" w:sz="4" w:space="1" w:color="000000" w:themeColor="text1"/>
      </w:pBdr>
      <w:spacing w:after="180"/>
    </w:pPr>
    <w:rPr>
      <w:bCs/>
      <w:noProof/>
    </w:rPr>
  </w:style>
  <w:style w:type="paragraph" w:styleId="List4">
    <w:name w:val="List 4"/>
    <w:basedOn w:val="Normal"/>
    <w:rsid w:val="0011224F"/>
    <w:pPr>
      <w:numPr>
        <w:ilvl w:val="3"/>
        <w:numId w:val="21"/>
      </w:numPr>
      <w:ind w:left="2665" w:hanging="964"/>
    </w:pPr>
  </w:style>
  <w:style w:type="paragraph" w:customStyle="1" w:styleId="Blockquote1">
    <w:name w:val="Block quote 1"/>
    <w:basedOn w:val="BlockText"/>
    <w:link w:val="Blockquote1Char"/>
    <w:qFormat/>
    <w:rsid w:val="008D3CCF"/>
    <w:pPr>
      <w:ind w:left="567" w:right="567"/>
    </w:pPr>
    <w:rPr>
      <w:i/>
    </w:rPr>
  </w:style>
  <w:style w:type="character" w:customStyle="1" w:styleId="BlockTextChar">
    <w:name w:val="Block Text Char"/>
    <w:basedOn w:val="DefaultParagraphFont"/>
    <w:link w:val="BlockText"/>
    <w:semiHidden/>
    <w:rsid w:val="00AC71F2"/>
    <w:rPr>
      <w:rFonts w:eastAsiaTheme="minorEastAsia" w:cstheme="minorBidi"/>
      <w:iCs/>
    </w:rPr>
  </w:style>
  <w:style w:type="character" w:customStyle="1" w:styleId="Blockquote1Char">
    <w:name w:val="Block quote 1 Char"/>
    <w:basedOn w:val="BlockTextChar"/>
    <w:link w:val="Blockquote1"/>
    <w:rsid w:val="008D3CCF"/>
    <w:rPr>
      <w:rFonts w:eastAsiaTheme="minorEastAsia" w:cstheme="minorBidi"/>
      <w:i/>
      <w:iCs/>
      <w:sz w:val="22"/>
    </w:rPr>
  </w:style>
  <w:style w:type="paragraph" w:styleId="ListParagraph">
    <w:name w:val="List Paragraph"/>
    <w:basedOn w:val="Normal"/>
    <w:link w:val="ListParagraphChar"/>
    <w:uiPriority w:val="34"/>
    <w:qFormat/>
    <w:rsid w:val="009E2E46"/>
    <w:pPr>
      <w:ind w:left="720"/>
      <w:contextualSpacing/>
    </w:pPr>
  </w:style>
  <w:style w:type="paragraph" w:styleId="NormalWeb">
    <w:name w:val="Normal (Web)"/>
    <w:basedOn w:val="Normal"/>
    <w:uiPriority w:val="99"/>
    <w:semiHidden/>
    <w:unhideWhenUsed/>
    <w:rsid w:val="00774153"/>
    <w:pPr>
      <w:spacing w:before="100" w:beforeAutospacing="1" w:after="100" w:afterAutospacing="1" w:line="240" w:lineRule="auto"/>
    </w:pPr>
    <w:rPr>
      <w:rFonts w:ascii="Times New Roman" w:hAnsi="Times New Roman"/>
      <w:color w:val="auto"/>
      <w:sz w:val="24"/>
      <w:szCs w:val="24"/>
    </w:rPr>
  </w:style>
  <w:style w:type="character" w:customStyle="1" w:styleId="ListParagraphChar">
    <w:name w:val="List Paragraph Char"/>
    <w:basedOn w:val="DefaultParagraphFont"/>
    <w:link w:val="ListParagraph"/>
    <w:uiPriority w:val="34"/>
    <w:rsid w:val="00055CAD"/>
    <w:rPr>
      <w:sz w:val="22"/>
    </w:rPr>
  </w:style>
  <w:style w:type="character" w:styleId="Mention">
    <w:name w:val="Mention"/>
    <w:basedOn w:val="DefaultParagraphFont"/>
    <w:uiPriority w:val="99"/>
    <w:unhideWhenUsed/>
    <w:rsid w:val="00884A22"/>
    <w:rPr>
      <w:color w:val="2B579A"/>
      <w:shd w:val="clear" w:color="auto" w:fill="E1DFDD"/>
    </w:rPr>
  </w:style>
  <w:style w:type="paragraph" w:customStyle="1" w:styleId="EndNoteBibliographyTitle">
    <w:name w:val="EndNote Bibliography Title"/>
    <w:basedOn w:val="Normal"/>
    <w:link w:val="EndNoteBibliographyTitleChar"/>
    <w:rsid w:val="00380315"/>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380315"/>
    <w:rPr>
      <w:rFonts w:ascii="Arial" w:hAnsi="Arial" w:cs="Arial"/>
      <w:noProof/>
      <w:sz w:val="22"/>
    </w:rPr>
  </w:style>
  <w:style w:type="paragraph" w:customStyle="1" w:styleId="EndNoteBibliography">
    <w:name w:val="EndNote Bibliography"/>
    <w:basedOn w:val="Normal"/>
    <w:link w:val="EndNoteBibliographyChar"/>
    <w:rsid w:val="00380315"/>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380315"/>
    <w:rPr>
      <w:rFonts w:ascii="Arial" w:hAnsi="Arial" w:cs="Arial"/>
      <w:noProof/>
      <w:sz w:val="22"/>
    </w:rPr>
  </w:style>
  <w:style w:type="character" w:styleId="BookTitle">
    <w:name w:val="Book Title"/>
    <w:basedOn w:val="DefaultParagraphFont"/>
    <w:uiPriority w:val="33"/>
    <w:rsid w:val="00D621EB"/>
    <w:rPr>
      <w:b/>
      <w:bCs/>
      <w:i/>
      <w:iCs/>
      <w:spacing w:val="5"/>
    </w:rPr>
  </w:style>
  <w:style w:type="character" w:styleId="Emphasis">
    <w:name w:val="Emphasis"/>
    <w:basedOn w:val="DefaultParagraphFont"/>
    <w:rsid w:val="00D621EB"/>
    <w:rPr>
      <w:i/>
      <w:iCs/>
    </w:rPr>
  </w:style>
  <w:style w:type="character" w:styleId="IntenseEmphasis">
    <w:name w:val="Intense Emphasis"/>
    <w:basedOn w:val="DefaultParagraphFont"/>
    <w:uiPriority w:val="21"/>
    <w:rsid w:val="00D621EB"/>
    <w:rPr>
      <w:i/>
      <w:iCs/>
      <w:color w:val="103A36" w:themeColor="accent1"/>
    </w:rPr>
  </w:style>
  <w:style w:type="paragraph" w:styleId="IntenseQuote">
    <w:name w:val="Intense Quote"/>
    <w:basedOn w:val="Normal"/>
    <w:next w:val="Normal"/>
    <w:link w:val="IntenseQuoteChar"/>
    <w:rsid w:val="00D621EB"/>
    <w:pPr>
      <w:pBdr>
        <w:top w:val="single" w:sz="4" w:space="10" w:color="103A36" w:themeColor="accent1"/>
        <w:bottom w:val="single" w:sz="4" w:space="10" w:color="103A36" w:themeColor="accent1"/>
      </w:pBdr>
      <w:spacing w:before="360" w:after="360"/>
      <w:ind w:left="864" w:right="864"/>
      <w:jc w:val="center"/>
    </w:pPr>
    <w:rPr>
      <w:i/>
      <w:iCs/>
      <w:color w:val="103A36" w:themeColor="accent1"/>
    </w:rPr>
  </w:style>
  <w:style w:type="character" w:customStyle="1" w:styleId="IntenseQuoteChar">
    <w:name w:val="Intense Quote Char"/>
    <w:basedOn w:val="DefaultParagraphFont"/>
    <w:link w:val="IntenseQuote"/>
    <w:rsid w:val="00D621EB"/>
    <w:rPr>
      <w:i/>
      <w:iCs/>
      <w:color w:val="103A36" w:themeColor="accent1"/>
      <w:sz w:val="22"/>
    </w:rPr>
  </w:style>
  <w:style w:type="character" w:styleId="IntenseReference">
    <w:name w:val="Intense Reference"/>
    <w:basedOn w:val="DefaultParagraphFont"/>
    <w:uiPriority w:val="32"/>
    <w:rsid w:val="00D621EB"/>
    <w:rPr>
      <w:b/>
      <w:bCs/>
      <w:smallCaps/>
      <w:color w:val="103A36" w:themeColor="accent1"/>
      <w:spacing w:val="5"/>
    </w:rPr>
  </w:style>
  <w:style w:type="character" w:styleId="Strong">
    <w:name w:val="Strong"/>
    <w:basedOn w:val="DefaultParagraphFont"/>
    <w:uiPriority w:val="99"/>
    <w:rsid w:val="00D621EB"/>
    <w:rPr>
      <w:b/>
      <w:bCs/>
    </w:rPr>
  </w:style>
  <w:style w:type="character" w:styleId="SubtleEmphasis">
    <w:name w:val="Subtle Emphasis"/>
    <w:basedOn w:val="DefaultParagraphFont"/>
    <w:uiPriority w:val="19"/>
    <w:rsid w:val="00D621EB"/>
    <w:rPr>
      <w:i/>
      <w:iCs/>
      <w:color w:val="404040" w:themeColor="text1" w:themeTint="BF"/>
    </w:rPr>
  </w:style>
  <w:style w:type="character" w:styleId="SubtleReference">
    <w:name w:val="Subtle Reference"/>
    <w:basedOn w:val="DefaultParagraphFont"/>
    <w:uiPriority w:val="31"/>
    <w:rsid w:val="00D621E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creativecommons.org/licenses/by/4.0/legalcode"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creativecommons.org/licenses/by/4.0/)" TargetMode="Externa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www.abs.gov.au/statistics/classifications/australian-standard-classification-education-asced/latest-release" TargetMode="External"/><Relationship Id="rId1" Type="http://schemas.openxmlformats.org/officeDocument/2006/relationships/hyperlink" Target="https://www.atec.gov.au/sites/default/files/2026-07/Working%20Group%20on%20Higher%20Education%20Costing%20and%20Pricing%20summary%20of%20progress%20to%20date%20report.pdf" TargetMode="External"/></Relationships>
</file>

<file path=word/theme/theme1.xml><?xml version="1.0" encoding="utf-8"?>
<a:theme xmlns:a="http://schemas.openxmlformats.org/drawingml/2006/main" name="Office Theme">
  <a:themeElements>
    <a:clrScheme name="ATEC">
      <a:dk1>
        <a:srgbClr val="000000"/>
      </a:dk1>
      <a:lt1>
        <a:sysClr val="window" lastClr="FFFFFF"/>
      </a:lt1>
      <a:dk2>
        <a:srgbClr val="001032"/>
      </a:dk2>
      <a:lt2>
        <a:srgbClr val="E8E8E8"/>
      </a:lt2>
      <a:accent1>
        <a:srgbClr val="103A36"/>
      </a:accent1>
      <a:accent2>
        <a:srgbClr val="009364"/>
      </a:accent2>
      <a:accent3>
        <a:srgbClr val="F6E265"/>
      </a:accent3>
      <a:accent4>
        <a:srgbClr val="FFC677"/>
      </a:accent4>
      <a:accent5>
        <a:srgbClr val="FF7A34"/>
      </a:accent5>
      <a:accent6>
        <a:srgbClr val="F0404F"/>
      </a:accent6>
      <a:hlink>
        <a:srgbClr val="3C2CFF"/>
      </a:hlink>
      <a:folHlink>
        <a:srgbClr val="B0316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Order0 xmlns="4a9c6c2e-cc90-47c0-be42-0b97b97642c0" xsi:nil="true"/>
    <Content xmlns="4a9c6c2e-cc90-47c0-be42-0b97b97642c0" xsi:nil="true"/>
    <Comments xmlns="4a9c6c2e-cc90-47c0-be42-0b97b97642c0" xsi:nil="true"/>
    <Notes xmlns="4a9c6c2e-cc90-47c0-be42-0b97b97642c0" xsi:nil="true"/>
    <lcf76f155ced4ddcb4097134ff3c332f xmlns="4a9c6c2e-cc90-47c0-be42-0b97b97642c0">
      <Terms xmlns="http://schemas.microsoft.com/office/infopath/2007/PartnerControls"/>
    </lcf76f155ced4ddcb4097134ff3c332f>
    <TaxCatchAll xmlns="150ed607-d011-45d5-8216-b1990882b9c0" xsi:nil="true"/>
    <Note xmlns="4a9c6c2e-cc90-47c0-be42-0b97b97642c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098083483EAF54BBE19C56BE4F7D597" ma:contentTypeVersion="24" ma:contentTypeDescription="Create a new document." ma:contentTypeScope="" ma:versionID="a6254a472ae166f8b86ad77dbc7d43dd">
  <xsd:schema xmlns:xsd="http://www.w3.org/2001/XMLSchema" xmlns:xs="http://www.w3.org/2001/XMLSchema" xmlns:p="http://schemas.microsoft.com/office/2006/metadata/properties" xmlns:ns2="4a9c6c2e-cc90-47c0-be42-0b97b97642c0" xmlns:ns3="150ed607-d011-45d5-8216-b1990882b9c0" targetNamespace="http://schemas.microsoft.com/office/2006/metadata/properties" ma:root="true" ma:fieldsID="9cc6fd8e72248f5722e21b389385cda6" ns2:_="" ns3:_="">
    <xsd:import namespace="4a9c6c2e-cc90-47c0-be42-0b97b97642c0"/>
    <xsd:import namespace="150ed607-d011-45d5-8216-b1990882b9c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Notes" minOccurs="0"/>
                <xsd:element ref="ns2:MediaServiceSearchProperties" minOccurs="0"/>
                <xsd:element ref="ns2:MediaLengthInSeconds" minOccurs="0"/>
                <xsd:element ref="ns2:MediaServiceLocation" minOccurs="0"/>
                <xsd:element ref="ns2:Comments" minOccurs="0"/>
                <xsd:element ref="ns2:Content" minOccurs="0"/>
                <xsd:element ref="ns2:Order0" minOccurs="0"/>
                <xsd:element ref="ns2:No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6c2e-cc90-47c0-be42-0b97b976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Notes" ma:index="20" nillable="true" ma:displayName="Notes" ma:format="Dropdown" ma:internalName="Notes">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omments" ma:index="24" nillable="true" ma:displayName="Comments" ma:format="Dropdown" ma:internalName="Comments">
      <xsd:simpleType>
        <xsd:restriction base="dms:Note">
          <xsd:maxLength value="255"/>
        </xsd:restriction>
      </xsd:simpleType>
    </xsd:element>
    <xsd:element name="Content" ma:index="25" nillable="true" ma:displayName="Content" ma:internalName="Content">
      <xsd:simpleType>
        <xsd:restriction base="dms:Note">
          <xsd:maxLength value="255"/>
        </xsd:restriction>
      </xsd:simpleType>
    </xsd:element>
    <xsd:element name="Order0" ma:index="26" nillable="true" ma:displayName="Order" ma:format="Dropdown" ma:internalName="Order0" ma:percentage="FALSE">
      <xsd:simpleType>
        <xsd:restriction base="dms:Number"/>
      </xsd:simpleType>
    </xsd:element>
    <xsd:element name="Note" ma:index="27" nillable="true" ma:displayName="Note" ma:description="Number of Agreed Tap" ma:format="Dropdown" ma:internalName="Not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0ed607-d011-45d5-8216-b1990882b9c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8c6cb8d-386b-40f8-891a-4611800468b4}" ma:internalName="TaxCatchAll" ma:showField="CatchAllData" ma:web="150ed607-d011-45d5-8216-b1990882b9c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35ABFD-A1FC-453D-BD41-F5E5F28E8DEF}">
  <ds:schemaRefs>
    <ds:schemaRef ds:uri="http://schemas.microsoft.com/office/2006/metadata/properties"/>
    <ds:schemaRef ds:uri="http://schemas.microsoft.com/office/infopath/2007/PartnerControls"/>
    <ds:schemaRef ds:uri="4a9c6c2e-cc90-47c0-be42-0b97b97642c0"/>
    <ds:schemaRef ds:uri="150ed607-d011-45d5-8216-b1990882b9c0"/>
  </ds:schemaRefs>
</ds:datastoreItem>
</file>

<file path=customXml/itemProps3.xml><?xml version="1.0" encoding="utf-8"?>
<ds:datastoreItem xmlns:ds="http://schemas.openxmlformats.org/officeDocument/2006/customXml" ds:itemID="{275C5FD0-DB06-4B76-8DD8-38BD0E380E0C}">
  <ds:schemaRefs>
    <ds:schemaRef ds:uri="http://schemas.microsoft.com/sharepoint/v3/contenttype/forms"/>
  </ds:schemaRefs>
</ds:datastoreItem>
</file>

<file path=customXml/itemProps4.xml><?xml version="1.0" encoding="utf-8"?>
<ds:datastoreItem xmlns:ds="http://schemas.openxmlformats.org/officeDocument/2006/customXml" ds:itemID="{1102365F-D1EB-4C34-B535-056FF1DE5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6c2e-cc90-47c0-be42-0b97b97642c0"/>
    <ds:schemaRef ds:uri="150ed607-d011-45d5-8216-b1990882b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D8A4976-002C-4534-8999-A17A602D9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8399</Words>
  <Characters>47875</Characters>
  <Application>Microsoft Office Word</Application>
  <DocSecurity>0</DocSecurity>
  <Lines>398</Lines>
  <Paragraphs>112</Paragraphs>
  <ScaleCrop>false</ScaleCrop>
  <Company/>
  <LinksUpToDate>false</LinksUpToDate>
  <CharactersWithSpaces>56162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2026-10-28T04:48:00Z</dcterms:created>
  <dcterms:modified xsi:type="dcterms:W3CDTF">2026-10-28T04:52:00Z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877481-9e35-4b68-b667-876a73c6db41_Enabled">
    <vt:lpwstr>true</vt:lpwstr>
  </property>
  <property fmtid="{D5CDD505-2E9C-101B-9397-08002B2CF9AE}" pid="3" name="MSIP_Label_5f877481-9e35-4b68-b667-876a73c6db41_SetDate">
    <vt:lpwstr>2026-10-28T04:48:31Z</vt:lpwstr>
  </property>
  <property fmtid="{D5CDD505-2E9C-101B-9397-08002B2CF9AE}" pid="4" name="MSIP_Label_5f877481-9e35-4b68-b667-876a73c6db41_Method">
    <vt:lpwstr>Privileged</vt:lpwstr>
  </property>
  <property fmtid="{D5CDD505-2E9C-101B-9397-08002B2CF9AE}" pid="5" name="MSIP_Label_5f877481-9e35-4b68-b667-876a73c6db41_Name">
    <vt:lpwstr>5f877481-9e35-4b68-b667-876a73c6db41</vt:lpwstr>
  </property>
  <property fmtid="{D5CDD505-2E9C-101B-9397-08002B2CF9AE}" pid="6" name="MSIP_Label_5f877481-9e35-4b68-b667-876a73c6db41_SiteId">
    <vt:lpwstr>dd0cfd15-4558-4b12-8bad-ea26984fc417</vt:lpwstr>
  </property>
  <property fmtid="{D5CDD505-2E9C-101B-9397-08002B2CF9AE}" pid="7" name="MSIP_Label_5f877481-9e35-4b68-b667-876a73c6db41_ActionId">
    <vt:lpwstr>5adbcc72-a55c-4e1c-af9a-c64be2995717</vt:lpwstr>
  </property>
  <property fmtid="{D5CDD505-2E9C-101B-9397-08002B2CF9AE}" pid="8" name="MSIP_Label_5f877481-9e35-4b68-b667-876a73c6db41_ContentBits">
    <vt:lpwstr>0</vt:lpwstr>
  </property>
  <property fmtid="{D5CDD505-2E9C-101B-9397-08002B2CF9AE}" pid="9" name="MSIP_Label_5f877481-9e35-4b68-b667-876a73c6db41_Tag">
    <vt:lpwstr>10, 0, 1, 1</vt:lpwstr>
  </property>
  <property fmtid="{D5CDD505-2E9C-101B-9397-08002B2CF9AE}" pid="10" name="MSIP_Label_0f488380-630a-4f55-a077-a19445e3f360_ActionId">
    <vt:lpwstr>06bd9004-a909-4a83-80c8-364ab81a176b</vt:lpwstr>
  </property>
  <property fmtid="{D5CDD505-2E9C-101B-9397-08002B2CF9AE}" pid="11" name="MSIP_Label_0f488380-630a-4f55-a077-a19445e3f360_ContentBits">
    <vt:lpwstr>0</vt:lpwstr>
  </property>
  <property fmtid="{D5CDD505-2E9C-101B-9397-08002B2CF9AE}" pid="12" name="MediaServiceImageTags">
    <vt:lpwstr/>
  </property>
  <property fmtid="{D5CDD505-2E9C-101B-9397-08002B2CF9AE}" pid="13" name="MSIP_Label_0f488380-630a-4f55-a077-a19445e3f360_SiteId">
    <vt:lpwstr>b6e377cf-9db3-46cb-91a2-fad9605bb15c</vt:lpwstr>
  </property>
  <property fmtid="{D5CDD505-2E9C-101B-9397-08002B2CF9AE}" pid="14" name="ContentTypeId">
    <vt:lpwstr>0x010100E098083483EAF54BBE19C56BE4F7D597</vt:lpwstr>
  </property>
  <property fmtid="{D5CDD505-2E9C-101B-9397-08002B2CF9AE}" pid="15" name="MSIP_Label_0f488380-630a-4f55-a077-a19445e3f360_Method">
    <vt:lpwstr>Standard</vt:lpwstr>
  </property>
  <property fmtid="{D5CDD505-2E9C-101B-9397-08002B2CF9AE}" pid="16" name="MSIP_Label_0f488380-630a-4f55-a077-a19445e3f360_Name">
    <vt:lpwstr>OFFICIAL - INTERNAL</vt:lpwstr>
  </property>
  <property fmtid="{D5CDD505-2E9C-101B-9397-08002B2CF9AE}" pid="17" name="MSIP_Label_0f488380-630a-4f55-a077-a19445e3f360_Tag">
    <vt:lpwstr>10, 3, 0, 1</vt:lpwstr>
  </property>
  <property fmtid="{D5CDD505-2E9C-101B-9397-08002B2CF9AE}" pid="18" name="docLang">
    <vt:lpwstr>en</vt:lpwstr>
  </property>
  <property fmtid="{D5CDD505-2E9C-101B-9397-08002B2CF9AE}" pid="19" name="MSIP_Label_0f488380-630a-4f55-a077-a19445e3f360_Enabled">
    <vt:lpwstr>true</vt:lpwstr>
  </property>
  <property fmtid="{D5CDD505-2E9C-101B-9397-08002B2CF9AE}" pid="20" name="MSIP_Label_0f488380-630a-4f55-a077-a19445e3f360_SetDate">
    <vt:lpwstr>2026-09-25T06:10:31Z</vt:lpwstr>
  </property>
</Properties>
</file>