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562CC" w14:textId="77777777" w:rsidR="00010F89" w:rsidRPr="00BC2021" w:rsidRDefault="00361695" w:rsidP="00782A81">
      <w:r>
        <w:rPr>
          <w:noProof/>
        </w:rPr>
        <mc:AlternateContent>
          <mc:Choice Requires="wps">
            <w:drawing>
              <wp:anchor distT="0" distB="0" distL="114300" distR="114300" simplePos="0" relativeHeight="251658241" behindDoc="1" locked="1" layoutInCell="1" allowOverlap="1" wp14:anchorId="5BF7C57B" wp14:editId="4B5FF373">
                <wp:simplePos x="0" y="0"/>
                <wp:positionH relativeFrom="margin">
                  <wp:align>right</wp:align>
                </wp:positionH>
                <wp:positionV relativeFrom="page">
                  <wp:posOffset>622935</wp:posOffset>
                </wp:positionV>
                <wp:extent cx="1533600" cy="403200"/>
                <wp:effectExtent l="0" t="0" r="7620" b="0"/>
                <wp:wrapNone/>
                <wp:docPr id="1854459199" name="Text Box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533600" cy="403200"/>
                        </a:xfrm>
                        <a:prstGeom prst="roundRect">
                          <a:avLst>
                            <a:gd name="adj" fmla="val 50000"/>
                          </a:avLst>
                        </a:prstGeom>
                        <a:solidFill>
                          <a:schemeClr val="accent3"/>
                        </a:solidFill>
                        <a:ln w="6350">
                          <a:noFill/>
                        </a:ln>
                      </wps:spPr>
                      <wps:txbx>
                        <w:txbxContent>
                          <w:p w14:paraId="53EC1E63" w14:textId="116FA608" w:rsidR="00361695" w:rsidRPr="0005768A" w:rsidRDefault="00870403" w:rsidP="00782A81">
                            <w:pPr>
                              <w:pStyle w:val="Date"/>
                            </w:pPr>
                            <w:r>
                              <w:t>October</w:t>
                            </w:r>
                            <w:r w:rsidR="00CC4268">
                              <w:t xml:space="preserve"> 2026</w:t>
                            </w:r>
                          </w:p>
                        </w:txbxContent>
                      </wps:txbx>
                      <wps:bodyPr rot="0" spcFirstLastPara="0" vertOverflow="overflow" horzOverflow="overflow" vert="horz" wrap="none" lIns="144000" tIns="28800" rIns="180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5BF7C57B" id="Text Box 7" o:spid="_x0000_s1026" alt="&quot;&quot;" style="position:absolute;margin-left:69.55pt;margin-top:49.05pt;width:120.75pt;height:31.75pt;z-index:-251658239;visibility:visible;mso-wrap-style:non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" fillcolor="#f6e265 [3206]" stroked="f" strokeweight=".5pt">
                <v:textbox style="mso-fit-shape-to-text:t" inset="4mm,.8mm,5mm,1mm">
                  <w:txbxContent>
                    <w:p w14:paraId="53EC1E63" w14:textId="116FA608" w:rsidR="00361695" w:rsidRPr="0005768A" w:rsidRDefault="00870403" w:rsidP="00782A81">
                      <w:pPr>
                        <w:pStyle w:val="Date"/>
                      </w:pPr>
                      <w:r>
                        <w:t>October</w:t>
                      </w:r>
                      <w:r w:rsidR="00CC4268">
                        <w:t xml:space="preserve"> 2026</w:t>
                      </w:r>
                    </w:p>
                  </w:txbxContent>
                </v:textbox>
                <w10:wrap anchorx="margin" anchory="page"/>
                <w10:anchorlock/>
              </v:roundrect>
            </w:pict>
          </mc:Fallback>
        </mc:AlternateContent>
      </w:r>
      <w:r w:rsidR="00E13296">
        <w:rPr>
          <w:noProof/>
        </w:rPr>
        <w:drawing>
          <wp:inline distT="0" distB="0" distL="0" distR="0" wp14:anchorId="0C5EC9B5" wp14:editId="4E9DA56F">
            <wp:extent cx="4227341" cy="738060"/>
            <wp:effectExtent l="0" t="0" r="1905" b="5080"/>
            <wp:docPr id="1499889889" name="Picture 1" descr="Australian Government&#10;ATEC&#10;Australian Tertiary Educatio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889889" name="Picture 1" descr="Australian Government&#10;ATEC&#10;Australian Tertiary Education Commissi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38730" cy="740049"/>
                    </a:xfrm>
                    <a:prstGeom prst="rect">
                      <a:avLst/>
                    </a:prstGeom>
                  </pic:spPr>
                </pic:pic>
              </a:graphicData>
            </a:graphic>
          </wp:inline>
        </w:drawing>
      </w:r>
      <w:r w:rsidRPr="00361695">
        <w:rPr>
          <w:noProof/>
        </w:rPr>
        <w:t xml:space="preserve"> </w:t>
      </w:r>
    </w:p>
    <w:p w14:paraId="7E50D1D3" w14:textId="1766DB39" w:rsidR="00980347" w:rsidRDefault="00000B2F" w:rsidP="00DD4F49">
      <w:pPr>
        <w:pStyle w:val="Title"/>
        <w:spacing w:before="720"/>
        <w:contextualSpacing w:val="0"/>
        <w:sectPr w:rsidR="00980347" w:rsidSect="004815F0">
          <w:footerReference w:type="default" r:id="rId13"/>
          <w:pgSz w:w="11907" w:h="16839" w:code="9"/>
          <w:pgMar w:top="567" w:right="907" w:bottom="1134" w:left="907" w:header="567" w:footer="805" w:gutter="0"/>
          <w:cols w:space="708"/>
          <w:titlePg/>
          <w:docGrid w:linePitch="360"/>
        </w:sectPr>
      </w:pPr>
      <w:sdt>
        <w:sdtPr>
          <w:alias w:val="Title"/>
          <w:tag w:val=""/>
          <w:id w:val="-820958712"/>
          <w:placeholder>
            <w:docPart w:val="3F2ABFAF6BCC48EFA61F58480E148321"/>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7F2A32">
            <w:t>ATEC Statement of Strategic Priorities 2027-28 Consultation Paper</w:t>
          </w:r>
        </w:sdtContent>
      </w:sdt>
      <w:r w:rsidR="00CD4B0D">
        <w:rPr>
          <w:noProof/>
        </w:rPr>
        <w:drawing>
          <wp:anchor distT="0" distB="0" distL="114300" distR="114300" simplePos="0" relativeHeight="251658240" behindDoc="1" locked="0" layoutInCell="1" allowOverlap="1" wp14:anchorId="37939160" wp14:editId="76F0BFE6">
            <wp:simplePos x="0" y="0"/>
            <wp:positionH relativeFrom="page">
              <wp:align>left</wp:align>
            </wp:positionH>
            <wp:positionV relativeFrom="page">
              <wp:align>bottom</wp:align>
            </wp:positionV>
            <wp:extent cx="7559675" cy="6764020"/>
            <wp:effectExtent l="0" t="0" r="3175" b="0"/>
            <wp:wrapNone/>
            <wp:docPr id="206581631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16316" name="Picture 4">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60000" cy="6764371"/>
                    </a:xfrm>
                    <a:prstGeom prst="rect">
                      <a:avLst/>
                    </a:prstGeom>
                  </pic:spPr>
                </pic:pic>
              </a:graphicData>
            </a:graphic>
            <wp14:sizeRelH relativeFrom="margin">
              <wp14:pctWidth>0</wp14:pctWidth>
            </wp14:sizeRelH>
            <wp14:sizeRelV relativeFrom="margin">
              <wp14:pctHeight>0</wp14:pctHeight>
            </wp14:sizeRelV>
          </wp:anchor>
        </w:drawing>
      </w:r>
    </w:p>
    <w:p w14:paraId="37574F5F" w14:textId="77777777" w:rsidR="00411977" w:rsidRDefault="00CC4268" w:rsidP="00E844FF">
      <w:pPr>
        <w:pStyle w:val="Heading1"/>
        <w:rPr>
          <w:noProof/>
        </w:rPr>
      </w:pPr>
      <w:bookmarkStart w:id="0" w:name="_Toc241679050"/>
      <w:bookmarkStart w:id="1" w:name="_Toc240634890"/>
      <w:bookmarkStart w:id="2" w:name="_Toc240982762"/>
      <w:bookmarkStart w:id="3" w:name="_Toc239942698"/>
      <w:bookmarkStart w:id="4" w:name="_Toc240274244"/>
      <w:r w:rsidRPr="00F1218E">
        <w:lastRenderedPageBreak/>
        <w:t>Contents</w:t>
      </w:r>
      <w:r>
        <w:fldChar w:fldCharType="begin"/>
      </w:r>
      <w:r>
        <w:instrText xml:space="preserve"> TOC \o "1-2" \h \z \u </w:instrText>
      </w:r>
      <w:r>
        <w:fldChar w:fldCharType="separate"/>
      </w:r>
    </w:p>
    <w:p w14:paraId="528B5993" w14:textId="1E3DCA4D" w:rsidR="00411977" w:rsidRDefault="00411977">
      <w:pPr>
        <w:pStyle w:val="TOC1"/>
        <w:rPr>
          <w:rFonts w:eastAsiaTheme="minorEastAsia" w:cstheme="minorBidi"/>
          <w:b w:val="0"/>
          <w:color w:val="auto"/>
          <w:kern w:val="2"/>
          <w:szCs w:val="24"/>
          <w14:ligatures w14:val="standardContextual"/>
        </w:rPr>
      </w:pPr>
      <w:hyperlink w:anchor="_Toc241679051" w:history="1">
        <w:r w:rsidRPr="00490ADB">
          <w:rPr>
            <w:rStyle w:val="Hyperlink"/>
          </w:rPr>
          <w:t>Introduction</w:t>
        </w:r>
        <w:r>
          <w:rPr>
            <w:webHidden/>
          </w:rPr>
          <w:tab/>
        </w:r>
        <w:r>
          <w:rPr>
            <w:webHidden/>
          </w:rPr>
          <w:fldChar w:fldCharType="begin"/>
        </w:r>
        <w:r>
          <w:rPr>
            <w:webHidden/>
          </w:rPr>
          <w:instrText xml:space="preserve"> PAGEREF _Toc241679051 \h </w:instrText>
        </w:r>
        <w:r>
          <w:rPr>
            <w:webHidden/>
          </w:rPr>
        </w:r>
        <w:r>
          <w:rPr>
            <w:webHidden/>
          </w:rPr>
          <w:fldChar w:fldCharType="separate"/>
        </w:r>
        <w:r w:rsidR="004C2F24">
          <w:rPr>
            <w:webHidden/>
          </w:rPr>
          <w:t>3</w:t>
        </w:r>
        <w:r>
          <w:rPr>
            <w:webHidden/>
          </w:rPr>
          <w:fldChar w:fldCharType="end"/>
        </w:r>
      </w:hyperlink>
    </w:p>
    <w:p w14:paraId="46F83BC9" w14:textId="21D30B98" w:rsidR="00411977" w:rsidRDefault="00411977">
      <w:pPr>
        <w:pStyle w:val="TOC2"/>
        <w:rPr>
          <w:color w:val="auto"/>
          <w:kern w:val="2"/>
          <w:szCs w:val="24"/>
          <w14:ligatures w14:val="standardContextual"/>
        </w:rPr>
      </w:pPr>
      <w:hyperlink w:anchor="_Toc241679052" w:history="1">
        <w:r w:rsidRPr="00490ADB">
          <w:rPr>
            <w:rStyle w:val="Hyperlink"/>
          </w:rPr>
          <w:t>Overview and role of ATEC</w:t>
        </w:r>
        <w:r>
          <w:rPr>
            <w:webHidden/>
          </w:rPr>
          <w:tab/>
        </w:r>
        <w:r>
          <w:rPr>
            <w:webHidden/>
          </w:rPr>
          <w:fldChar w:fldCharType="begin"/>
        </w:r>
        <w:r>
          <w:rPr>
            <w:webHidden/>
          </w:rPr>
          <w:instrText xml:space="preserve"> PAGEREF _Toc241679052 \h </w:instrText>
        </w:r>
        <w:r>
          <w:rPr>
            <w:webHidden/>
          </w:rPr>
        </w:r>
        <w:r>
          <w:rPr>
            <w:webHidden/>
          </w:rPr>
          <w:fldChar w:fldCharType="separate"/>
        </w:r>
        <w:r w:rsidR="004C2F24">
          <w:rPr>
            <w:webHidden/>
          </w:rPr>
          <w:t>3</w:t>
        </w:r>
        <w:r>
          <w:rPr>
            <w:webHidden/>
          </w:rPr>
          <w:fldChar w:fldCharType="end"/>
        </w:r>
      </w:hyperlink>
    </w:p>
    <w:p w14:paraId="3C1A70A0" w14:textId="501E7AA2" w:rsidR="00411977" w:rsidRDefault="00411977">
      <w:pPr>
        <w:pStyle w:val="TOC2"/>
        <w:rPr>
          <w:color w:val="auto"/>
          <w:kern w:val="2"/>
          <w:szCs w:val="24"/>
          <w14:ligatures w14:val="standardContextual"/>
        </w:rPr>
      </w:pPr>
      <w:hyperlink w:anchor="_Toc241679053" w:history="1">
        <w:r w:rsidRPr="00490ADB">
          <w:rPr>
            <w:rStyle w:val="Hyperlink"/>
          </w:rPr>
          <w:t>Purpose of the Statement of Strategic Priorities</w:t>
        </w:r>
        <w:r>
          <w:rPr>
            <w:webHidden/>
          </w:rPr>
          <w:tab/>
        </w:r>
        <w:r>
          <w:rPr>
            <w:webHidden/>
          </w:rPr>
          <w:fldChar w:fldCharType="begin"/>
        </w:r>
        <w:r>
          <w:rPr>
            <w:webHidden/>
          </w:rPr>
          <w:instrText xml:space="preserve"> PAGEREF _Toc241679053 \h </w:instrText>
        </w:r>
        <w:r>
          <w:rPr>
            <w:webHidden/>
          </w:rPr>
        </w:r>
        <w:r>
          <w:rPr>
            <w:webHidden/>
          </w:rPr>
          <w:fldChar w:fldCharType="separate"/>
        </w:r>
        <w:r w:rsidR="004C2F24">
          <w:rPr>
            <w:webHidden/>
          </w:rPr>
          <w:t>3</w:t>
        </w:r>
        <w:r>
          <w:rPr>
            <w:webHidden/>
          </w:rPr>
          <w:fldChar w:fldCharType="end"/>
        </w:r>
      </w:hyperlink>
    </w:p>
    <w:p w14:paraId="5D5F8576" w14:textId="6B1882CE" w:rsidR="00411977" w:rsidRDefault="00411977">
      <w:pPr>
        <w:pStyle w:val="TOC2"/>
        <w:rPr>
          <w:color w:val="auto"/>
          <w:kern w:val="2"/>
          <w:szCs w:val="24"/>
          <w14:ligatures w14:val="standardContextual"/>
        </w:rPr>
      </w:pPr>
      <w:hyperlink w:anchor="_Toc241679054" w:history="1">
        <w:r w:rsidRPr="00490ADB">
          <w:rPr>
            <w:rStyle w:val="Hyperlink"/>
          </w:rPr>
          <w:t>Identifying priorities</w:t>
        </w:r>
        <w:r>
          <w:rPr>
            <w:webHidden/>
          </w:rPr>
          <w:tab/>
        </w:r>
        <w:r>
          <w:rPr>
            <w:webHidden/>
          </w:rPr>
          <w:fldChar w:fldCharType="begin"/>
        </w:r>
        <w:r>
          <w:rPr>
            <w:webHidden/>
          </w:rPr>
          <w:instrText xml:space="preserve"> PAGEREF _Toc241679054 \h </w:instrText>
        </w:r>
        <w:r>
          <w:rPr>
            <w:webHidden/>
          </w:rPr>
        </w:r>
        <w:r>
          <w:rPr>
            <w:webHidden/>
          </w:rPr>
          <w:fldChar w:fldCharType="separate"/>
        </w:r>
        <w:r w:rsidR="004C2F24">
          <w:rPr>
            <w:webHidden/>
          </w:rPr>
          <w:t>5</w:t>
        </w:r>
        <w:r>
          <w:rPr>
            <w:webHidden/>
          </w:rPr>
          <w:fldChar w:fldCharType="end"/>
        </w:r>
      </w:hyperlink>
    </w:p>
    <w:p w14:paraId="348FE9D1" w14:textId="24234213" w:rsidR="00411977" w:rsidRDefault="00411977">
      <w:pPr>
        <w:pStyle w:val="TOC2"/>
        <w:rPr>
          <w:color w:val="auto"/>
          <w:kern w:val="2"/>
          <w:szCs w:val="24"/>
          <w14:ligatures w14:val="standardContextual"/>
        </w:rPr>
      </w:pPr>
      <w:hyperlink w:anchor="_Toc241679055" w:history="1">
        <w:r w:rsidRPr="00490ADB">
          <w:rPr>
            <w:rStyle w:val="Hyperlink"/>
          </w:rPr>
          <w:t>Consultation process</w:t>
        </w:r>
        <w:r>
          <w:rPr>
            <w:webHidden/>
          </w:rPr>
          <w:tab/>
        </w:r>
        <w:r>
          <w:rPr>
            <w:webHidden/>
          </w:rPr>
          <w:fldChar w:fldCharType="begin"/>
        </w:r>
        <w:r>
          <w:rPr>
            <w:webHidden/>
          </w:rPr>
          <w:instrText xml:space="preserve"> PAGEREF _Toc241679055 \h </w:instrText>
        </w:r>
        <w:r>
          <w:rPr>
            <w:webHidden/>
          </w:rPr>
        </w:r>
        <w:r>
          <w:rPr>
            <w:webHidden/>
          </w:rPr>
          <w:fldChar w:fldCharType="separate"/>
        </w:r>
        <w:r w:rsidR="004C2F24">
          <w:rPr>
            <w:webHidden/>
          </w:rPr>
          <w:t>5</w:t>
        </w:r>
        <w:r>
          <w:rPr>
            <w:webHidden/>
          </w:rPr>
          <w:fldChar w:fldCharType="end"/>
        </w:r>
      </w:hyperlink>
    </w:p>
    <w:p w14:paraId="1009CAA0" w14:textId="68F6EF19" w:rsidR="00411977" w:rsidRDefault="00411977">
      <w:pPr>
        <w:pStyle w:val="TOC2"/>
        <w:rPr>
          <w:color w:val="auto"/>
          <w:kern w:val="2"/>
          <w:szCs w:val="24"/>
          <w14:ligatures w14:val="standardContextual"/>
        </w:rPr>
      </w:pPr>
      <w:hyperlink w:anchor="_Toc241679056" w:history="1">
        <w:r w:rsidRPr="00490ADB">
          <w:rPr>
            <w:rStyle w:val="Hyperlink"/>
          </w:rPr>
          <w:t>Review cycle</w:t>
        </w:r>
        <w:r>
          <w:rPr>
            <w:webHidden/>
          </w:rPr>
          <w:tab/>
        </w:r>
        <w:r>
          <w:rPr>
            <w:webHidden/>
          </w:rPr>
          <w:fldChar w:fldCharType="begin"/>
        </w:r>
        <w:r>
          <w:rPr>
            <w:webHidden/>
          </w:rPr>
          <w:instrText xml:space="preserve"> PAGEREF _Toc241679056 \h </w:instrText>
        </w:r>
        <w:r>
          <w:rPr>
            <w:webHidden/>
          </w:rPr>
        </w:r>
        <w:r>
          <w:rPr>
            <w:webHidden/>
          </w:rPr>
          <w:fldChar w:fldCharType="separate"/>
        </w:r>
        <w:r w:rsidR="004C2F24">
          <w:rPr>
            <w:webHidden/>
          </w:rPr>
          <w:t>6</w:t>
        </w:r>
        <w:r>
          <w:rPr>
            <w:webHidden/>
          </w:rPr>
          <w:fldChar w:fldCharType="end"/>
        </w:r>
      </w:hyperlink>
    </w:p>
    <w:p w14:paraId="62AF0B7A" w14:textId="75B38E00" w:rsidR="00411977" w:rsidRDefault="00411977">
      <w:pPr>
        <w:pStyle w:val="TOC1"/>
        <w:rPr>
          <w:rFonts w:eastAsiaTheme="minorEastAsia" w:cstheme="minorBidi"/>
          <w:b w:val="0"/>
          <w:color w:val="auto"/>
          <w:kern w:val="2"/>
          <w:szCs w:val="24"/>
          <w14:ligatures w14:val="standardContextual"/>
        </w:rPr>
      </w:pPr>
      <w:hyperlink w:anchor="_Toc241679057" w:history="1">
        <w:r w:rsidRPr="00490ADB">
          <w:rPr>
            <w:rStyle w:val="Hyperlink"/>
          </w:rPr>
          <w:t>Outcomes</w:t>
        </w:r>
        <w:r>
          <w:rPr>
            <w:webHidden/>
          </w:rPr>
          <w:tab/>
        </w:r>
        <w:r>
          <w:rPr>
            <w:webHidden/>
          </w:rPr>
          <w:fldChar w:fldCharType="begin"/>
        </w:r>
        <w:r>
          <w:rPr>
            <w:webHidden/>
          </w:rPr>
          <w:instrText xml:space="preserve"> PAGEREF _Toc241679057 \h </w:instrText>
        </w:r>
        <w:r>
          <w:rPr>
            <w:webHidden/>
          </w:rPr>
        </w:r>
        <w:r>
          <w:rPr>
            <w:webHidden/>
          </w:rPr>
          <w:fldChar w:fldCharType="separate"/>
        </w:r>
        <w:r w:rsidR="004C2F24">
          <w:rPr>
            <w:webHidden/>
          </w:rPr>
          <w:t>7</w:t>
        </w:r>
        <w:r>
          <w:rPr>
            <w:webHidden/>
          </w:rPr>
          <w:fldChar w:fldCharType="end"/>
        </w:r>
      </w:hyperlink>
    </w:p>
    <w:p w14:paraId="70583FBA" w14:textId="45B2BC43" w:rsidR="00411977" w:rsidRDefault="00411977">
      <w:pPr>
        <w:pStyle w:val="TOC2"/>
        <w:rPr>
          <w:color w:val="auto"/>
          <w:kern w:val="2"/>
          <w:szCs w:val="24"/>
          <w14:ligatures w14:val="standardContextual"/>
        </w:rPr>
      </w:pPr>
      <w:hyperlink w:anchor="_Toc241679058" w:history="1">
        <w:r w:rsidRPr="00490ADB">
          <w:rPr>
            <w:rStyle w:val="Hyperlink"/>
          </w:rPr>
          <w:t>First Nations self-determination and success</w:t>
        </w:r>
        <w:r>
          <w:rPr>
            <w:webHidden/>
          </w:rPr>
          <w:tab/>
        </w:r>
        <w:r>
          <w:rPr>
            <w:webHidden/>
          </w:rPr>
          <w:fldChar w:fldCharType="begin"/>
        </w:r>
        <w:r>
          <w:rPr>
            <w:webHidden/>
          </w:rPr>
          <w:instrText xml:space="preserve"> PAGEREF _Toc241679058 \h </w:instrText>
        </w:r>
        <w:r>
          <w:rPr>
            <w:webHidden/>
          </w:rPr>
        </w:r>
        <w:r>
          <w:rPr>
            <w:webHidden/>
          </w:rPr>
          <w:fldChar w:fldCharType="separate"/>
        </w:r>
        <w:r w:rsidR="004C2F24">
          <w:rPr>
            <w:webHidden/>
          </w:rPr>
          <w:t>7</w:t>
        </w:r>
        <w:r>
          <w:rPr>
            <w:webHidden/>
          </w:rPr>
          <w:fldChar w:fldCharType="end"/>
        </w:r>
      </w:hyperlink>
    </w:p>
    <w:p w14:paraId="0491BECE" w14:textId="4AF0BFC9" w:rsidR="00411977" w:rsidRDefault="00411977">
      <w:pPr>
        <w:pStyle w:val="TOC2"/>
        <w:rPr>
          <w:color w:val="auto"/>
          <w:kern w:val="2"/>
          <w:szCs w:val="24"/>
          <w14:ligatures w14:val="standardContextual"/>
        </w:rPr>
      </w:pPr>
      <w:hyperlink w:anchor="_Toc241679059" w:history="1">
        <w:r w:rsidRPr="00490ADB">
          <w:rPr>
            <w:rStyle w:val="Hyperlink"/>
          </w:rPr>
          <w:t>Equitable access, participation and success</w:t>
        </w:r>
        <w:r>
          <w:rPr>
            <w:webHidden/>
          </w:rPr>
          <w:tab/>
        </w:r>
        <w:r>
          <w:rPr>
            <w:webHidden/>
          </w:rPr>
          <w:fldChar w:fldCharType="begin"/>
        </w:r>
        <w:r>
          <w:rPr>
            <w:webHidden/>
          </w:rPr>
          <w:instrText xml:space="preserve"> PAGEREF _Toc241679059 \h </w:instrText>
        </w:r>
        <w:r>
          <w:rPr>
            <w:webHidden/>
          </w:rPr>
        </w:r>
        <w:r>
          <w:rPr>
            <w:webHidden/>
          </w:rPr>
          <w:fldChar w:fldCharType="separate"/>
        </w:r>
        <w:r w:rsidR="004C2F24">
          <w:rPr>
            <w:webHidden/>
          </w:rPr>
          <w:t>7</w:t>
        </w:r>
        <w:r>
          <w:rPr>
            <w:webHidden/>
          </w:rPr>
          <w:fldChar w:fldCharType="end"/>
        </w:r>
      </w:hyperlink>
    </w:p>
    <w:p w14:paraId="66519E9B" w14:textId="7293F6B5" w:rsidR="00411977" w:rsidRDefault="00411977">
      <w:pPr>
        <w:pStyle w:val="TOC2"/>
        <w:rPr>
          <w:color w:val="auto"/>
          <w:kern w:val="2"/>
          <w:szCs w:val="24"/>
          <w14:ligatures w14:val="standardContextual"/>
        </w:rPr>
      </w:pPr>
      <w:hyperlink w:anchor="_Toc241679060" w:history="1">
        <w:r w:rsidRPr="00490ADB">
          <w:rPr>
            <w:rStyle w:val="Hyperlink"/>
          </w:rPr>
          <w:t>Graduate capability and national benefit</w:t>
        </w:r>
        <w:r>
          <w:rPr>
            <w:webHidden/>
          </w:rPr>
          <w:tab/>
        </w:r>
        <w:r>
          <w:rPr>
            <w:webHidden/>
          </w:rPr>
          <w:fldChar w:fldCharType="begin"/>
        </w:r>
        <w:r>
          <w:rPr>
            <w:webHidden/>
          </w:rPr>
          <w:instrText xml:space="preserve"> PAGEREF _Toc241679060 \h </w:instrText>
        </w:r>
        <w:r>
          <w:rPr>
            <w:webHidden/>
          </w:rPr>
        </w:r>
        <w:r>
          <w:rPr>
            <w:webHidden/>
          </w:rPr>
          <w:fldChar w:fldCharType="separate"/>
        </w:r>
        <w:r w:rsidR="004C2F24">
          <w:rPr>
            <w:webHidden/>
          </w:rPr>
          <w:t>8</w:t>
        </w:r>
        <w:r>
          <w:rPr>
            <w:webHidden/>
          </w:rPr>
          <w:fldChar w:fldCharType="end"/>
        </w:r>
      </w:hyperlink>
    </w:p>
    <w:p w14:paraId="643E7BDE" w14:textId="2942FC19" w:rsidR="00411977" w:rsidRDefault="00411977">
      <w:pPr>
        <w:pStyle w:val="TOC2"/>
        <w:rPr>
          <w:color w:val="auto"/>
          <w:kern w:val="2"/>
          <w:szCs w:val="24"/>
          <w14:ligatures w14:val="standardContextual"/>
        </w:rPr>
      </w:pPr>
      <w:hyperlink w:anchor="_Toc241679061" w:history="1">
        <w:r w:rsidRPr="00490ADB">
          <w:rPr>
            <w:rStyle w:val="Hyperlink"/>
          </w:rPr>
          <w:t>Research and knowledge for public benefit</w:t>
        </w:r>
        <w:r>
          <w:rPr>
            <w:webHidden/>
          </w:rPr>
          <w:tab/>
        </w:r>
        <w:r>
          <w:rPr>
            <w:webHidden/>
          </w:rPr>
          <w:fldChar w:fldCharType="begin"/>
        </w:r>
        <w:r>
          <w:rPr>
            <w:webHidden/>
          </w:rPr>
          <w:instrText xml:space="preserve"> PAGEREF _Toc241679061 \h </w:instrText>
        </w:r>
        <w:r>
          <w:rPr>
            <w:webHidden/>
          </w:rPr>
        </w:r>
        <w:r>
          <w:rPr>
            <w:webHidden/>
          </w:rPr>
          <w:fldChar w:fldCharType="separate"/>
        </w:r>
        <w:r w:rsidR="004C2F24">
          <w:rPr>
            <w:webHidden/>
          </w:rPr>
          <w:t>8</w:t>
        </w:r>
        <w:r>
          <w:rPr>
            <w:webHidden/>
          </w:rPr>
          <w:fldChar w:fldCharType="end"/>
        </w:r>
      </w:hyperlink>
    </w:p>
    <w:p w14:paraId="4C22F280" w14:textId="430F730E" w:rsidR="00411977" w:rsidRDefault="00411977">
      <w:pPr>
        <w:pStyle w:val="TOC2"/>
        <w:rPr>
          <w:color w:val="auto"/>
          <w:kern w:val="2"/>
          <w:szCs w:val="24"/>
          <w14:ligatures w14:val="standardContextual"/>
        </w:rPr>
      </w:pPr>
      <w:hyperlink w:anchor="_Toc241679062" w:history="1">
        <w:r w:rsidRPr="00490ADB">
          <w:rPr>
            <w:rStyle w:val="Hyperlink"/>
          </w:rPr>
          <w:t>System quality, diversity and resilience</w:t>
        </w:r>
        <w:r>
          <w:rPr>
            <w:webHidden/>
          </w:rPr>
          <w:tab/>
        </w:r>
        <w:r>
          <w:rPr>
            <w:webHidden/>
          </w:rPr>
          <w:fldChar w:fldCharType="begin"/>
        </w:r>
        <w:r>
          <w:rPr>
            <w:webHidden/>
          </w:rPr>
          <w:instrText xml:space="preserve"> PAGEREF _Toc241679062 \h </w:instrText>
        </w:r>
        <w:r>
          <w:rPr>
            <w:webHidden/>
          </w:rPr>
        </w:r>
        <w:r>
          <w:rPr>
            <w:webHidden/>
          </w:rPr>
          <w:fldChar w:fldCharType="separate"/>
        </w:r>
        <w:r w:rsidR="004C2F24">
          <w:rPr>
            <w:webHidden/>
          </w:rPr>
          <w:t>8</w:t>
        </w:r>
        <w:r>
          <w:rPr>
            <w:webHidden/>
          </w:rPr>
          <w:fldChar w:fldCharType="end"/>
        </w:r>
      </w:hyperlink>
    </w:p>
    <w:p w14:paraId="73BE0631" w14:textId="037E6BAE" w:rsidR="00411977" w:rsidRDefault="00411977">
      <w:pPr>
        <w:pStyle w:val="TOC1"/>
        <w:rPr>
          <w:rFonts w:eastAsiaTheme="minorEastAsia" w:cstheme="minorBidi"/>
          <w:b w:val="0"/>
          <w:color w:val="auto"/>
          <w:kern w:val="2"/>
          <w:szCs w:val="24"/>
          <w14:ligatures w14:val="standardContextual"/>
        </w:rPr>
      </w:pPr>
      <w:hyperlink w:anchor="_Toc241679063" w:history="1">
        <w:r w:rsidRPr="00490ADB">
          <w:rPr>
            <w:rStyle w:val="Hyperlink"/>
          </w:rPr>
          <w:t>Strategic Priorities</w:t>
        </w:r>
        <w:r>
          <w:rPr>
            <w:webHidden/>
          </w:rPr>
          <w:tab/>
        </w:r>
        <w:r>
          <w:rPr>
            <w:webHidden/>
          </w:rPr>
          <w:fldChar w:fldCharType="begin"/>
        </w:r>
        <w:r>
          <w:rPr>
            <w:webHidden/>
          </w:rPr>
          <w:instrText xml:space="preserve"> PAGEREF _Toc241679063 \h </w:instrText>
        </w:r>
        <w:r>
          <w:rPr>
            <w:webHidden/>
          </w:rPr>
        </w:r>
        <w:r>
          <w:rPr>
            <w:webHidden/>
          </w:rPr>
          <w:fldChar w:fldCharType="separate"/>
        </w:r>
        <w:r w:rsidR="004C2F24">
          <w:rPr>
            <w:webHidden/>
          </w:rPr>
          <w:t>9</w:t>
        </w:r>
        <w:r>
          <w:rPr>
            <w:webHidden/>
          </w:rPr>
          <w:fldChar w:fldCharType="end"/>
        </w:r>
      </w:hyperlink>
    </w:p>
    <w:p w14:paraId="5C008301" w14:textId="2063D3D0" w:rsidR="00411977" w:rsidRDefault="00411977">
      <w:pPr>
        <w:pStyle w:val="TOC2"/>
        <w:rPr>
          <w:color w:val="auto"/>
          <w:kern w:val="2"/>
          <w:szCs w:val="24"/>
          <w14:ligatures w14:val="standardContextual"/>
        </w:rPr>
      </w:pPr>
      <w:hyperlink w:anchor="_Toc241679064" w:history="1">
        <w:r w:rsidRPr="00490ADB">
          <w:rPr>
            <w:rStyle w:val="Hyperlink"/>
          </w:rPr>
          <w:t>National, state/territory and regional priorities</w:t>
        </w:r>
        <w:r>
          <w:rPr>
            <w:webHidden/>
          </w:rPr>
          <w:tab/>
        </w:r>
        <w:r>
          <w:rPr>
            <w:webHidden/>
          </w:rPr>
          <w:fldChar w:fldCharType="begin"/>
        </w:r>
        <w:r>
          <w:rPr>
            <w:webHidden/>
          </w:rPr>
          <w:instrText xml:space="preserve"> PAGEREF _Toc241679064 \h </w:instrText>
        </w:r>
        <w:r>
          <w:rPr>
            <w:webHidden/>
          </w:rPr>
        </w:r>
        <w:r>
          <w:rPr>
            <w:webHidden/>
          </w:rPr>
          <w:fldChar w:fldCharType="separate"/>
        </w:r>
        <w:r w:rsidR="004C2F24">
          <w:rPr>
            <w:webHidden/>
          </w:rPr>
          <w:t>10</w:t>
        </w:r>
        <w:r>
          <w:rPr>
            <w:webHidden/>
          </w:rPr>
          <w:fldChar w:fldCharType="end"/>
        </w:r>
      </w:hyperlink>
    </w:p>
    <w:p w14:paraId="1AAEAB49" w14:textId="0CD54D13" w:rsidR="00411977" w:rsidRDefault="00411977">
      <w:pPr>
        <w:pStyle w:val="TOC2"/>
        <w:rPr>
          <w:color w:val="auto"/>
          <w:kern w:val="2"/>
          <w:szCs w:val="24"/>
          <w14:ligatures w14:val="standardContextual"/>
        </w:rPr>
      </w:pPr>
      <w:hyperlink w:anchor="_Toc241679065" w:history="1">
        <w:r w:rsidRPr="00490ADB">
          <w:rPr>
            <w:rStyle w:val="Hyperlink"/>
          </w:rPr>
          <w:t>First Nations</w:t>
        </w:r>
        <w:r>
          <w:rPr>
            <w:webHidden/>
          </w:rPr>
          <w:tab/>
        </w:r>
        <w:r>
          <w:rPr>
            <w:webHidden/>
          </w:rPr>
          <w:fldChar w:fldCharType="begin"/>
        </w:r>
        <w:r>
          <w:rPr>
            <w:webHidden/>
          </w:rPr>
          <w:instrText xml:space="preserve"> PAGEREF _Toc241679065 \h </w:instrText>
        </w:r>
        <w:r>
          <w:rPr>
            <w:webHidden/>
          </w:rPr>
        </w:r>
        <w:r>
          <w:rPr>
            <w:webHidden/>
          </w:rPr>
          <w:fldChar w:fldCharType="separate"/>
        </w:r>
        <w:r w:rsidR="004C2F24">
          <w:rPr>
            <w:webHidden/>
          </w:rPr>
          <w:t>10</w:t>
        </w:r>
        <w:r>
          <w:rPr>
            <w:webHidden/>
          </w:rPr>
          <w:fldChar w:fldCharType="end"/>
        </w:r>
      </w:hyperlink>
    </w:p>
    <w:p w14:paraId="39EDD4E7" w14:textId="3DF2D663" w:rsidR="00411977" w:rsidRDefault="00411977">
      <w:pPr>
        <w:pStyle w:val="TOC2"/>
        <w:rPr>
          <w:color w:val="auto"/>
          <w:kern w:val="2"/>
          <w:szCs w:val="24"/>
          <w14:ligatures w14:val="standardContextual"/>
        </w:rPr>
      </w:pPr>
      <w:hyperlink w:anchor="_Toc241679066" w:history="1">
        <w:r w:rsidRPr="00490ADB">
          <w:rPr>
            <w:rStyle w:val="Hyperlink"/>
          </w:rPr>
          <w:t>Equity</w:t>
        </w:r>
        <w:r>
          <w:rPr>
            <w:webHidden/>
          </w:rPr>
          <w:tab/>
        </w:r>
        <w:r>
          <w:rPr>
            <w:webHidden/>
          </w:rPr>
          <w:fldChar w:fldCharType="begin"/>
        </w:r>
        <w:r>
          <w:rPr>
            <w:webHidden/>
          </w:rPr>
          <w:instrText xml:space="preserve"> PAGEREF _Toc241679066 \h </w:instrText>
        </w:r>
        <w:r>
          <w:rPr>
            <w:webHidden/>
          </w:rPr>
        </w:r>
        <w:r>
          <w:rPr>
            <w:webHidden/>
          </w:rPr>
          <w:fldChar w:fldCharType="separate"/>
        </w:r>
        <w:r w:rsidR="004C2F24">
          <w:rPr>
            <w:webHidden/>
          </w:rPr>
          <w:t>11</w:t>
        </w:r>
        <w:r>
          <w:rPr>
            <w:webHidden/>
          </w:rPr>
          <w:fldChar w:fldCharType="end"/>
        </w:r>
      </w:hyperlink>
    </w:p>
    <w:p w14:paraId="740D8366" w14:textId="24161DF1" w:rsidR="00411977" w:rsidRDefault="00411977">
      <w:pPr>
        <w:pStyle w:val="TOC2"/>
        <w:rPr>
          <w:color w:val="auto"/>
          <w:kern w:val="2"/>
          <w:szCs w:val="24"/>
          <w14:ligatures w14:val="standardContextual"/>
        </w:rPr>
      </w:pPr>
      <w:hyperlink w:anchor="_Toc241679067" w:history="1">
        <w:r w:rsidRPr="00490ADB">
          <w:rPr>
            <w:rStyle w:val="Hyperlink"/>
          </w:rPr>
          <w:t>Quality teaching</w:t>
        </w:r>
        <w:r>
          <w:rPr>
            <w:webHidden/>
          </w:rPr>
          <w:tab/>
        </w:r>
        <w:r>
          <w:rPr>
            <w:webHidden/>
          </w:rPr>
          <w:fldChar w:fldCharType="begin"/>
        </w:r>
        <w:r>
          <w:rPr>
            <w:webHidden/>
          </w:rPr>
          <w:instrText xml:space="preserve"> PAGEREF _Toc241679067 \h </w:instrText>
        </w:r>
        <w:r>
          <w:rPr>
            <w:webHidden/>
          </w:rPr>
        </w:r>
        <w:r>
          <w:rPr>
            <w:webHidden/>
          </w:rPr>
          <w:fldChar w:fldCharType="separate"/>
        </w:r>
        <w:r w:rsidR="004C2F24">
          <w:rPr>
            <w:webHidden/>
          </w:rPr>
          <w:t>11</w:t>
        </w:r>
        <w:r>
          <w:rPr>
            <w:webHidden/>
          </w:rPr>
          <w:fldChar w:fldCharType="end"/>
        </w:r>
      </w:hyperlink>
    </w:p>
    <w:p w14:paraId="4576C5F5" w14:textId="0C1BD097" w:rsidR="00411977" w:rsidRDefault="00411977">
      <w:pPr>
        <w:pStyle w:val="TOC2"/>
        <w:rPr>
          <w:color w:val="auto"/>
          <w:kern w:val="2"/>
          <w:szCs w:val="24"/>
          <w14:ligatures w14:val="standardContextual"/>
        </w:rPr>
      </w:pPr>
      <w:hyperlink w:anchor="_Toc241679068" w:history="1">
        <w:r w:rsidRPr="00490ADB">
          <w:rPr>
            <w:rStyle w:val="Hyperlink"/>
          </w:rPr>
          <w:t>A joined-up tertiary system</w:t>
        </w:r>
        <w:r>
          <w:rPr>
            <w:webHidden/>
          </w:rPr>
          <w:tab/>
        </w:r>
        <w:r>
          <w:rPr>
            <w:webHidden/>
          </w:rPr>
          <w:fldChar w:fldCharType="begin"/>
        </w:r>
        <w:r>
          <w:rPr>
            <w:webHidden/>
          </w:rPr>
          <w:instrText xml:space="preserve"> PAGEREF _Toc241679068 \h </w:instrText>
        </w:r>
        <w:r>
          <w:rPr>
            <w:webHidden/>
          </w:rPr>
        </w:r>
        <w:r>
          <w:rPr>
            <w:webHidden/>
          </w:rPr>
          <w:fldChar w:fldCharType="separate"/>
        </w:r>
        <w:r w:rsidR="004C2F24">
          <w:rPr>
            <w:webHidden/>
          </w:rPr>
          <w:t>12</w:t>
        </w:r>
        <w:r>
          <w:rPr>
            <w:webHidden/>
          </w:rPr>
          <w:fldChar w:fldCharType="end"/>
        </w:r>
      </w:hyperlink>
    </w:p>
    <w:p w14:paraId="7895230A" w14:textId="709C593D" w:rsidR="00411977" w:rsidRDefault="00411977">
      <w:pPr>
        <w:pStyle w:val="TOC2"/>
        <w:rPr>
          <w:color w:val="auto"/>
          <w:kern w:val="2"/>
          <w:szCs w:val="24"/>
          <w14:ligatures w14:val="standardContextual"/>
        </w:rPr>
      </w:pPr>
      <w:hyperlink w:anchor="_Toc241679069" w:history="1">
        <w:r w:rsidRPr="00490ADB">
          <w:rPr>
            <w:rStyle w:val="Hyperlink"/>
          </w:rPr>
          <w:t>Research</w:t>
        </w:r>
        <w:r>
          <w:rPr>
            <w:webHidden/>
          </w:rPr>
          <w:tab/>
        </w:r>
        <w:r>
          <w:rPr>
            <w:webHidden/>
          </w:rPr>
          <w:fldChar w:fldCharType="begin"/>
        </w:r>
        <w:r>
          <w:rPr>
            <w:webHidden/>
          </w:rPr>
          <w:instrText xml:space="preserve"> PAGEREF _Toc241679069 \h </w:instrText>
        </w:r>
        <w:r>
          <w:rPr>
            <w:webHidden/>
          </w:rPr>
        </w:r>
        <w:r>
          <w:rPr>
            <w:webHidden/>
          </w:rPr>
          <w:fldChar w:fldCharType="separate"/>
        </w:r>
        <w:r w:rsidR="004C2F24">
          <w:rPr>
            <w:webHidden/>
          </w:rPr>
          <w:t>12</w:t>
        </w:r>
        <w:r>
          <w:rPr>
            <w:webHidden/>
          </w:rPr>
          <w:fldChar w:fldCharType="end"/>
        </w:r>
      </w:hyperlink>
    </w:p>
    <w:p w14:paraId="0C6E2B13" w14:textId="76AAA7EE" w:rsidR="00411977" w:rsidRDefault="00411977">
      <w:pPr>
        <w:pStyle w:val="TOC2"/>
        <w:rPr>
          <w:color w:val="auto"/>
          <w:kern w:val="2"/>
          <w:szCs w:val="24"/>
          <w14:ligatures w14:val="standardContextual"/>
        </w:rPr>
      </w:pPr>
      <w:hyperlink w:anchor="_Toc241679070" w:history="1">
        <w:r w:rsidRPr="00490ADB">
          <w:rPr>
            <w:rStyle w:val="Hyperlink"/>
          </w:rPr>
          <w:t>Global engagement</w:t>
        </w:r>
        <w:r>
          <w:rPr>
            <w:webHidden/>
          </w:rPr>
          <w:tab/>
        </w:r>
        <w:r>
          <w:rPr>
            <w:webHidden/>
          </w:rPr>
          <w:fldChar w:fldCharType="begin"/>
        </w:r>
        <w:r>
          <w:rPr>
            <w:webHidden/>
          </w:rPr>
          <w:instrText xml:space="preserve"> PAGEREF _Toc241679070 \h </w:instrText>
        </w:r>
        <w:r>
          <w:rPr>
            <w:webHidden/>
          </w:rPr>
        </w:r>
        <w:r>
          <w:rPr>
            <w:webHidden/>
          </w:rPr>
          <w:fldChar w:fldCharType="separate"/>
        </w:r>
        <w:r w:rsidR="004C2F24">
          <w:rPr>
            <w:webHidden/>
          </w:rPr>
          <w:t>13</w:t>
        </w:r>
        <w:r>
          <w:rPr>
            <w:webHidden/>
          </w:rPr>
          <w:fldChar w:fldCharType="end"/>
        </w:r>
      </w:hyperlink>
    </w:p>
    <w:p w14:paraId="797735DD" w14:textId="7885FED9" w:rsidR="00411977" w:rsidRDefault="00411977">
      <w:pPr>
        <w:pStyle w:val="TOC2"/>
        <w:rPr>
          <w:color w:val="auto"/>
          <w:kern w:val="2"/>
          <w:szCs w:val="24"/>
          <w14:ligatures w14:val="standardContextual"/>
        </w:rPr>
      </w:pPr>
      <w:hyperlink w:anchor="_Toc241679071" w:history="1">
        <w:r w:rsidRPr="00490ADB">
          <w:rPr>
            <w:rStyle w:val="Hyperlink"/>
          </w:rPr>
          <w:t>Collaboration</w:t>
        </w:r>
        <w:r>
          <w:rPr>
            <w:webHidden/>
          </w:rPr>
          <w:tab/>
        </w:r>
        <w:r>
          <w:rPr>
            <w:webHidden/>
          </w:rPr>
          <w:fldChar w:fldCharType="begin"/>
        </w:r>
        <w:r>
          <w:rPr>
            <w:webHidden/>
          </w:rPr>
          <w:instrText xml:space="preserve"> PAGEREF _Toc241679071 \h </w:instrText>
        </w:r>
        <w:r>
          <w:rPr>
            <w:webHidden/>
          </w:rPr>
        </w:r>
        <w:r>
          <w:rPr>
            <w:webHidden/>
          </w:rPr>
          <w:fldChar w:fldCharType="separate"/>
        </w:r>
        <w:r w:rsidR="004C2F24">
          <w:rPr>
            <w:webHidden/>
          </w:rPr>
          <w:t>13</w:t>
        </w:r>
        <w:r>
          <w:rPr>
            <w:webHidden/>
          </w:rPr>
          <w:fldChar w:fldCharType="end"/>
        </w:r>
      </w:hyperlink>
    </w:p>
    <w:p w14:paraId="6D5A67CD" w14:textId="4A639D5C" w:rsidR="00411977" w:rsidRDefault="00411977">
      <w:pPr>
        <w:pStyle w:val="TOC2"/>
        <w:rPr>
          <w:color w:val="auto"/>
          <w:kern w:val="2"/>
          <w:szCs w:val="24"/>
          <w14:ligatures w14:val="standardContextual"/>
        </w:rPr>
      </w:pPr>
      <w:hyperlink w:anchor="_Toc241679072" w:history="1">
        <w:r w:rsidRPr="00490ADB">
          <w:rPr>
            <w:rStyle w:val="Hyperlink"/>
          </w:rPr>
          <w:t>Student experience and safety</w:t>
        </w:r>
        <w:r>
          <w:rPr>
            <w:webHidden/>
          </w:rPr>
          <w:tab/>
        </w:r>
        <w:r>
          <w:rPr>
            <w:webHidden/>
          </w:rPr>
          <w:fldChar w:fldCharType="begin"/>
        </w:r>
        <w:r>
          <w:rPr>
            <w:webHidden/>
          </w:rPr>
          <w:instrText xml:space="preserve"> PAGEREF _Toc241679072 \h </w:instrText>
        </w:r>
        <w:r>
          <w:rPr>
            <w:webHidden/>
          </w:rPr>
        </w:r>
        <w:r>
          <w:rPr>
            <w:webHidden/>
          </w:rPr>
          <w:fldChar w:fldCharType="separate"/>
        </w:r>
        <w:r w:rsidR="004C2F24">
          <w:rPr>
            <w:webHidden/>
          </w:rPr>
          <w:t>14</w:t>
        </w:r>
        <w:r>
          <w:rPr>
            <w:webHidden/>
          </w:rPr>
          <w:fldChar w:fldCharType="end"/>
        </w:r>
      </w:hyperlink>
    </w:p>
    <w:p w14:paraId="404D21E1" w14:textId="00236059" w:rsidR="00411977" w:rsidRDefault="00411977">
      <w:pPr>
        <w:pStyle w:val="TOC1"/>
        <w:rPr>
          <w:rFonts w:eastAsiaTheme="minorEastAsia" w:cstheme="minorBidi"/>
          <w:b w:val="0"/>
          <w:color w:val="auto"/>
          <w:kern w:val="2"/>
          <w:szCs w:val="24"/>
          <w14:ligatures w14:val="standardContextual"/>
        </w:rPr>
      </w:pPr>
      <w:hyperlink w:anchor="_Toc241679073" w:history="1">
        <w:r w:rsidRPr="00490ADB">
          <w:rPr>
            <w:rStyle w:val="Hyperlink"/>
          </w:rPr>
          <w:t>Consultation Questions</w:t>
        </w:r>
        <w:r>
          <w:rPr>
            <w:webHidden/>
          </w:rPr>
          <w:tab/>
        </w:r>
        <w:r>
          <w:rPr>
            <w:webHidden/>
          </w:rPr>
          <w:fldChar w:fldCharType="begin"/>
        </w:r>
        <w:r>
          <w:rPr>
            <w:webHidden/>
          </w:rPr>
          <w:instrText xml:space="preserve"> PAGEREF _Toc241679073 \h </w:instrText>
        </w:r>
        <w:r>
          <w:rPr>
            <w:webHidden/>
          </w:rPr>
        </w:r>
        <w:r>
          <w:rPr>
            <w:webHidden/>
          </w:rPr>
          <w:fldChar w:fldCharType="separate"/>
        </w:r>
        <w:r w:rsidR="004C2F24">
          <w:rPr>
            <w:webHidden/>
          </w:rPr>
          <w:t>15</w:t>
        </w:r>
        <w:r>
          <w:rPr>
            <w:webHidden/>
          </w:rPr>
          <w:fldChar w:fldCharType="end"/>
        </w:r>
      </w:hyperlink>
    </w:p>
    <w:p w14:paraId="2FF10646" w14:textId="44E462D4" w:rsidR="00CC4268" w:rsidRPr="0003729D" w:rsidRDefault="00CC4268" w:rsidP="0003729D">
      <w:pPr>
        <w:pStyle w:val="Heading1"/>
        <w:rPr>
          <w:rFonts w:eastAsiaTheme="minorEastAsia" w:cstheme="minorBidi"/>
          <w:color w:val="auto"/>
          <w:kern w:val="2"/>
          <w:sz w:val="24"/>
          <w:szCs w:val="24"/>
          <w14:ligatures w14:val="standardContextual"/>
        </w:rPr>
      </w:pPr>
      <w:r>
        <w:lastRenderedPageBreak/>
        <w:fldChar w:fldCharType="end"/>
      </w:r>
      <w:bookmarkStart w:id="5" w:name="_Toc241679051"/>
      <w:bookmarkEnd w:id="0"/>
      <w:bookmarkEnd w:id="1"/>
      <w:bookmarkEnd w:id="2"/>
      <w:bookmarkEnd w:id="3"/>
      <w:bookmarkEnd w:id="4"/>
      <w:r w:rsidDel="00CC4268">
        <w:t>Introduction</w:t>
      </w:r>
      <w:bookmarkEnd w:id="5"/>
    </w:p>
    <w:p w14:paraId="4C8A6BA5" w14:textId="77777777" w:rsidR="00CC4268" w:rsidRPr="009427EE" w:rsidRDefault="00CC4268" w:rsidP="009427EE">
      <w:pPr>
        <w:pStyle w:val="Heading2"/>
      </w:pPr>
      <w:bookmarkStart w:id="6" w:name="_Toc241679052"/>
      <w:r w:rsidRPr="009427EE">
        <w:t>Overview and role of ATEC</w:t>
      </w:r>
      <w:bookmarkEnd w:id="6"/>
    </w:p>
    <w:p w14:paraId="75507CF8" w14:textId="5EC1EB26" w:rsidR="00CC4268" w:rsidRPr="00CC4380" w:rsidRDefault="00CC4268" w:rsidP="00782A81">
      <w:pPr>
        <w:rPr>
          <w:sz w:val="22"/>
          <w:szCs w:val="22"/>
        </w:rPr>
      </w:pPr>
      <w:r w:rsidRPr="00CC4380">
        <w:rPr>
          <w:sz w:val="22"/>
          <w:szCs w:val="22"/>
        </w:rPr>
        <w:t xml:space="preserve">Lifting educational attainment and expanding lifelong learning opportunities are central to meeting Australia’s long-term skills needs and enabling the personal and societal benefits of tertiary education. This aligns with the Government’s target of 80% of the working-age population with a Certificate III or above by 2050, and the vision of the Australian Universities Accord for a tertiary </w:t>
      </w:r>
      <w:r w:rsidR="00C72F0D" w:rsidRPr="00CC4380">
        <w:rPr>
          <w:sz w:val="22"/>
          <w:szCs w:val="22"/>
        </w:rPr>
        <w:t xml:space="preserve">education </w:t>
      </w:r>
      <w:r w:rsidRPr="00CC4380">
        <w:rPr>
          <w:sz w:val="22"/>
          <w:szCs w:val="22"/>
        </w:rPr>
        <w:t>system that supports learners to upskill and reskill across their lives.</w:t>
      </w:r>
    </w:p>
    <w:p w14:paraId="2BD722BE" w14:textId="74AC5511" w:rsidR="00CC4268" w:rsidRPr="00CC4380" w:rsidRDefault="00CC4268" w:rsidP="00782A81">
      <w:pPr>
        <w:rPr>
          <w:sz w:val="22"/>
          <w:szCs w:val="22"/>
        </w:rPr>
      </w:pPr>
      <w:r w:rsidRPr="00CC4380">
        <w:rPr>
          <w:sz w:val="22"/>
          <w:szCs w:val="22"/>
        </w:rPr>
        <w:t xml:space="preserve">The Australian Universities Accord </w:t>
      </w:r>
      <w:r w:rsidR="0589396C" w:rsidRPr="00CC4380">
        <w:rPr>
          <w:sz w:val="22"/>
          <w:szCs w:val="22"/>
        </w:rPr>
        <w:t>F</w:t>
      </w:r>
      <w:r w:rsidRPr="00CC4380">
        <w:rPr>
          <w:sz w:val="22"/>
          <w:szCs w:val="22"/>
        </w:rPr>
        <w:t xml:space="preserve">inal </w:t>
      </w:r>
      <w:r w:rsidR="0589396C" w:rsidRPr="00CC4380">
        <w:rPr>
          <w:sz w:val="22"/>
          <w:szCs w:val="22"/>
        </w:rPr>
        <w:t>R</w:t>
      </w:r>
      <w:r w:rsidRPr="00CC4380">
        <w:rPr>
          <w:sz w:val="22"/>
          <w:szCs w:val="22"/>
        </w:rPr>
        <w:t xml:space="preserve">eport set out a long-term reform agenda to grow participation, improve equity and quality, and strengthen alignment between education and Australia’s skills </w:t>
      </w:r>
      <w:r w:rsidR="005A1F41">
        <w:rPr>
          <w:sz w:val="22"/>
          <w:szCs w:val="22"/>
        </w:rPr>
        <w:t xml:space="preserve">and </w:t>
      </w:r>
      <w:r w:rsidR="00257265">
        <w:rPr>
          <w:sz w:val="22"/>
          <w:szCs w:val="22"/>
        </w:rPr>
        <w:t>know</w:t>
      </w:r>
      <w:r w:rsidR="00E10122">
        <w:rPr>
          <w:sz w:val="22"/>
          <w:szCs w:val="22"/>
        </w:rPr>
        <w:t>led</w:t>
      </w:r>
      <w:r w:rsidR="00FA2720">
        <w:rPr>
          <w:sz w:val="22"/>
          <w:szCs w:val="22"/>
        </w:rPr>
        <w:t xml:space="preserve">ge </w:t>
      </w:r>
      <w:r w:rsidRPr="00CC4380">
        <w:rPr>
          <w:sz w:val="22"/>
          <w:szCs w:val="22"/>
        </w:rPr>
        <w:t>needs. Many of the recommendations of the Accord have now been implemented, including establishment of the Australian Tertiary Education Commission (ATEC) as steward of the higher education system. ATEC commenced operation in an interim capacity in July 2025, and legislation to establish it in an ongoing capacity commenced on 29 April 2026.</w:t>
      </w:r>
    </w:p>
    <w:p w14:paraId="24382FC3" w14:textId="52A3E24D" w:rsidR="004C32BE" w:rsidRPr="00CC4380" w:rsidRDefault="00CC4268" w:rsidP="00E97015">
      <w:pPr>
        <w:rPr>
          <w:sz w:val="22"/>
          <w:szCs w:val="22"/>
        </w:rPr>
      </w:pPr>
      <w:r w:rsidRPr="00CC4380">
        <w:rPr>
          <w:sz w:val="22"/>
          <w:szCs w:val="22"/>
        </w:rPr>
        <w:t xml:space="preserve">ATEC’s role as steward of the higher education system means guiding its quality, equity, strategic direction, and long-term sustainability. ATEC draws on evidence and consults widely to provide coordinated whole-of-system leadership for the tertiary education system. </w:t>
      </w:r>
    </w:p>
    <w:p w14:paraId="6AB0CFAB" w14:textId="22B27C0D" w:rsidR="00FD5128" w:rsidRDefault="00CC4268" w:rsidP="00E07DA8">
      <w:pPr>
        <w:rPr>
          <w:i/>
          <w:iCs/>
          <w:sz w:val="22"/>
          <w:szCs w:val="22"/>
        </w:rPr>
      </w:pPr>
      <w:r w:rsidRPr="00CC4380">
        <w:rPr>
          <w:sz w:val="22"/>
          <w:szCs w:val="22"/>
        </w:rPr>
        <w:t xml:space="preserve">In the performance of all functions, ATEC is guided by </w:t>
      </w:r>
      <w:r w:rsidR="7954B2FE" w:rsidRPr="00CC4380">
        <w:rPr>
          <w:sz w:val="22"/>
          <w:szCs w:val="22"/>
        </w:rPr>
        <w:t>the</w:t>
      </w:r>
      <w:r w:rsidRPr="00CC4380">
        <w:rPr>
          <w:sz w:val="22"/>
          <w:szCs w:val="22"/>
        </w:rPr>
        <w:t xml:space="preserve"> National Tertiary Education Objective </w:t>
      </w:r>
      <w:r w:rsidR="00E07DA8" w:rsidRPr="00CC4380">
        <w:rPr>
          <w:sz w:val="22"/>
          <w:szCs w:val="22"/>
        </w:rPr>
        <w:t xml:space="preserve">(NTEO) </w:t>
      </w:r>
      <w:r w:rsidRPr="00CC4380">
        <w:rPr>
          <w:sz w:val="22"/>
          <w:szCs w:val="22"/>
        </w:rPr>
        <w:t xml:space="preserve">and </w:t>
      </w:r>
      <w:r w:rsidR="01E5F422" w:rsidRPr="00CC4380">
        <w:rPr>
          <w:sz w:val="22"/>
          <w:szCs w:val="22"/>
        </w:rPr>
        <w:t xml:space="preserve">the </w:t>
      </w:r>
      <w:r w:rsidRPr="00CC4380">
        <w:rPr>
          <w:sz w:val="22"/>
          <w:szCs w:val="22"/>
        </w:rPr>
        <w:t>objective of improving outcomes for groups facing systemic barriers to education</w:t>
      </w:r>
      <w:r w:rsidR="3C061FBE" w:rsidRPr="00CC4380">
        <w:rPr>
          <w:sz w:val="22"/>
          <w:szCs w:val="22"/>
        </w:rPr>
        <w:t>, including Aboriginal and Torres Strait Islander</w:t>
      </w:r>
      <w:r w:rsidR="00000933" w:rsidRPr="00CC4380">
        <w:rPr>
          <w:sz w:val="22"/>
          <w:szCs w:val="22"/>
        </w:rPr>
        <w:t xml:space="preserve"> people</w:t>
      </w:r>
      <w:r w:rsidR="00C432F0" w:rsidRPr="00CC4380">
        <w:rPr>
          <w:sz w:val="22"/>
          <w:szCs w:val="22"/>
        </w:rPr>
        <w:t>s</w:t>
      </w:r>
      <w:r w:rsidR="3C061FBE" w:rsidRPr="00CC4380">
        <w:rPr>
          <w:sz w:val="22"/>
          <w:szCs w:val="22"/>
        </w:rPr>
        <w:t>, persons with disability, persons of a low socioeconomic backgr</w:t>
      </w:r>
      <w:r w:rsidR="009040C8">
        <w:rPr>
          <w:sz w:val="22"/>
          <w:szCs w:val="22"/>
        </w:rPr>
        <w:t>o</w:t>
      </w:r>
      <w:r w:rsidR="3C061FBE" w:rsidRPr="00CC4380">
        <w:rPr>
          <w:sz w:val="22"/>
          <w:szCs w:val="22"/>
        </w:rPr>
        <w:t>und and persons living in regional Australia</w:t>
      </w:r>
      <w:r w:rsidR="00407FD8" w:rsidRPr="00CC4380">
        <w:rPr>
          <w:i/>
          <w:iCs/>
          <w:sz w:val="22"/>
          <w:szCs w:val="22"/>
        </w:rPr>
        <w:t>.</w:t>
      </w:r>
    </w:p>
    <w:p w14:paraId="7A18DD7E" w14:textId="77777777" w:rsidR="00FD5128" w:rsidRPr="004A3E7F" w:rsidRDefault="00FD5128" w:rsidP="004534ED">
      <w:pPr>
        <w:pBdr>
          <w:top w:val="single" w:sz="18" w:space="5" w:color="009364" w:themeColor="accent2"/>
          <w:left w:val="single" w:sz="18" w:space="13" w:color="009364" w:themeColor="accent2"/>
          <w:right w:val="single" w:sz="18" w:space="4" w:color="009364" w:themeColor="accent2"/>
        </w:pBdr>
        <w:ind w:left="360"/>
        <w:rPr>
          <w:sz w:val="22"/>
          <w:szCs w:val="22"/>
        </w:rPr>
      </w:pPr>
      <w:r w:rsidRPr="004A3E7F">
        <w:rPr>
          <w:sz w:val="22"/>
          <w:szCs w:val="22"/>
        </w:rPr>
        <w:t>The National Tertiary Education Objective is the objective for tertiary education in Australia to:</w:t>
      </w:r>
    </w:p>
    <w:p w14:paraId="26F62176" w14:textId="77777777" w:rsidR="00FD5128" w:rsidRPr="004A3E7F" w:rsidRDefault="00FD5128" w:rsidP="004534ED">
      <w:pPr>
        <w:pStyle w:val="ListParagraph"/>
        <w:numPr>
          <w:ilvl w:val="0"/>
          <w:numId w:val="36"/>
        </w:numPr>
        <w:pBdr>
          <w:left w:val="single" w:sz="18" w:space="4" w:color="009364" w:themeColor="accent2"/>
          <w:bottom w:val="single" w:sz="18" w:space="7" w:color="009364" w:themeColor="accent2"/>
          <w:right w:val="single" w:sz="18" w:space="4" w:color="009364" w:themeColor="accent2"/>
        </w:pBdr>
        <w:spacing w:before="120"/>
        <w:ind w:left="181" w:firstLine="539"/>
        <w:rPr>
          <w:color w:val="000000" w:themeColor="text1"/>
          <w:sz w:val="22"/>
          <w:szCs w:val="22"/>
        </w:rPr>
      </w:pPr>
      <w:r w:rsidRPr="004A3E7F">
        <w:rPr>
          <w:color w:val="000000" w:themeColor="text1"/>
          <w:sz w:val="22"/>
          <w:szCs w:val="22"/>
        </w:rPr>
        <w:t>promote a strong, equitable and resilient democracy; and</w:t>
      </w:r>
    </w:p>
    <w:p w14:paraId="6EC9B3E3" w14:textId="53EEC227" w:rsidR="00FD5128" w:rsidRPr="00130693" w:rsidRDefault="00FD5128" w:rsidP="004534ED">
      <w:pPr>
        <w:pStyle w:val="ListParagraph"/>
        <w:numPr>
          <w:ilvl w:val="0"/>
          <w:numId w:val="36"/>
        </w:numPr>
        <w:pBdr>
          <w:left w:val="single" w:sz="18" w:space="4" w:color="009364" w:themeColor="accent2"/>
          <w:bottom w:val="single" w:sz="18" w:space="7" w:color="009364" w:themeColor="accent2"/>
          <w:right w:val="single" w:sz="18" w:space="4" w:color="009364" w:themeColor="accent2"/>
        </w:pBdr>
        <w:spacing w:before="120"/>
        <w:ind w:left="181" w:firstLine="539"/>
        <w:rPr>
          <w:color w:val="000000" w:themeColor="text1"/>
          <w:sz w:val="22"/>
          <w:szCs w:val="22"/>
        </w:rPr>
      </w:pPr>
      <w:r w:rsidRPr="004A3E7F">
        <w:rPr>
          <w:color w:val="000000" w:themeColor="text1"/>
          <w:sz w:val="22"/>
          <w:szCs w:val="22"/>
        </w:rPr>
        <w:t>drive national, economic and social development a</w:t>
      </w:r>
      <w:r w:rsidR="005838EF">
        <w:rPr>
          <w:color w:val="000000" w:themeColor="text1"/>
          <w:sz w:val="22"/>
          <w:szCs w:val="22"/>
        </w:rPr>
        <w:t>nd</w:t>
      </w:r>
      <w:r w:rsidRPr="004A3E7F">
        <w:rPr>
          <w:color w:val="000000" w:themeColor="text1"/>
          <w:sz w:val="22"/>
          <w:szCs w:val="22"/>
        </w:rPr>
        <w:t xml:space="preserve"> environmental sustainability</w:t>
      </w:r>
      <w:r w:rsidR="00094704">
        <w:rPr>
          <w:color w:val="000000" w:themeColor="text1"/>
          <w:sz w:val="22"/>
          <w:szCs w:val="22"/>
        </w:rPr>
        <w:t>.</w:t>
      </w:r>
    </w:p>
    <w:p w14:paraId="35D414D3" w14:textId="68933A0E" w:rsidR="00CC4268" w:rsidRDefault="00FF33FF" w:rsidP="00E53F22">
      <w:pPr>
        <w:spacing w:before="480"/>
      </w:pPr>
      <w:bookmarkStart w:id="7" w:name="_Toc241679053"/>
      <w:r>
        <w:rPr>
          <w:rStyle w:val="Heading2Char"/>
        </w:rPr>
        <w:t xml:space="preserve">Purpose of the </w:t>
      </w:r>
      <w:r w:rsidR="00CC4268" w:rsidRPr="005965F8">
        <w:rPr>
          <w:rStyle w:val="Heading2Char"/>
        </w:rPr>
        <w:t>Statement of Strategic Prioritie</w:t>
      </w:r>
      <w:r w:rsidR="00CC4268">
        <w:rPr>
          <w:rStyle w:val="Heading2Char"/>
        </w:rPr>
        <w:t>s</w:t>
      </w:r>
      <w:bookmarkEnd w:id="7"/>
    </w:p>
    <w:p w14:paraId="3BE0347B" w14:textId="36CEAFDF" w:rsidR="00D21B5C" w:rsidRPr="00CC4380" w:rsidRDefault="00D21B5C" w:rsidP="00D21B5C">
      <w:pPr>
        <w:rPr>
          <w:sz w:val="22"/>
          <w:szCs w:val="22"/>
        </w:rPr>
      </w:pPr>
      <w:r w:rsidRPr="00CC4380">
        <w:rPr>
          <w:sz w:val="22"/>
          <w:szCs w:val="22"/>
        </w:rPr>
        <w:t xml:space="preserve">Under the </w:t>
      </w:r>
      <w:hyperlink r:id="rId15" w:history="1">
        <w:r w:rsidRPr="00CC4380">
          <w:rPr>
            <w:rStyle w:val="Hyperlink"/>
            <w:i/>
            <w:iCs/>
            <w:sz w:val="22"/>
            <w:szCs w:val="22"/>
            <w:lang w:val="en-GB"/>
          </w:rPr>
          <w:t>Universities Accord (Australian Tertiary Education Commission) Act 2026</w:t>
        </w:r>
      </w:hyperlink>
      <w:r w:rsidRPr="00CC4380">
        <w:rPr>
          <w:sz w:val="22"/>
          <w:szCs w:val="22"/>
        </w:rPr>
        <w:t xml:space="preserve">, the Statement of Strategic Priorities (SSP) is a key stewardship document prepared by ATEC. </w:t>
      </w:r>
    </w:p>
    <w:p w14:paraId="242FBA18" w14:textId="508AF75C" w:rsidR="00CC4268" w:rsidRPr="00CC4380" w:rsidRDefault="00043941" w:rsidP="00782A81">
      <w:pPr>
        <w:rPr>
          <w:sz w:val="22"/>
          <w:szCs w:val="22"/>
        </w:rPr>
      </w:pPr>
      <w:r w:rsidRPr="00CC4380">
        <w:rPr>
          <w:sz w:val="22"/>
          <w:szCs w:val="22"/>
        </w:rPr>
        <w:t>P</w:t>
      </w:r>
      <w:r w:rsidR="00CC4268" w:rsidRPr="00CC4380">
        <w:rPr>
          <w:sz w:val="22"/>
          <w:szCs w:val="22"/>
        </w:rPr>
        <w:t xml:space="preserve">ublished every 2 years, the SSP sets out ATEC’s priorities for the tertiary education system. It is intended to provide guidance to </w:t>
      </w:r>
      <w:r w:rsidR="00DE650E" w:rsidRPr="00CC4380">
        <w:rPr>
          <w:sz w:val="22"/>
          <w:szCs w:val="22"/>
        </w:rPr>
        <w:t xml:space="preserve">governments, </w:t>
      </w:r>
      <w:r w:rsidR="00CC4268" w:rsidRPr="00CC4380">
        <w:rPr>
          <w:sz w:val="22"/>
          <w:szCs w:val="22"/>
        </w:rPr>
        <w:t>stakeholders and the public about current challenges and opportunities</w:t>
      </w:r>
      <w:r w:rsidR="00806560" w:rsidRPr="00CC4380">
        <w:rPr>
          <w:sz w:val="22"/>
          <w:szCs w:val="22"/>
        </w:rPr>
        <w:t xml:space="preserve"> in tertiary education</w:t>
      </w:r>
      <w:r w:rsidR="00CC4268" w:rsidRPr="00CC4380">
        <w:rPr>
          <w:sz w:val="22"/>
          <w:szCs w:val="22"/>
        </w:rPr>
        <w:t xml:space="preserve">, and it is required to be considered by </w:t>
      </w:r>
      <w:r w:rsidR="00D435E0" w:rsidRPr="00CC4380">
        <w:rPr>
          <w:sz w:val="22"/>
          <w:szCs w:val="22"/>
        </w:rPr>
        <w:t>ATEC</w:t>
      </w:r>
      <w:r w:rsidR="00CC4268" w:rsidRPr="00CC4380">
        <w:rPr>
          <w:sz w:val="22"/>
          <w:szCs w:val="22"/>
        </w:rPr>
        <w:t xml:space="preserve"> when developing mission based compacts with </w:t>
      </w:r>
      <w:r w:rsidR="00D435E0" w:rsidRPr="00CC4380">
        <w:rPr>
          <w:sz w:val="22"/>
          <w:szCs w:val="22"/>
        </w:rPr>
        <w:t>Table A and B providers</w:t>
      </w:r>
      <w:r w:rsidR="00CC4268" w:rsidRPr="00CC4380">
        <w:rPr>
          <w:sz w:val="22"/>
          <w:szCs w:val="22"/>
        </w:rPr>
        <w:t>.</w:t>
      </w:r>
    </w:p>
    <w:p w14:paraId="3AABB9CB" w14:textId="48235908" w:rsidR="001A6529" w:rsidRPr="00CC4380" w:rsidRDefault="00CC4268" w:rsidP="0063381E">
      <w:pPr>
        <w:rPr>
          <w:sz w:val="22"/>
          <w:szCs w:val="22"/>
        </w:rPr>
      </w:pPr>
      <w:r w:rsidRPr="00CC4380">
        <w:rPr>
          <w:sz w:val="22"/>
          <w:szCs w:val="22"/>
        </w:rPr>
        <w:t xml:space="preserve">To support transition arrangements, ATEC released an </w:t>
      </w:r>
      <w:hyperlink r:id="rId16">
        <w:r w:rsidRPr="00CC4380">
          <w:rPr>
            <w:rStyle w:val="Hyperlink"/>
            <w:sz w:val="22"/>
            <w:szCs w:val="22"/>
          </w:rPr>
          <w:t>interim SSP</w:t>
        </w:r>
      </w:hyperlink>
      <w:r w:rsidRPr="00CC4380">
        <w:rPr>
          <w:sz w:val="22"/>
          <w:szCs w:val="22"/>
        </w:rPr>
        <w:t xml:space="preserve"> in May 2026, which set out </w:t>
      </w:r>
      <w:r w:rsidR="2DBA6977" w:rsidRPr="00CC4380">
        <w:rPr>
          <w:sz w:val="22"/>
          <w:szCs w:val="22"/>
        </w:rPr>
        <w:t>6</w:t>
      </w:r>
      <w:r w:rsidRPr="00CC4380">
        <w:rPr>
          <w:sz w:val="22"/>
          <w:szCs w:val="22"/>
        </w:rPr>
        <w:t xml:space="preserve"> key areas of focus aligned to 2027 mission based compact performance domains. ATEC is now </w:t>
      </w:r>
      <w:r w:rsidRPr="00CC4380">
        <w:rPr>
          <w:sz w:val="22"/>
          <w:szCs w:val="22"/>
        </w:rPr>
        <w:lastRenderedPageBreak/>
        <w:t>developing its first SSP</w:t>
      </w:r>
      <w:r w:rsidR="000D64B2" w:rsidRPr="00CC4380">
        <w:rPr>
          <w:sz w:val="22"/>
          <w:szCs w:val="22"/>
        </w:rPr>
        <w:t xml:space="preserve"> based on legislation</w:t>
      </w:r>
      <w:r w:rsidRPr="00CC4380">
        <w:rPr>
          <w:sz w:val="22"/>
          <w:szCs w:val="22"/>
        </w:rPr>
        <w:t xml:space="preserve"> which will </w:t>
      </w:r>
      <w:r w:rsidR="0066548B" w:rsidRPr="00CC4380">
        <w:rPr>
          <w:sz w:val="22"/>
          <w:szCs w:val="22"/>
        </w:rPr>
        <w:t>provide overarching</w:t>
      </w:r>
      <w:r w:rsidR="00B1782E" w:rsidRPr="00CC4380">
        <w:rPr>
          <w:sz w:val="22"/>
          <w:szCs w:val="22"/>
        </w:rPr>
        <w:t xml:space="preserve"> strategic direction for the work of</w:t>
      </w:r>
      <w:r w:rsidR="00746698" w:rsidRPr="00CC4380">
        <w:rPr>
          <w:sz w:val="22"/>
          <w:szCs w:val="22"/>
        </w:rPr>
        <w:t xml:space="preserve"> ATEC and the sector </w:t>
      </w:r>
      <w:r w:rsidRPr="00CC4380">
        <w:rPr>
          <w:sz w:val="22"/>
          <w:szCs w:val="22"/>
        </w:rPr>
        <w:t>relate</w:t>
      </w:r>
      <w:r w:rsidR="00E127E5" w:rsidRPr="00CC4380">
        <w:rPr>
          <w:sz w:val="22"/>
          <w:szCs w:val="22"/>
        </w:rPr>
        <w:t>d</w:t>
      </w:r>
      <w:r w:rsidRPr="00CC4380">
        <w:rPr>
          <w:sz w:val="22"/>
          <w:szCs w:val="22"/>
        </w:rPr>
        <w:t xml:space="preserve"> to </w:t>
      </w:r>
      <w:r w:rsidR="00A111C5" w:rsidRPr="00CC4380">
        <w:rPr>
          <w:sz w:val="22"/>
          <w:szCs w:val="22"/>
        </w:rPr>
        <w:t xml:space="preserve">the </w:t>
      </w:r>
      <w:r w:rsidRPr="00CC4380">
        <w:rPr>
          <w:sz w:val="22"/>
          <w:szCs w:val="22"/>
        </w:rPr>
        <w:t>2027 and 2028</w:t>
      </w:r>
      <w:r w:rsidR="00A111C5" w:rsidRPr="00CC4380">
        <w:rPr>
          <w:sz w:val="22"/>
          <w:szCs w:val="22"/>
        </w:rPr>
        <w:t xml:space="preserve"> calendar years</w:t>
      </w:r>
      <w:r w:rsidRPr="00CC4380">
        <w:rPr>
          <w:sz w:val="22"/>
          <w:szCs w:val="22"/>
        </w:rPr>
        <w:t>.</w:t>
      </w:r>
    </w:p>
    <w:p w14:paraId="096CE3BD" w14:textId="0F1B6DD0" w:rsidR="00A934BA" w:rsidRPr="00CC4380" w:rsidRDefault="006D4091" w:rsidP="0065663D">
      <w:pPr>
        <w:rPr>
          <w:sz w:val="22"/>
          <w:szCs w:val="22"/>
        </w:rPr>
      </w:pPr>
      <w:r w:rsidRPr="006D4091">
        <w:rPr>
          <w:noProof/>
        </w:rPr>
        <w:drawing>
          <wp:anchor distT="0" distB="0" distL="114300" distR="114300" simplePos="0" relativeHeight="251658245" behindDoc="0" locked="0" layoutInCell="1" allowOverlap="1" wp14:anchorId="4219E45F" wp14:editId="5F5F745D">
            <wp:simplePos x="0" y="0"/>
            <wp:positionH relativeFrom="margin">
              <wp:align>right</wp:align>
            </wp:positionH>
            <wp:positionV relativeFrom="paragraph">
              <wp:posOffset>223141</wp:posOffset>
            </wp:positionV>
            <wp:extent cx="6198235" cy="7552690"/>
            <wp:effectExtent l="0" t="0" r="0" b="0"/>
            <wp:wrapTopAndBottom/>
            <wp:docPr id="1218398174" name="Picture 1" descr="A figure showing how the SSP fits within some of the other ATEC publications. The NTEO is overarching, followed by the SSP setting the strategic foundations, followed by the mission based compacts, ATEC Strategic Plan and ATEC Work Plan delivering on the strategic priorities, and finally followed by the annual mission based compacts assessments, ATEC Performance Framework and the annual State of the Tertiary Education System Report delivering performance monitoring and repor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398174" name="Picture 1" descr="A figure showing how the SSP fits within some of the other ATEC publications. The NTEO is overarching, followed by the SSP setting the strategic foundations, followed by the mission based compacts, ATEC Strategic Plan and ATEC Work Plan delivering on the strategic priorities, and finally followed by the annual mission based compacts assessments, ATEC Performance Framework and the annual State of the Tertiary Education System Report delivering performance monitoring and reporting. "/>
                    <pic:cNvPicPr/>
                  </pic:nvPicPr>
                  <pic:blipFill>
                    <a:blip r:embed="rId17">
                      <a:extLst>
                        <a:ext uri="{28A0092B-C50C-407E-A947-70E740481C1C}">
                          <a14:useLocalDpi xmlns:a14="http://schemas.microsoft.com/office/drawing/2010/main" val="0"/>
                        </a:ext>
                      </a:extLst>
                    </a:blip>
                    <a:stretch>
                      <a:fillRect/>
                    </a:stretch>
                  </pic:blipFill>
                  <pic:spPr>
                    <a:xfrm>
                      <a:off x="0" y="0"/>
                      <a:ext cx="6198235" cy="7552690"/>
                    </a:xfrm>
                    <a:prstGeom prst="rect">
                      <a:avLst/>
                    </a:prstGeom>
                  </pic:spPr>
                </pic:pic>
              </a:graphicData>
            </a:graphic>
            <wp14:sizeRelH relativeFrom="margin">
              <wp14:pctWidth>0</wp14:pctWidth>
            </wp14:sizeRelH>
            <wp14:sizeRelV relativeFrom="margin">
              <wp14:pctHeight>0</wp14:pctHeight>
            </wp14:sizeRelV>
          </wp:anchor>
        </w:drawing>
      </w:r>
      <w:r w:rsidR="001A6529" w:rsidRPr="00CC4380">
        <w:rPr>
          <w:sz w:val="22"/>
          <w:szCs w:val="22"/>
        </w:rPr>
        <w:t>The following figure outlines how the SSP fits into ATEC’s stewardship model.</w:t>
      </w:r>
      <w:bookmarkStart w:id="8" w:name="_Toc229066447"/>
      <w:bookmarkStart w:id="9" w:name="_Toc229125653"/>
      <w:r w:rsidRPr="006D4091">
        <w:t xml:space="preserve"> </w:t>
      </w:r>
    </w:p>
    <w:p w14:paraId="2B2D746F" w14:textId="225E4270" w:rsidR="00A934BA" w:rsidRPr="00274130" w:rsidRDefault="00E942B8" w:rsidP="00274130">
      <w:pPr>
        <w:spacing w:before="240" w:line="240" w:lineRule="auto"/>
        <w:rPr>
          <w:sz w:val="22"/>
          <w:szCs w:val="22"/>
        </w:rPr>
      </w:pPr>
      <w:r w:rsidRPr="00DE485C">
        <w:rPr>
          <w:sz w:val="22"/>
          <w:szCs w:val="22"/>
        </w:rPr>
        <w:t xml:space="preserve">* </w:t>
      </w:r>
      <w:r w:rsidRPr="003B58BE">
        <w:rPr>
          <w:sz w:val="22"/>
          <w:szCs w:val="22"/>
        </w:rPr>
        <w:t xml:space="preserve">Section numbers refer to the </w:t>
      </w:r>
      <w:hyperlink r:id="rId18" w:history="1">
        <w:r w:rsidRPr="003B58BE">
          <w:rPr>
            <w:rStyle w:val="Hyperlink"/>
            <w:i/>
            <w:iCs/>
            <w:sz w:val="22"/>
            <w:szCs w:val="22"/>
            <w:lang w:val="en-GB"/>
          </w:rPr>
          <w:t>Universities Accord (Australian Tertiary Education Commission) Act 2026</w:t>
        </w:r>
      </w:hyperlink>
      <w:r w:rsidR="00A934BA">
        <w:br w:type="page"/>
      </w:r>
    </w:p>
    <w:p w14:paraId="4383B573" w14:textId="5AD8B8D3" w:rsidR="0089666D" w:rsidRPr="0026550A" w:rsidRDefault="0089666D" w:rsidP="0030444A">
      <w:pPr>
        <w:rPr>
          <w:sz w:val="22"/>
          <w:szCs w:val="22"/>
        </w:rPr>
      </w:pPr>
      <w:r w:rsidRPr="0026550A">
        <w:rPr>
          <w:sz w:val="22"/>
          <w:szCs w:val="22"/>
        </w:rPr>
        <w:lastRenderedPageBreak/>
        <w:t xml:space="preserve">The performance framework will </w:t>
      </w:r>
      <w:r w:rsidR="00C71922" w:rsidRPr="0026550A">
        <w:rPr>
          <w:sz w:val="22"/>
          <w:szCs w:val="22"/>
        </w:rPr>
        <w:t xml:space="preserve">include </w:t>
      </w:r>
      <w:r w:rsidR="009912F3" w:rsidRPr="0026550A">
        <w:rPr>
          <w:sz w:val="22"/>
          <w:szCs w:val="22"/>
        </w:rPr>
        <w:t xml:space="preserve">indicators and metrics for both system level outcomes and provider level performance indicators against </w:t>
      </w:r>
      <w:r w:rsidR="00727E59" w:rsidRPr="0026550A">
        <w:rPr>
          <w:sz w:val="22"/>
          <w:szCs w:val="22"/>
        </w:rPr>
        <w:t>the strategic priorities outlined below.</w:t>
      </w:r>
      <w:r w:rsidR="007D220E" w:rsidRPr="0026550A">
        <w:rPr>
          <w:sz w:val="22"/>
          <w:szCs w:val="22"/>
        </w:rPr>
        <w:t xml:space="preserve"> </w:t>
      </w:r>
      <w:r w:rsidR="008D6784" w:rsidRPr="0026550A">
        <w:rPr>
          <w:sz w:val="22"/>
          <w:szCs w:val="22"/>
        </w:rPr>
        <w:t>ATEC will</w:t>
      </w:r>
      <w:r w:rsidR="00870A20" w:rsidRPr="0026550A">
        <w:rPr>
          <w:sz w:val="22"/>
          <w:szCs w:val="22"/>
        </w:rPr>
        <w:t xml:space="preserve"> use the performance framework to</w:t>
      </w:r>
      <w:r w:rsidR="008D6784" w:rsidRPr="0026550A">
        <w:rPr>
          <w:sz w:val="22"/>
          <w:szCs w:val="22"/>
        </w:rPr>
        <w:t xml:space="preserve"> </w:t>
      </w:r>
      <w:r w:rsidR="001E597E" w:rsidRPr="0026550A">
        <w:rPr>
          <w:sz w:val="22"/>
          <w:szCs w:val="22"/>
        </w:rPr>
        <w:t xml:space="preserve">provide analysis and reporting in the State of the Tertiary </w:t>
      </w:r>
      <w:r w:rsidR="00140971" w:rsidRPr="0026550A">
        <w:rPr>
          <w:sz w:val="22"/>
          <w:szCs w:val="22"/>
        </w:rPr>
        <w:t xml:space="preserve">Education </w:t>
      </w:r>
      <w:r w:rsidR="001E597E" w:rsidRPr="0026550A">
        <w:rPr>
          <w:sz w:val="22"/>
          <w:szCs w:val="22"/>
        </w:rPr>
        <w:t xml:space="preserve">System report drawing on both </w:t>
      </w:r>
      <w:r w:rsidR="00590F2E" w:rsidRPr="0026550A">
        <w:rPr>
          <w:sz w:val="22"/>
          <w:szCs w:val="22"/>
        </w:rPr>
        <w:t xml:space="preserve">system level and </w:t>
      </w:r>
      <w:r w:rsidR="002D2A40" w:rsidRPr="0026550A">
        <w:rPr>
          <w:sz w:val="22"/>
          <w:szCs w:val="22"/>
        </w:rPr>
        <w:t>provider level in</w:t>
      </w:r>
      <w:r w:rsidR="00053A4B" w:rsidRPr="0026550A">
        <w:rPr>
          <w:sz w:val="22"/>
          <w:szCs w:val="22"/>
        </w:rPr>
        <w:t>dicators and metrics.</w:t>
      </w:r>
    </w:p>
    <w:p w14:paraId="15D13FAD" w14:textId="25E8D610" w:rsidR="00FF33FF" w:rsidRDefault="00FF33FF" w:rsidP="00FF33FF">
      <w:pPr>
        <w:pStyle w:val="Heading2"/>
      </w:pPr>
      <w:bookmarkStart w:id="10" w:name="_Toc241679054"/>
      <w:r>
        <w:t xml:space="preserve">Identifying </w:t>
      </w:r>
      <w:r w:rsidR="002D76C6">
        <w:t>p</w:t>
      </w:r>
      <w:r>
        <w:t>riorities</w:t>
      </w:r>
      <w:bookmarkEnd w:id="10"/>
    </w:p>
    <w:p w14:paraId="178481D4" w14:textId="0B15377A" w:rsidR="00FF33FF" w:rsidRPr="00936FEA" w:rsidRDefault="00FF33FF" w:rsidP="00FF33FF">
      <w:pPr>
        <w:spacing w:after="0"/>
        <w:rPr>
          <w:sz w:val="22"/>
          <w:szCs w:val="22"/>
        </w:rPr>
      </w:pPr>
      <w:r w:rsidRPr="00936FEA">
        <w:rPr>
          <w:sz w:val="22"/>
          <w:szCs w:val="22"/>
        </w:rPr>
        <w:t>The tertiary education system is complex, and change takes time</w:t>
      </w:r>
      <w:r w:rsidR="00296AC5" w:rsidRPr="00936FEA">
        <w:rPr>
          <w:sz w:val="22"/>
          <w:szCs w:val="22"/>
        </w:rPr>
        <w:t>.</w:t>
      </w:r>
      <w:r w:rsidR="006156DE" w:rsidRPr="00936FEA">
        <w:rPr>
          <w:sz w:val="22"/>
          <w:szCs w:val="22"/>
        </w:rPr>
        <w:t xml:space="preserve"> </w:t>
      </w:r>
      <w:r w:rsidR="00296AC5" w:rsidRPr="00936FEA">
        <w:rPr>
          <w:sz w:val="22"/>
          <w:szCs w:val="22"/>
        </w:rPr>
        <w:t>I</w:t>
      </w:r>
      <w:r w:rsidRPr="00936FEA">
        <w:rPr>
          <w:sz w:val="22"/>
          <w:szCs w:val="22"/>
        </w:rPr>
        <w:t xml:space="preserve">t is important that the SSP balances ambition with </w:t>
      </w:r>
      <w:r w:rsidR="00E27D7E" w:rsidRPr="00936FEA">
        <w:rPr>
          <w:sz w:val="22"/>
          <w:szCs w:val="22"/>
        </w:rPr>
        <w:t xml:space="preserve">stability and </w:t>
      </w:r>
      <w:r w:rsidRPr="00936FEA">
        <w:rPr>
          <w:sz w:val="22"/>
          <w:szCs w:val="22"/>
        </w:rPr>
        <w:t xml:space="preserve">practicality. It is also important that the SSP is flexible, allowing providers to focus their efforts </w:t>
      </w:r>
      <w:r w:rsidR="00C12C56" w:rsidRPr="00936FEA">
        <w:rPr>
          <w:sz w:val="22"/>
          <w:szCs w:val="22"/>
        </w:rPr>
        <w:t>on</w:t>
      </w:r>
      <w:r w:rsidRPr="00936FEA">
        <w:rPr>
          <w:sz w:val="22"/>
          <w:szCs w:val="22"/>
        </w:rPr>
        <w:t xml:space="preserve"> priorities most relevant to their mission, operating context and own strategic vision</w:t>
      </w:r>
      <w:r w:rsidR="00B51A42" w:rsidRPr="00936FEA">
        <w:rPr>
          <w:sz w:val="22"/>
          <w:szCs w:val="22"/>
        </w:rPr>
        <w:t xml:space="preserve">, </w:t>
      </w:r>
      <w:r w:rsidR="000132FC" w:rsidRPr="00936FEA">
        <w:rPr>
          <w:sz w:val="22"/>
          <w:szCs w:val="22"/>
        </w:rPr>
        <w:t>ensuring these are aligned to ATEC’s remit</w:t>
      </w:r>
      <w:r w:rsidRPr="00936FEA">
        <w:rPr>
          <w:sz w:val="22"/>
          <w:szCs w:val="22"/>
        </w:rPr>
        <w:t xml:space="preserve">. </w:t>
      </w:r>
    </w:p>
    <w:p w14:paraId="51755B69" w14:textId="33E92B65" w:rsidR="00FF33FF" w:rsidRPr="00936FEA" w:rsidRDefault="00FF33FF" w:rsidP="00FF33FF">
      <w:pPr>
        <w:spacing w:after="0"/>
        <w:rPr>
          <w:sz w:val="22"/>
          <w:szCs w:val="22"/>
        </w:rPr>
      </w:pPr>
      <w:r w:rsidRPr="00936FEA">
        <w:rPr>
          <w:sz w:val="22"/>
          <w:szCs w:val="22"/>
        </w:rPr>
        <w:t xml:space="preserve">To that effect, ATEC will consider the following in identifying </w:t>
      </w:r>
      <w:r w:rsidR="00B01F6B" w:rsidRPr="00936FEA">
        <w:rPr>
          <w:sz w:val="22"/>
          <w:szCs w:val="22"/>
        </w:rPr>
        <w:t xml:space="preserve">and finalising </w:t>
      </w:r>
      <w:r w:rsidRPr="00936FEA">
        <w:rPr>
          <w:sz w:val="22"/>
          <w:szCs w:val="22"/>
        </w:rPr>
        <w:t>priorities for the SSP:</w:t>
      </w:r>
    </w:p>
    <w:p w14:paraId="16FF4250" w14:textId="37B289A7" w:rsidR="00E01123" w:rsidRPr="00936FEA" w:rsidRDefault="00FF33FF" w:rsidP="00E01123">
      <w:pPr>
        <w:pStyle w:val="ListParagraph"/>
        <w:rPr>
          <w:sz w:val="22"/>
          <w:szCs w:val="22"/>
        </w:rPr>
      </w:pPr>
      <w:r w:rsidRPr="00936FEA">
        <w:rPr>
          <w:sz w:val="22"/>
          <w:szCs w:val="22"/>
        </w:rPr>
        <w:t>The National Tertiary Education Objective</w:t>
      </w:r>
    </w:p>
    <w:p w14:paraId="7BA91714" w14:textId="7351F8F7" w:rsidR="00FF33FF" w:rsidRPr="00936FEA" w:rsidRDefault="00FF33FF" w:rsidP="00FF33FF">
      <w:pPr>
        <w:pStyle w:val="ListParagraph"/>
        <w:rPr>
          <w:sz w:val="22"/>
          <w:szCs w:val="22"/>
        </w:rPr>
      </w:pPr>
      <w:r w:rsidRPr="00936FEA">
        <w:rPr>
          <w:sz w:val="22"/>
          <w:szCs w:val="22"/>
        </w:rPr>
        <w:t>Alignment with ATEC’s legislated objects, functions, and powers</w:t>
      </w:r>
      <w:r w:rsidR="002F0651" w:rsidRPr="00936FEA">
        <w:rPr>
          <w:sz w:val="22"/>
          <w:szCs w:val="22"/>
        </w:rPr>
        <w:t xml:space="preserve"> </w:t>
      </w:r>
      <w:r w:rsidR="00472DF2" w:rsidRPr="00936FEA">
        <w:rPr>
          <w:sz w:val="22"/>
          <w:szCs w:val="22"/>
        </w:rPr>
        <w:t xml:space="preserve">under the </w:t>
      </w:r>
      <w:hyperlink r:id="rId19" w:history="1">
        <w:r w:rsidR="00472DF2" w:rsidRPr="00484DE7">
          <w:rPr>
            <w:rStyle w:val="Hyperlink"/>
            <w:i/>
            <w:sz w:val="22"/>
            <w:szCs w:val="22"/>
          </w:rPr>
          <w:t>Universities Accord (Australian Tertiary Education Commission) Act 2026</w:t>
        </w:r>
      </w:hyperlink>
      <w:r w:rsidR="00E01123" w:rsidRPr="00936FEA">
        <w:rPr>
          <w:sz w:val="22"/>
          <w:szCs w:val="22"/>
        </w:rPr>
        <w:t xml:space="preserve"> </w:t>
      </w:r>
    </w:p>
    <w:p w14:paraId="20E742B8" w14:textId="00035296" w:rsidR="00FF33FF" w:rsidRPr="00936FEA" w:rsidRDefault="00FF33FF" w:rsidP="00FF33FF">
      <w:pPr>
        <w:pStyle w:val="ListParagraph"/>
        <w:rPr>
          <w:sz w:val="22"/>
          <w:szCs w:val="22"/>
        </w:rPr>
      </w:pPr>
      <w:r w:rsidRPr="00936FEA">
        <w:rPr>
          <w:sz w:val="22"/>
          <w:szCs w:val="22"/>
        </w:rPr>
        <w:t>The Minister for Education’s strategic priorities</w:t>
      </w:r>
    </w:p>
    <w:p w14:paraId="381C2B92" w14:textId="7913B2E5" w:rsidR="00366439" w:rsidRPr="00BD171E" w:rsidRDefault="00F23C54" w:rsidP="00BD171E">
      <w:pPr>
        <w:pStyle w:val="ListParagraph"/>
        <w:rPr>
          <w:sz w:val="22"/>
          <w:szCs w:val="22"/>
        </w:rPr>
      </w:pPr>
      <w:r w:rsidRPr="00936FEA">
        <w:rPr>
          <w:sz w:val="22"/>
          <w:szCs w:val="22"/>
        </w:rPr>
        <w:t xml:space="preserve">State and </w:t>
      </w:r>
      <w:r w:rsidR="009E7DB8" w:rsidRPr="00936FEA">
        <w:rPr>
          <w:sz w:val="22"/>
          <w:szCs w:val="22"/>
        </w:rPr>
        <w:t>T</w:t>
      </w:r>
      <w:r w:rsidR="00C90A1C" w:rsidRPr="00936FEA">
        <w:rPr>
          <w:sz w:val="22"/>
          <w:szCs w:val="22"/>
        </w:rPr>
        <w:t>erritory</w:t>
      </w:r>
      <w:r w:rsidR="00FA5C41" w:rsidRPr="00936FEA">
        <w:rPr>
          <w:sz w:val="22"/>
          <w:szCs w:val="22"/>
        </w:rPr>
        <w:t xml:space="preserve"> </w:t>
      </w:r>
      <w:r w:rsidR="009E7DB8" w:rsidRPr="00936FEA">
        <w:rPr>
          <w:sz w:val="22"/>
          <w:szCs w:val="22"/>
        </w:rPr>
        <w:t xml:space="preserve">Government </w:t>
      </w:r>
      <w:r w:rsidR="00FA5C41" w:rsidRPr="00936FEA">
        <w:rPr>
          <w:sz w:val="22"/>
          <w:szCs w:val="22"/>
        </w:rPr>
        <w:t>priorities</w:t>
      </w:r>
    </w:p>
    <w:p w14:paraId="73C1647F" w14:textId="53EF3537" w:rsidR="009577C7" w:rsidRDefault="009577C7" w:rsidP="00FF33FF">
      <w:pPr>
        <w:pStyle w:val="ListParagraph"/>
        <w:rPr>
          <w:sz w:val="22"/>
          <w:szCs w:val="22"/>
        </w:rPr>
      </w:pPr>
      <w:r w:rsidRPr="00936FEA">
        <w:rPr>
          <w:sz w:val="22"/>
          <w:szCs w:val="22"/>
        </w:rPr>
        <w:t>Insights from</w:t>
      </w:r>
      <w:r w:rsidR="00D03D7A" w:rsidRPr="00936FEA">
        <w:rPr>
          <w:sz w:val="22"/>
          <w:szCs w:val="22"/>
        </w:rPr>
        <w:t xml:space="preserve"> the 2027 mission based compact negotiations</w:t>
      </w:r>
      <w:r w:rsidR="00562042" w:rsidRPr="00936FEA">
        <w:rPr>
          <w:sz w:val="22"/>
          <w:szCs w:val="22"/>
        </w:rPr>
        <w:t xml:space="preserve">, interim </w:t>
      </w:r>
      <w:r w:rsidR="00696AE7" w:rsidRPr="00936FEA">
        <w:rPr>
          <w:sz w:val="22"/>
          <w:szCs w:val="22"/>
        </w:rPr>
        <w:t>SSP</w:t>
      </w:r>
      <w:r w:rsidR="00096503" w:rsidRPr="00936FEA">
        <w:rPr>
          <w:sz w:val="22"/>
          <w:szCs w:val="22"/>
        </w:rPr>
        <w:t xml:space="preserve"> and</w:t>
      </w:r>
      <w:r w:rsidR="001E7E58" w:rsidRPr="00936FEA">
        <w:rPr>
          <w:sz w:val="22"/>
          <w:szCs w:val="22"/>
        </w:rPr>
        <w:t xml:space="preserve"> engagement with the tertiary education sector</w:t>
      </w:r>
    </w:p>
    <w:p w14:paraId="3A048E8E" w14:textId="051D0FB6" w:rsidR="007F1B69" w:rsidRPr="00936FEA" w:rsidRDefault="007F1B69" w:rsidP="00FF33FF">
      <w:pPr>
        <w:pStyle w:val="ListParagraph"/>
        <w:rPr>
          <w:sz w:val="22"/>
          <w:szCs w:val="22"/>
        </w:rPr>
      </w:pPr>
      <w:r>
        <w:rPr>
          <w:sz w:val="22"/>
          <w:szCs w:val="22"/>
        </w:rPr>
        <w:t>Relevant sector re</w:t>
      </w:r>
      <w:r w:rsidR="0051556E">
        <w:rPr>
          <w:sz w:val="22"/>
          <w:szCs w:val="22"/>
        </w:rPr>
        <w:t>views</w:t>
      </w:r>
      <w:r w:rsidR="00971890">
        <w:rPr>
          <w:sz w:val="22"/>
          <w:szCs w:val="22"/>
        </w:rPr>
        <w:t xml:space="preserve">, including </w:t>
      </w:r>
      <w:r w:rsidR="002346C9">
        <w:rPr>
          <w:sz w:val="22"/>
          <w:szCs w:val="22"/>
        </w:rPr>
        <w:t>t</w:t>
      </w:r>
      <w:r w:rsidR="00750DC6">
        <w:rPr>
          <w:sz w:val="22"/>
          <w:szCs w:val="22"/>
        </w:rPr>
        <w:t>he Australian Universities Accord and the Strategic Examination of Research and Development</w:t>
      </w:r>
    </w:p>
    <w:p w14:paraId="31554373" w14:textId="7A6AFD31" w:rsidR="00FF33FF" w:rsidRPr="00936FEA" w:rsidRDefault="00FA48EC" w:rsidP="00FF33FF">
      <w:pPr>
        <w:pStyle w:val="ListParagraph"/>
        <w:rPr>
          <w:sz w:val="22"/>
          <w:szCs w:val="22"/>
        </w:rPr>
      </w:pPr>
      <w:r w:rsidRPr="00936FEA">
        <w:rPr>
          <w:sz w:val="22"/>
          <w:szCs w:val="22"/>
        </w:rPr>
        <w:t>F</w:t>
      </w:r>
      <w:r w:rsidR="00FF33FF" w:rsidRPr="00936FEA">
        <w:rPr>
          <w:sz w:val="22"/>
          <w:szCs w:val="22"/>
        </w:rPr>
        <w:t>eedback</w:t>
      </w:r>
      <w:r w:rsidRPr="00936FEA">
        <w:rPr>
          <w:sz w:val="22"/>
          <w:szCs w:val="22"/>
        </w:rPr>
        <w:t xml:space="preserve"> </w:t>
      </w:r>
      <w:r w:rsidR="00F473B3" w:rsidRPr="00936FEA">
        <w:rPr>
          <w:sz w:val="22"/>
          <w:szCs w:val="22"/>
        </w:rPr>
        <w:t>collecte</w:t>
      </w:r>
      <w:r w:rsidR="00EC1A5C" w:rsidRPr="00936FEA">
        <w:rPr>
          <w:sz w:val="22"/>
          <w:szCs w:val="22"/>
        </w:rPr>
        <w:t>d</w:t>
      </w:r>
      <w:r w:rsidRPr="00936FEA">
        <w:rPr>
          <w:sz w:val="22"/>
          <w:szCs w:val="22"/>
        </w:rPr>
        <w:t xml:space="preserve"> via this public consultation process</w:t>
      </w:r>
      <w:r w:rsidR="00FF33FF" w:rsidRPr="00936FEA">
        <w:rPr>
          <w:sz w:val="22"/>
          <w:szCs w:val="22"/>
        </w:rPr>
        <w:t>.</w:t>
      </w:r>
    </w:p>
    <w:p w14:paraId="2AC8F7C2" w14:textId="19831EDA" w:rsidR="00CC4268" w:rsidRDefault="004943CC" w:rsidP="009427EE">
      <w:pPr>
        <w:pStyle w:val="Heading2"/>
      </w:pPr>
      <w:bookmarkStart w:id="11" w:name="_Toc241679055"/>
      <w:r>
        <w:t>C</w:t>
      </w:r>
      <w:r w:rsidR="00CC4268">
        <w:t xml:space="preserve">onsultation </w:t>
      </w:r>
      <w:r w:rsidR="002D76C6">
        <w:t>p</w:t>
      </w:r>
      <w:r w:rsidR="00CC4268">
        <w:t>rocess</w:t>
      </w:r>
      <w:bookmarkEnd w:id="8"/>
      <w:bookmarkEnd w:id="9"/>
      <w:bookmarkEnd w:id="11"/>
    </w:p>
    <w:p w14:paraId="7080CB9B" w14:textId="165648E2" w:rsidR="00CC4268" w:rsidRPr="00936FEA" w:rsidRDefault="00611162" w:rsidP="00782A81">
      <w:pPr>
        <w:rPr>
          <w:sz w:val="22"/>
          <w:szCs w:val="22"/>
        </w:rPr>
      </w:pPr>
      <w:r w:rsidRPr="00936FEA">
        <w:rPr>
          <w:sz w:val="22"/>
          <w:szCs w:val="22"/>
        </w:rPr>
        <w:t xml:space="preserve">As the system steward, ATEC is committed to a genuine consultation process to inform the development of the SSP. </w:t>
      </w:r>
      <w:r w:rsidR="00074238" w:rsidRPr="00936FEA">
        <w:rPr>
          <w:sz w:val="22"/>
          <w:szCs w:val="22"/>
        </w:rPr>
        <w:t>C</w:t>
      </w:r>
      <w:r w:rsidR="00CC4268" w:rsidRPr="00936FEA">
        <w:rPr>
          <w:sz w:val="22"/>
          <w:szCs w:val="22"/>
        </w:rPr>
        <w:t>onsultation on the 2027</w:t>
      </w:r>
      <w:r w:rsidR="00584218" w:rsidRPr="00936FEA">
        <w:rPr>
          <w:sz w:val="22"/>
          <w:szCs w:val="22"/>
        </w:rPr>
        <w:t>-</w:t>
      </w:r>
      <w:r w:rsidR="00CC4268" w:rsidRPr="00936FEA">
        <w:rPr>
          <w:sz w:val="22"/>
          <w:szCs w:val="22"/>
        </w:rPr>
        <w:t>28</w:t>
      </w:r>
      <w:r w:rsidR="00584218" w:rsidRPr="00936FEA">
        <w:rPr>
          <w:sz w:val="22"/>
          <w:szCs w:val="22"/>
        </w:rPr>
        <w:t xml:space="preserve"> </w:t>
      </w:r>
      <w:r w:rsidR="00EE22BA" w:rsidRPr="00936FEA">
        <w:rPr>
          <w:sz w:val="22"/>
          <w:szCs w:val="22"/>
        </w:rPr>
        <w:t>SSP</w:t>
      </w:r>
      <w:r w:rsidR="00CC4268" w:rsidRPr="00936FEA">
        <w:rPr>
          <w:sz w:val="22"/>
          <w:szCs w:val="22"/>
        </w:rPr>
        <w:t xml:space="preserve"> includes hearing from ministers across the Commonwealth and states and territories, peak bodies and advocacy groups, higher education system stakeholder</w:t>
      </w:r>
      <w:r w:rsidR="00FE7F8D" w:rsidRPr="00936FEA">
        <w:rPr>
          <w:sz w:val="22"/>
          <w:szCs w:val="22"/>
        </w:rPr>
        <w:t>s</w:t>
      </w:r>
      <w:r w:rsidR="00CC4268" w:rsidRPr="00936FEA">
        <w:rPr>
          <w:sz w:val="22"/>
          <w:szCs w:val="22"/>
        </w:rPr>
        <w:t xml:space="preserve"> and student representatives, and the public. This </w:t>
      </w:r>
      <w:r w:rsidR="007A437D" w:rsidRPr="00936FEA">
        <w:rPr>
          <w:sz w:val="22"/>
          <w:szCs w:val="22"/>
        </w:rPr>
        <w:t>will be undertaken</w:t>
      </w:r>
      <w:r w:rsidR="00CC4268" w:rsidRPr="00936FEA">
        <w:rPr>
          <w:sz w:val="22"/>
          <w:szCs w:val="22"/>
        </w:rPr>
        <w:t xml:space="preserve"> through</w:t>
      </w:r>
      <w:r w:rsidR="004943CC" w:rsidRPr="00936FEA">
        <w:rPr>
          <w:sz w:val="22"/>
          <w:szCs w:val="22"/>
        </w:rPr>
        <w:t xml:space="preserve"> </w:t>
      </w:r>
      <w:r w:rsidR="00294898" w:rsidRPr="00936FEA">
        <w:rPr>
          <w:sz w:val="22"/>
          <w:szCs w:val="22"/>
        </w:rPr>
        <w:t xml:space="preserve">targeted </w:t>
      </w:r>
      <w:r w:rsidR="004943CC" w:rsidRPr="00936FEA">
        <w:rPr>
          <w:sz w:val="22"/>
          <w:szCs w:val="22"/>
        </w:rPr>
        <w:t xml:space="preserve">stakeholder </w:t>
      </w:r>
      <w:r w:rsidR="00D83AF5" w:rsidRPr="00936FEA">
        <w:rPr>
          <w:sz w:val="22"/>
          <w:szCs w:val="22"/>
        </w:rPr>
        <w:t>consultation</w:t>
      </w:r>
      <w:r w:rsidR="00FB0E14" w:rsidRPr="00936FEA">
        <w:rPr>
          <w:sz w:val="22"/>
          <w:szCs w:val="22"/>
        </w:rPr>
        <w:t xml:space="preserve"> and</w:t>
      </w:r>
      <w:r w:rsidR="004943CC" w:rsidRPr="00936FEA">
        <w:rPr>
          <w:sz w:val="22"/>
          <w:szCs w:val="22"/>
        </w:rPr>
        <w:t xml:space="preserve"> </w:t>
      </w:r>
      <w:r w:rsidR="00CC4268" w:rsidRPr="00936FEA">
        <w:rPr>
          <w:sz w:val="22"/>
          <w:szCs w:val="22"/>
        </w:rPr>
        <w:t>an open public submission process</w:t>
      </w:r>
      <w:r w:rsidR="00FB0E14" w:rsidRPr="00936FEA">
        <w:rPr>
          <w:sz w:val="22"/>
          <w:szCs w:val="22"/>
        </w:rPr>
        <w:t>.</w:t>
      </w:r>
    </w:p>
    <w:p w14:paraId="180FE848" w14:textId="12B32940" w:rsidR="00CC4268" w:rsidRPr="00936FEA" w:rsidRDefault="002E3090" w:rsidP="00782A81">
      <w:pPr>
        <w:rPr>
          <w:sz w:val="22"/>
          <w:szCs w:val="22"/>
        </w:rPr>
      </w:pPr>
      <w:r w:rsidRPr="00936FEA">
        <w:rPr>
          <w:sz w:val="22"/>
          <w:szCs w:val="22"/>
        </w:rPr>
        <w:t>Th</w:t>
      </w:r>
      <w:r w:rsidR="00B82D1A" w:rsidRPr="00936FEA">
        <w:rPr>
          <w:sz w:val="22"/>
          <w:szCs w:val="22"/>
        </w:rPr>
        <w:t xml:space="preserve">e purpose of consultation </w:t>
      </w:r>
      <w:r w:rsidR="00B91CF3" w:rsidRPr="00936FEA">
        <w:rPr>
          <w:sz w:val="22"/>
          <w:szCs w:val="22"/>
        </w:rPr>
        <w:t>will be to ensure</w:t>
      </w:r>
      <w:r w:rsidR="00CC4268" w:rsidRPr="00936FEA">
        <w:rPr>
          <w:sz w:val="22"/>
          <w:szCs w:val="22"/>
        </w:rPr>
        <w:t xml:space="preserve"> the SSP is informed by sectoral, student, and community knowledge.</w:t>
      </w:r>
      <w:r w:rsidR="00A473E4" w:rsidRPr="00936FEA">
        <w:rPr>
          <w:sz w:val="22"/>
          <w:szCs w:val="22"/>
        </w:rPr>
        <w:t xml:space="preserve"> </w:t>
      </w:r>
      <w:r w:rsidR="00FC3FC0" w:rsidRPr="00936FEA">
        <w:rPr>
          <w:sz w:val="22"/>
          <w:szCs w:val="22"/>
        </w:rPr>
        <w:t>T</w:t>
      </w:r>
      <w:r w:rsidR="00CC4268" w:rsidRPr="00936FEA">
        <w:rPr>
          <w:sz w:val="22"/>
          <w:szCs w:val="22"/>
        </w:rPr>
        <w:t xml:space="preserve">he draft </w:t>
      </w:r>
      <w:r w:rsidR="00D83AF5" w:rsidRPr="00936FEA">
        <w:rPr>
          <w:sz w:val="22"/>
          <w:szCs w:val="22"/>
        </w:rPr>
        <w:t xml:space="preserve">outcomes and </w:t>
      </w:r>
      <w:r w:rsidR="00CC4268" w:rsidRPr="00936FEA">
        <w:rPr>
          <w:sz w:val="22"/>
          <w:szCs w:val="22"/>
        </w:rPr>
        <w:t>prioritie</w:t>
      </w:r>
      <w:r w:rsidR="00D83AF5" w:rsidRPr="00936FEA">
        <w:rPr>
          <w:sz w:val="22"/>
          <w:szCs w:val="22"/>
        </w:rPr>
        <w:t xml:space="preserve">s </w:t>
      </w:r>
      <w:r w:rsidR="00CC4268" w:rsidRPr="00936FEA">
        <w:rPr>
          <w:sz w:val="22"/>
          <w:szCs w:val="22"/>
        </w:rPr>
        <w:t xml:space="preserve">set out in this paper </w:t>
      </w:r>
      <w:r w:rsidR="00B362E2" w:rsidRPr="00936FEA">
        <w:rPr>
          <w:sz w:val="22"/>
          <w:szCs w:val="22"/>
        </w:rPr>
        <w:t>build upon the interim SSP</w:t>
      </w:r>
      <w:r w:rsidR="00063BFA" w:rsidRPr="00936FEA">
        <w:rPr>
          <w:sz w:val="22"/>
          <w:szCs w:val="22"/>
        </w:rPr>
        <w:t xml:space="preserve"> </w:t>
      </w:r>
      <w:r w:rsidR="00CC4268" w:rsidRPr="00936FEA">
        <w:rPr>
          <w:sz w:val="22"/>
          <w:szCs w:val="22"/>
        </w:rPr>
        <w:t>and are subject to change based on feedback</w:t>
      </w:r>
      <w:r w:rsidR="005602D1" w:rsidRPr="00936FEA">
        <w:rPr>
          <w:sz w:val="22"/>
          <w:szCs w:val="22"/>
        </w:rPr>
        <w:t>, insights and perspectives from</w:t>
      </w:r>
      <w:r w:rsidR="00B62D1E" w:rsidRPr="00936FEA">
        <w:rPr>
          <w:sz w:val="22"/>
          <w:szCs w:val="22"/>
        </w:rPr>
        <w:t xml:space="preserve"> </w:t>
      </w:r>
      <w:r w:rsidR="00E27129" w:rsidRPr="00936FEA">
        <w:rPr>
          <w:sz w:val="22"/>
          <w:szCs w:val="22"/>
        </w:rPr>
        <w:t xml:space="preserve">governments and </w:t>
      </w:r>
      <w:r w:rsidR="00DC436C" w:rsidRPr="00936FEA">
        <w:rPr>
          <w:sz w:val="22"/>
          <w:szCs w:val="22"/>
        </w:rPr>
        <w:t>key stakeholders, including</w:t>
      </w:r>
      <w:r w:rsidR="005602D1" w:rsidRPr="00936FEA">
        <w:rPr>
          <w:sz w:val="22"/>
          <w:szCs w:val="22"/>
        </w:rPr>
        <w:t xml:space="preserve"> the sector. </w:t>
      </w:r>
    </w:p>
    <w:p w14:paraId="73FA2456" w14:textId="5DC2EC61" w:rsidR="000F6E1D" w:rsidRPr="00936FEA" w:rsidRDefault="00CC4268" w:rsidP="00782A81">
      <w:pPr>
        <w:rPr>
          <w:sz w:val="22"/>
          <w:szCs w:val="22"/>
        </w:rPr>
      </w:pPr>
      <w:r w:rsidRPr="00936FEA">
        <w:rPr>
          <w:sz w:val="22"/>
          <w:szCs w:val="22"/>
        </w:rPr>
        <w:t xml:space="preserve">This consultation </w:t>
      </w:r>
      <w:r w:rsidR="00D83AF5" w:rsidRPr="00936FEA">
        <w:rPr>
          <w:sz w:val="22"/>
          <w:szCs w:val="22"/>
        </w:rPr>
        <w:t>process</w:t>
      </w:r>
      <w:r w:rsidR="009831BE" w:rsidRPr="00936FEA">
        <w:rPr>
          <w:sz w:val="22"/>
          <w:szCs w:val="22"/>
        </w:rPr>
        <w:t xml:space="preserve"> </w:t>
      </w:r>
      <w:r w:rsidRPr="00936FEA">
        <w:rPr>
          <w:sz w:val="22"/>
          <w:szCs w:val="22"/>
        </w:rPr>
        <w:t>seek</w:t>
      </w:r>
      <w:r w:rsidR="001F12BF" w:rsidRPr="00936FEA">
        <w:rPr>
          <w:sz w:val="22"/>
          <w:szCs w:val="22"/>
        </w:rPr>
        <w:t>s</w:t>
      </w:r>
      <w:r w:rsidRPr="00936FEA">
        <w:rPr>
          <w:sz w:val="22"/>
          <w:szCs w:val="22"/>
        </w:rPr>
        <w:t xml:space="preserve"> views</w:t>
      </w:r>
      <w:r w:rsidR="001F12BF" w:rsidRPr="00936FEA">
        <w:rPr>
          <w:sz w:val="22"/>
          <w:szCs w:val="22"/>
        </w:rPr>
        <w:t xml:space="preserve"> </w:t>
      </w:r>
      <w:r w:rsidRPr="00936FEA">
        <w:rPr>
          <w:sz w:val="22"/>
          <w:szCs w:val="22"/>
        </w:rPr>
        <w:t xml:space="preserve">on the proposed </w:t>
      </w:r>
      <w:r w:rsidR="00F1727B" w:rsidRPr="00936FEA">
        <w:rPr>
          <w:sz w:val="22"/>
          <w:szCs w:val="22"/>
        </w:rPr>
        <w:t xml:space="preserve">outcomes and </w:t>
      </w:r>
      <w:r w:rsidRPr="00936FEA">
        <w:rPr>
          <w:sz w:val="22"/>
          <w:szCs w:val="22"/>
        </w:rPr>
        <w:t>priorities</w:t>
      </w:r>
      <w:r w:rsidR="00D33473" w:rsidRPr="00936FEA">
        <w:rPr>
          <w:sz w:val="22"/>
          <w:szCs w:val="22"/>
        </w:rPr>
        <w:t xml:space="preserve"> </w:t>
      </w:r>
      <w:r w:rsidR="003B51CA" w:rsidRPr="00936FEA">
        <w:rPr>
          <w:sz w:val="22"/>
          <w:szCs w:val="22"/>
        </w:rPr>
        <w:t>for inclusion in</w:t>
      </w:r>
      <w:r w:rsidR="001F12BF" w:rsidRPr="00936FEA">
        <w:rPr>
          <w:sz w:val="22"/>
          <w:szCs w:val="22"/>
        </w:rPr>
        <w:t xml:space="preserve"> the SSP</w:t>
      </w:r>
      <w:r w:rsidRPr="00936FEA">
        <w:rPr>
          <w:sz w:val="22"/>
          <w:szCs w:val="22"/>
        </w:rPr>
        <w:t xml:space="preserve">. </w:t>
      </w:r>
      <w:r w:rsidR="00E03416" w:rsidRPr="00936FEA">
        <w:rPr>
          <w:sz w:val="22"/>
          <w:szCs w:val="22"/>
        </w:rPr>
        <w:t>Consultation</w:t>
      </w:r>
      <w:r w:rsidRPr="00936FEA">
        <w:rPr>
          <w:sz w:val="22"/>
          <w:szCs w:val="22"/>
        </w:rPr>
        <w:t xml:space="preserve"> does not seek </w:t>
      </w:r>
      <w:r w:rsidR="00E724B1" w:rsidRPr="00936FEA">
        <w:rPr>
          <w:sz w:val="22"/>
          <w:szCs w:val="22"/>
        </w:rPr>
        <w:t>input</w:t>
      </w:r>
      <w:r w:rsidRPr="00936FEA">
        <w:rPr>
          <w:sz w:val="22"/>
          <w:szCs w:val="22"/>
        </w:rPr>
        <w:t xml:space="preserve"> outside of that scope – for example, on VET delivery or funding settings, or issues outside of ATEC’s remit (</w:t>
      </w:r>
      <w:r w:rsidR="007C25BF" w:rsidRPr="00936FEA">
        <w:rPr>
          <w:sz w:val="22"/>
          <w:szCs w:val="22"/>
        </w:rPr>
        <w:t>such as</w:t>
      </w:r>
      <w:r w:rsidRPr="00936FEA">
        <w:rPr>
          <w:sz w:val="22"/>
          <w:szCs w:val="22"/>
        </w:rPr>
        <w:t xml:space="preserve"> individual complaints received by the National Student Ombudsman).</w:t>
      </w:r>
      <w:r w:rsidR="00224DC8" w:rsidRPr="00936FEA">
        <w:rPr>
          <w:sz w:val="22"/>
          <w:szCs w:val="22"/>
        </w:rPr>
        <w:t xml:space="preserve"> </w:t>
      </w:r>
    </w:p>
    <w:p w14:paraId="2903DFB3" w14:textId="5060B438" w:rsidR="00A46F16" w:rsidRPr="00936FEA" w:rsidRDefault="007B1BEE" w:rsidP="00782A81">
      <w:pPr>
        <w:rPr>
          <w:sz w:val="22"/>
          <w:szCs w:val="22"/>
        </w:rPr>
      </w:pPr>
      <w:r>
        <w:rPr>
          <w:sz w:val="22"/>
          <w:szCs w:val="22"/>
        </w:rPr>
        <w:t>D</w:t>
      </w:r>
      <w:r w:rsidR="002774FF" w:rsidRPr="00936FEA">
        <w:rPr>
          <w:sz w:val="22"/>
          <w:szCs w:val="22"/>
        </w:rPr>
        <w:t>iscussion</w:t>
      </w:r>
      <w:r w:rsidR="004D3B5F" w:rsidRPr="00936FEA">
        <w:rPr>
          <w:sz w:val="22"/>
          <w:szCs w:val="22"/>
        </w:rPr>
        <w:t xml:space="preserve"> </w:t>
      </w:r>
      <w:r w:rsidR="00CC4268" w:rsidRPr="00936FEA">
        <w:rPr>
          <w:sz w:val="22"/>
          <w:szCs w:val="22"/>
        </w:rPr>
        <w:t xml:space="preserve">questions </w:t>
      </w:r>
      <w:r>
        <w:rPr>
          <w:sz w:val="22"/>
          <w:szCs w:val="22"/>
        </w:rPr>
        <w:t xml:space="preserve">are </w:t>
      </w:r>
      <w:r w:rsidR="00E724B1" w:rsidRPr="00936FEA">
        <w:rPr>
          <w:sz w:val="22"/>
          <w:szCs w:val="22"/>
        </w:rPr>
        <w:t>provided at the end of the paper</w:t>
      </w:r>
      <w:r w:rsidR="00F612A1" w:rsidRPr="00936FEA">
        <w:rPr>
          <w:sz w:val="22"/>
          <w:szCs w:val="22"/>
        </w:rPr>
        <w:t xml:space="preserve"> </w:t>
      </w:r>
      <w:r>
        <w:rPr>
          <w:sz w:val="22"/>
          <w:szCs w:val="22"/>
        </w:rPr>
        <w:t>to</w:t>
      </w:r>
      <w:r w:rsidR="00F612A1" w:rsidRPr="00936FEA">
        <w:rPr>
          <w:sz w:val="22"/>
          <w:szCs w:val="22"/>
        </w:rPr>
        <w:t xml:space="preserve"> help in preparing your response</w:t>
      </w:r>
      <w:r w:rsidR="001B0F74" w:rsidRPr="00936FEA">
        <w:rPr>
          <w:sz w:val="22"/>
          <w:szCs w:val="22"/>
        </w:rPr>
        <w:t xml:space="preserve">. </w:t>
      </w:r>
      <w:r w:rsidR="00563CDE" w:rsidRPr="00936FEA">
        <w:rPr>
          <w:sz w:val="22"/>
          <w:szCs w:val="22"/>
        </w:rPr>
        <w:t>Information about the ways you can have your say are on the ATEC’s website</w:t>
      </w:r>
      <w:r w:rsidR="006633D6" w:rsidRPr="00936FEA">
        <w:rPr>
          <w:sz w:val="22"/>
          <w:szCs w:val="22"/>
        </w:rPr>
        <w:t xml:space="preserve">, including </w:t>
      </w:r>
      <w:r w:rsidR="00D82404" w:rsidRPr="00936FEA">
        <w:rPr>
          <w:sz w:val="22"/>
          <w:szCs w:val="22"/>
        </w:rPr>
        <w:t>providing a submission via email</w:t>
      </w:r>
      <w:r w:rsidR="00563CDE" w:rsidRPr="00936FEA">
        <w:rPr>
          <w:sz w:val="22"/>
          <w:szCs w:val="22"/>
        </w:rPr>
        <w:t>.</w:t>
      </w:r>
    </w:p>
    <w:p w14:paraId="68FEA26B" w14:textId="77777777" w:rsidR="00CC4268" w:rsidRDefault="00CC4268" w:rsidP="009427EE">
      <w:pPr>
        <w:pStyle w:val="Heading2"/>
      </w:pPr>
      <w:bookmarkStart w:id="12" w:name="_Toc241679056"/>
      <w:r>
        <w:lastRenderedPageBreak/>
        <w:t>Review cycle</w:t>
      </w:r>
      <w:bookmarkEnd w:id="12"/>
    </w:p>
    <w:p w14:paraId="07692AAD" w14:textId="4B3C6DAD" w:rsidR="00FF71FD" w:rsidRPr="00936FEA" w:rsidRDefault="00A02DCC" w:rsidP="00504748">
      <w:pPr>
        <w:rPr>
          <w:sz w:val="22"/>
          <w:szCs w:val="22"/>
        </w:rPr>
      </w:pPr>
      <w:r w:rsidRPr="00936FEA">
        <w:rPr>
          <w:sz w:val="22"/>
          <w:szCs w:val="22"/>
        </w:rPr>
        <w:t>A</w:t>
      </w:r>
      <w:r w:rsidR="00915945" w:rsidRPr="00936FEA">
        <w:rPr>
          <w:sz w:val="22"/>
          <w:szCs w:val="22"/>
        </w:rPr>
        <w:t xml:space="preserve">TEC’s </w:t>
      </w:r>
      <w:r w:rsidR="001E4F13">
        <w:rPr>
          <w:sz w:val="22"/>
          <w:szCs w:val="22"/>
        </w:rPr>
        <w:t>s</w:t>
      </w:r>
      <w:r w:rsidR="00915945" w:rsidRPr="00936FEA">
        <w:rPr>
          <w:sz w:val="22"/>
          <w:szCs w:val="22"/>
        </w:rPr>
        <w:t xml:space="preserve">trategic </w:t>
      </w:r>
      <w:r w:rsidR="001E4F13">
        <w:rPr>
          <w:sz w:val="22"/>
          <w:szCs w:val="22"/>
        </w:rPr>
        <w:t>p</w:t>
      </w:r>
      <w:r w:rsidR="00F06668" w:rsidRPr="00936FEA">
        <w:rPr>
          <w:sz w:val="22"/>
          <w:szCs w:val="22"/>
        </w:rPr>
        <w:t xml:space="preserve">riorities are identified with a 2-year time horizon in mind, reflecting where short- to medium-term effort is required. </w:t>
      </w:r>
      <w:r w:rsidR="00FA776C" w:rsidRPr="00936FEA">
        <w:rPr>
          <w:sz w:val="22"/>
          <w:szCs w:val="22"/>
        </w:rPr>
        <w:t>P</w:t>
      </w:r>
      <w:r w:rsidR="00F06668" w:rsidRPr="00936FEA">
        <w:rPr>
          <w:sz w:val="22"/>
          <w:szCs w:val="22"/>
        </w:rPr>
        <w:t xml:space="preserve">riorities </w:t>
      </w:r>
      <w:r w:rsidR="00A2712F" w:rsidRPr="00936FEA">
        <w:rPr>
          <w:sz w:val="22"/>
          <w:szCs w:val="22"/>
        </w:rPr>
        <w:t>may</w:t>
      </w:r>
      <w:r w:rsidR="00560CDC" w:rsidRPr="00936FEA">
        <w:rPr>
          <w:sz w:val="22"/>
          <w:szCs w:val="22"/>
        </w:rPr>
        <w:t xml:space="preserve"> </w:t>
      </w:r>
      <w:r w:rsidR="00F06668" w:rsidRPr="00936FEA">
        <w:rPr>
          <w:sz w:val="22"/>
          <w:szCs w:val="22"/>
        </w:rPr>
        <w:t>remain stable across successive SSPs</w:t>
      </w:r>
      <w:r w:rsidR="00381BAE" w:rsidRPr="00936FEA">
        <w:rPr>
          <w:sz w:val="22"/>
          <w:szCs w:val="22"/>
        </w:rPr>
        <w:t xml:space="preserve"> where </w:t>
      </w:r>
      <w:r w:rsidR="00782182" w:rsidRPr="00936FEA">
        <w:rPr>
          <w:sz w:val="22"/>
          <w:szCs w:val="22"/>
        </w:rPr>
        <w:t>they remain relevant</w:t>
      </w:r>
      <w:r w:rsidR="00B23E34" w:rsidRPr="00936FEA">
        <w:rPr>
          <w:sz w:val="22"/>
          <w:szCs w:val="22"/>
        </w:rPr>
        <w:t>, but may</w:t>
      </w:r>
      <w:r w:rsidR="008B48C3" w:rsidRPr="00936FEA">
        <w:rPr>
          <w:sz w:val="22"/>
          <w:szCs w:val="22"/>
        </w:rPr>
        <w:t xml:space="preserve"> also</w:t>
      </w:r>
      <w:r w:rsidR="009A1B1D" w:rsidRPr="00936FEA">
        <w:rPr>
          <w:sz w:val="22"/>
          <w:szCs w:val="22"/>
        </w:rPr>
        <w:t xml:space="preserve"> </w:t>
      </w:r>
      <w:r w:rsidR="006328E5" w:rsidRPr="00936FEA">
        <w:rPr>
          <w:sz w:val="22"/>
          <w:szCs w:val="22"/>
        </w:rPr>
        <w:t xml:space="preserve">change within </w:t>
      </w:r>
      <w:r w:rsidR="009A1B1D" w:rsidRPr="00936FEA">
        <w:rPr>
          <w:sz w:val="22"/>
          <w:szCs w:val="22"/>
        </w:rPr>
        <w:t>or across</w:t>
      </w:r>
      <w:r w:rsidR="00745D10" w:rsidRPr="00936FEA">
        <w:rPr>
          <w:sz w:val="22"/>
          <w:szCs w:val="22"/>
        </w:rPr>
        <w:t xml:space="preserve"> SSPs</w:t>
      </w:r>
      <w:r w:rsidR="00AE5129" w:rsidRPr="00936FEA">
        <w:rPr>
          <w:sz w:val="22"/>
          <w:szCs w:val="22"/>
        </w:rPr>
        <w:t xml:space="preserve"> </w:t>
      </w:r>
      <w:r w:rsidR="00E4131D" w:rsidRPr="00936FEA">
        <w:rPr>
          <w:sz w:val="22"/>
          <w:szCs w:val="22"/>
        </w:rPr>
        <w:t xml:space="preserve">to reflect </w:t>
      </w:r>
      <w:r w:rsidR="00E7767F" w:rsidRPr="00936FEA">
        <w:rPr>
          <w:sz w:val="22"/>
          <w:szCs w:val="22"/>
        </w:rPr>
        <w:t>circumstances</w:t>
      </w:r>
      <w:r w:rsidR="00EC4303" w:rsidRPr="00936FEA">
        <w:rPr>
          <w:sz w:val="22"/>
          <w:szCs w:val="22"/>
        </w:rPr>
        <w:t xml:space="preserve"> at the time</w:t>
      </w:r>
      <w:r w:rsidR="004E6734" w:rsidRPr="00936FEA">
        <w:rPr>
          <w:sz w:val="22"/>
          <w:szCs w:val="22"/>
        </w:rPr>
        <w:t>, for example</w:t>
      </w:r>
      <w:r w:rsidR="00B478F1" w:rsidRPr="00936FEA">
        <w:rPr>
          <w:sz w:val="22"/>
          <w:szCs w:val="22"/>
        </w:rPr>
        <w:t xml:space="preserve"> where</w:t>
      </w:r>
      <w:r w:rsidR="000F6E1D" w:rsidRPr="00936FEA">
        <w:rPr>
          <w:sz w:val="22"/>
          <w:szCs w:val="22"/>
        </w:rPr>
        <w:t xml:space="preserve"> s</w:t>
      </w:r>
      <w:r w:rsidR="00F06668" w:rsidRPr="00936FEA">
        <w:rPr>
          <w:sz w:val="22"/>
          <w:szCs w:val="22"/>
        </w:rPr>
        <w:t xml:space="preserve">ufficient progress has been </w:t>
      </w:r>
      <w:r w:rsidR="00560CDC" w:rsidRPr="00936FEA">
        <w:rPr>
          <w:sz w:val="22"/>
          <w:szCs w:val="22"/>
        </w:rPr>
        <w:t>achieved,</w:t>
      </w:r>
      <w:r w:rsidR="000F6E1D" w:rsidRPr="00936FEA">
        <w:rPr>
          <w:sz w:val="22"/>
          <w:szCs w:val="22"/>
        </w:rPr>
        <w:t xml:space="preserve"> or a</w:t>
      </w:r>
      <w:r w:rsidR="00F06668" w:rsidRPr="00936FEA">
        <w:rPr>
          <w:sz w:val="22"/>
          <w:szCs w:val="22"/>
        </w:rPr>
        <w:t xml:space="preserve"> more critical priority emerge</w:t>
      </w:r>
      <w:r w:rsidR="003B7034" w:rsidRPr="00936FEA">
        <w:rPr>
          <w:sz w:val="22"/>
          <w:szCs w:val="22"/>
        </w:rPr>
        <w:t>s</w:t>
      </w:r>
      <w:r w:rsidR="000F6E1D" w:rsidRPr="00936FEA">
        <w:rPr>
          <w:sz w:val="22"/>
          <w:szCs w:val="22"/>
        </w:rPr>
        <w:t>.</w:t>
      </w:r>
      <w:r w:rsidR="00504748" w:rsidRPr="00936FEA">
        <w:rPr>
          <w:sz w:val="22"/>
          <w:szCs w:val="22"/>
        </w:rPr>
        <w:t xml:space="preserve"> </w:t>
      </w:r>
    </w:p>
    <w:p w14:paraId="1CCAC159" w14:textId="21E01089" w:rsidR="001E38C1" w:rsidRPr="004824D7" w:rsidRDefault="00CC4268" w:rsidP="004824D7">
      <w:pPr>
        <w:rPr>
          <w:sz w:val="22"/>
          <w:szCs w:val="22"/>
        </w:rPr>
      </w:pPr>
      <w:r w:rsidRPr="00936FEA">
        <w:rPr>
          <w:sz w:val="22"/>
          <w:szCs w:val="22"/>
        </w:rPr>
        <w:t xml:space="preserve">Developing and delivering on the SSP is an iterative process. Each SSP will build on the previous one based on evidence, stakeholder feedback, and to align with complementary reforms and priorities. The SSP can be varied within a 2-year period </w:t>
      </w:r>
      <w:r w:rsidR="00A952E2" w:rsidRPr="00936FEA">
        <w:rPr>
          <w:sz w:val="22"/>
          <w:szCs w:val="22"/>
        </w:rPr>
        <w:t xml:space="preserve">in accordance with section 44 of the </w:t>
      </w:r>
      <w:hyperlink r:id="rId20" w:history="1">
        <w:r w:rsidR="00ED6074" w:rsidRPr="00936FEA">
          <w:rPr>
            <w:rStyle w:val="Hyperlink"/>
            <w:i/>
            <w:iCs/>
            <w:sz w:val="22"/>
            <w:szCs w:val="22"/>
            <w:lang w:val="en-GB"/>
          </w:rPr>
          <w:t>Universities Accord (Australian Tertiary Education Commission) Act 2026</w:t>
        </w:r>
      </w:hyperlink>
      <w:r w:rsidRPr="00936FEA">
        <w:rPr>
          <w:sz w:val="22"/>
          <w:szCs w:val="22"/>
        </w:rPr>
        <w:t>.</w:t>
      </w:r>
    </w:p>
    <w:p w14:paraId="5BEBE76F" w14:textId="77777777" w:rsidR="004824D7" w:rsidRDefault="004824D7">
      <w:pPr>
        <w:spacing w:before="160" w:line="260" w:lineRule="atLeast"/>
        <w:rPr>
          <w:rFonts w:eastAsiaTheme="majorEastAsia" w:cstheme="majorBidi"/>
          <w:bCs/>
          <w:color w:val="009364" w:themeColor="accent2"/>
          <w:sz w:val="48"/>
          <w:szCs w:val="40"/>
        </w:rPr>
      </w:pPr>
      <w:bookmarkStart w:id="13" w:name="_Toc241679057"/>
      <w:r>
        <w:lastRenderedPageBreak/>
        <w:br w:type="page"/>
      </w:r>
    </w:p>
    <w:p w14:paraId="4A090685" w14:textId="015E6163" w:rsidR="0074308F" w:rsidRDefault="00CA5BA8" w:rsidP="00010884">
      <w:pPr>
        <w:pStyle w:val="Heading1"/>
      </w:pPr>
      <w:r>
        <w:t>O</w:t>
      </w:r>
      <w:r w:rsidR="0074308F">
        <w:t>utcomes</w:t>
      </w:r>
      <w:bookmarkEnd w:id="13"/>
    </w:p>
    <w:p w14:paraId="231F67F7" w14:textId="23CE1B8C" w:rsidR="004B7D28" w:rsidRPr="00936FEA" w:rsidRDefault="382D9510" w:rsidP="0074308F">
      <w:pPr>
        <w:rPr>
          <w:sz w:val="22"/>
          <w:szCs w:val="22"/>
        </w:rPr>
      </w:pPr>
      <w:r w:rsidRPr="00936FEA">
        <w:rPr>
          <w:sz w:val="22"/>
          <w:szCs w:val="22"/>
        </w:rPr>
        <w:t xml:space="preserve">The </w:t>
      </w:r>
      <w:r w:rsidR="58E58975" w:rsidRPr="00936FEA">
        <w:rPr>
          <w:sz w:val="22"/>
          <w:szCs w:val="22"/>
        </w:rPr>
        <w:t>draft</w:t>
      </w:r>
      <w:r w:rsidRPr="00936FEA">
        <w:rPr>
          <w:sz w:val="22"/>
          <w:szCs w:val="22"/>
        </w:rPr>
        <w:t xml:space="preserve"> outcomes</w:t>
      </w:r>
      <w:r w:rsidR="58E58975" w:rsidRPr="00936FEA">
        <w:rPr>
          <w:sz w:val="22"/>
          <w:szCs w:val="22"/>
        </w:rPr>
        <w:t xml:space="preserve"> below</w:t>
      </w:r>
      <w:r w:rsidRPr="00936FEA">
        <w:rPr>
          <w:sz w:val="22"/>
          <w:szCs w:val="22"/>
        </w:rPr>
        <w:t xml:space="preserve"> draw on the ATEC’s </w:t>
      </w:r>
      <w:hyperlink r:id="rId21">
        <w:r w:rsidRPr="00936FEA">
          <w:rPr>
            <w:rStyle w:val="Hyperlink"/>
            <w:sz w:val="22"/>
            <w:szCs w:val="22"/>
          </w:rPr>
          <w:t>legislated objectives</w:t>
        </w:r>
      </w:hyperlink>
      <w:r w:rsidRPr="00936FEA">
        <w:rPr>
          <w:sz w:val="22"/>
          <w:szCs w:val="22"/>
        </w:rPr>
        <w:t xml:space="preserve">, including the objects in section 3, the National Tertiary Education Objective at section 13, and objective </w:t>
      </w:r>
      <w:r w:rsidR="5B8A6CB9" w:rsidRPr="00936FEA">
        <w:rPr>
          <w:sz w:val="22"/>
          <w:szCs w:val="22"/>
        </w:rPr>
        <w:t xml:space="preserve">of improving outcomes for persons facing systemic barriers to education </w:t>
      </w:r>
      <w:r w:rsidRPr="00936FEA">
        <w:rPr>
          <w:sz w:val="22"/>
          <w:szCs w:val="22"/>
        </w:rPr>
        <w:t>at section 14</w:t>
      </w:r>
      <w:r w:rsidR="242C21C4" w:rsidRPr="00936FEA">
        <w:rPr>
          <w:sz w:val="22"/>
          <w:szCs w:val="22"/>
        </w:rPr>
        <w:t>.</w:t>
      </w:r>
    </w:p>
    <w:p w14:paraId="065419DA" w14:textId="4D6552CC" w:rsidR="00B7069C" w:rsidRPr="00936FEA" w:rsidRDefault="00BD0807" w:rsidP="00CE7CBB">
      <w:pPr>
        <w:rPr>
          <w:sz w:val="22"/>
          <w:szCs w:val="22"/>
        </w:rPr>
      </w:pPr>
      <w:r w:rsidRPr="00936FEA">
        <w:rPr>
          <w:sz w:val="22"/>
          <w:szCs w:val="22"/>
        </w:rPr>
        <w:t xml:space="preserve">The </w:t>
      </w:r>
      <w:r w:rsidR="00D650B4" w:rsidRPr="00936FEA">
        <w:rPr>
          <w:sz w:val="22"/>
          <w:szCs w:val="22"/>
        </w:rPr>
        <w:t>draft</w:t>
      </w:r>
      <w:r w:rsidRPr="00936FEA">
        <w:rPr>
          <w:sz w:val="22"/>
          <w:szCs w:val="22"/>
        </w:rPr>
        <w:t xml:space="preserve"> outcomes represent the </w:t>
      </w:r>
      <w:r w:rsidR="00FC7335" w:rsidRPr="00936FEA">
        <w:rPr>
          <w:sz w:val="22"/>
          <w:szCs w:val="22"/>
        </w:rPr>
        <w:t>medium</w:t>
      </w:r>
      <w:r w:rsidR="002D57D5" w:rsidRPr="00936FEA">
        <w:rPr>
          <w:sz w:val="22"/>
          <w:szCs w:val="22"/>
        </w:rPr>
        <w:t xml:space="preserve">- to longer-term </w:t>
      </w:r>
      <w:r w:rsidRPr="00936FEA">
        <w:rPr>
          <w:sz w:val="22"/>
          <w:szCs w:val="22"/>
        </w:rPr>
        <w:t xml:space="preserve">future state that ATEC is seeking to achieve for the </w:t>
      </w:r>
      <w:r w:rsidR="00FD7421" w:rsidRPr="00936FEA">
        <w:rPr>
          <w:sz w:val="22"/>
          <w:szCs w:val="22"/>
        </w:rPr>
        <w:t>tertiary</w:t>
      </w:r>
      <w:r w:rsidRPr="00936FEA">
        <w:rPr>
          <w:sz w:val="22"/>
          <w:szCs w:val="22"/>
        </w:rPr>
        <w:t xml:space="preserve"> education system as a whole.</w:t>
      </w:r>
      <w:r w:rsidR="00C80567" w:rsidRPr="00936FEA">
        <w:rPr>
          <w:sz w:val="22"/>
          <w:szCs w:val="22"/>
        </w:rPr>
        <w:t xml:space="preserve"> Overall, </w:t>
      </w:r>
      <w:r w:rsidR="00D650B4" w:rsidRPr="00936FEA">
        <w:rPr>
          <w:sz w:val="22"/>
          <w:szCs w:val="22"/>
        </w:rPr>
        <w:t>t</w:t>
      </w:r>
      <w:r w:rsidR="00C80567" w:rsidRPr="00936FEA">
        <w:rPr>
          <w:sz w:val="22"/>
          <w:szCs w:val="22"/>
        </w:rPr>
        <w:t xml:space="preserve">he desired outcome is a tertiary education system that empowers First Nations peoples, expands equitable access and success, develops a skilled and adaptable workforce, generates and applies knowledge for public benefit, and remains sustainable and responsive to future challenges. Collectively, these outcomes describe a high-performing </w:t>
      </w:r>
      <w:r w:rsidR="007D556F" w:rsidRPr="00936FEA">
        <w:rPr>
          <w:sz w:val="22"/>
          <w:szCs w:val="22"/>
        </w:rPr>
        <w:t xml:space="preserve">tertiary education </w:t>
      </w:r>
      <w:r w:rsidR="00C80567" w:rsidRPr="00936FEA">
        <w:rPr>
          <w:sz w:val="22"/>
          <w:szCs w:val="22"/>
        </w:rPr>
        <w:t>system that delivers social, cultural, economic and community benefit for all Australians.</w:t>
      </w:r>
    </w:p>
    <w:p w14:paraId="688EB9F1" w14:textId="3070BFB7" w:rsidR="00CE7CBB" w:rsidRPr="003465AE" w:rsidRDefault="003465AE" w:rsidP="003465AE">
      <w:pPr>
        <w:rPr>
          <w:sz w:val="22"/>
          <w:szCs w:val="22"/>
        </w:rPr>
      </w:pPr>
      <w:r>
        <w:rPr>
          <w:b/>
          <w:bCs/>
          <w:noProof/>
        </w:rPr>
        <w:drawing>
          <wp:anchor distT="0" distB="0" distL="114300" distR="114300" simplePos="0" relativeHeight="251658242" behindDoc="0" locked="0" layoutInCell="1" allowOverlap="1" wp14:anchorId="029A4CD0" wp14:editId="486B991F">
            <wp:simplePos x="0" y="0"/>
            <wp:positionH relativeFrom="margin">
              <wp:posOffset>142875</wp:posOffset>
            </wp:positionH>
            <wp:positionV relativeFrom="paragraph">
              <wp:posOffset>273685</wp:posOffset>
            </wp:positionV>
            <wp:extent cx="5772785" cy="3398520"/>
            <wp:effectExtent l="0" t="0" r="0" b="0"/>
            <wp:wrapTopAndBottom/>
            <wp:docPr id="1174232893" name="Picture 40" descr="A graphic showing the 5 system-level outcomes the ATEC will contribute to, including First Nations self-determination and success, equitable access, participation and success, graduate capability and national benefit, research and knowledge for public benefit, and system quality, diversity and resili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32893" name="Picture 40" descr="A graphic showing the 5 system-level outcomes the ATEC will contribute to, including First Nations self-determination and success, equitable access, participation and success, graduate capability and national benefit, research and knowledge for public benefit, and system quality, diversity and resilience.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72785" cy="3398520"/>
                    </a:xfrm>
                    <a:prstGeom prst="rect">
                      <a:avLst/>
                    </a:prstGeom>
                    <a:noFill/>
                    <a:ln>
                      <a:noFill/>
                    </a:ln>
                  </pic:spPr>
                </pic:pic>
              </a:graphicData>
            </a:graphic>
          </wp:anchor>
        </w:drawing>
      </w:r>
      <w:r w:rsidR="005B2E63" w:rsidRPr="00936FEA">
        <w:rPr>
          <w:sz w:val="22"/>
          <w:szCs w:val="22"/>
        </w:rPr>
        <w:t>Through its stewardship function</w:t>
      </w:r>
      <w:r w:rsidR="005E50B1" w:rsidRPr="00936FEA">
        <w:rPr>
          <w:sz w:val="22"/>
          <w:szCs w:val="22"/>
        </w:rPr>
        <w:t>s</w:t>
      </w:r>
      <w:r w:rsidR="00C25AD0" w:rsidRPr="00936FEA">
        <w:rPr>
          <w:sz w:val="22"/>
          <w:szCs w:val="22"/>
        </w:rPr>
        <w:t>,</w:t>
      </w:r>
      <w:r w:rsidR="005B2E63" w:rsidRPr="00936FEA">
        <w:rPr>
          <w:sz w:val="22"/>
          <w:szCs w:val="22"/>
        </w:rPr>
        <w:t xml:space="preserve"> the </w:t>
      </w:r>
      <w:r w:rsidR="00337920" w:rsidRPr="00936FEA">
        <w:rPr>
          <w:sz w:val="22"/>
          <w:szCs w:val="22"/>
        </w:rPr>
        <w:t xml:space="preserve">ATEC will contribute to the following </w:t>
      </w:r>
      <w:r w:rsidR="008F52E8" w:rsidRPr="00936FEA">
        <w:rPr>
          <w:sz w:val="22"/>
          <w:szCs w:val="22"/>
        </w:rPr>
        <w:t xml:space="preserve">system-level </w:t>
      </w:r>
      <w:r w:rsidR="00337920" w:rsidRPr="00936FEA">
        <w:rPr>
          <w:sz w:val="22"/>
          <w:szCs w:val="22"/>
        </w:rPr>
        <w:t>outcomes:</w:t>
      </w:r>
    </w:p>
    <w:p w14:paraId="46805141" w14:textId="420E2C5E" w:rsidR="00CE7CBB" w:rsidRPr="009E5354" w:rsidRDefault="00CE7CBB" w:rsidP="008F6C01">
      <w:pPr>
        <w:pStyle w:val="Heading2"/>
      </w:pPr>
      <w:bookmarkStart w:id="14" w:name="_Toc241679058"/>
      <w:r w:rsidRPr="000D5055">
        <w:t>First Nations</w:t>
      </w:r>
      <w:r w:rsidR="00EC6789">
        <w:t xml:space="preserve"> self-determination and success</w:t>
      </w:r>
      <w:bookmarkEnd w:id="14"/>
    </w:p>
    <w:p w14:paraId="05930362" w14:textId="1B545227" w:rsidR="00542878" w:rsidRPr="00DC0783" w:rsidRDefault="003A2B6F" w:rsidP="00EB2F63">
      <w:pPr>
        <w:rPr>
          <w:sz w:val="22"/>
          <w:szCs w:val="22"/>
        </w:rPr>
      </w:pPr>
      <w:bookmarkStart w:id="15" w:name="_Toc239932618"/>
      <w:r w:rsidRPr="00DC0783">
        <w:rPr>
          <w:sz w:val="22"/>
          <w:szCs w:val="22"/>
        </w:rPr>
        <w:t xml:space="preserve">First Nations leadership, voices and knowledge </w:t>
      </w:r>
      <w:r w:rsidR="00223DB0" w:rsidRPr="00DC0783">
        <w:rPr>
          <w:sz w:val="22"/>
          <w:szCs w:val="22"/>
        </w:rPr>
        <w:t xml:space="preserve">are </w:t>
      </w:r>
      <w:r w:rsidRPr="00DC0783">
        <w:rPr>
          <w:sz w:val="22"/>
          <w:szCs w:val="22"/>
        </w:rPr>
        <w:t>at the heart of</w:t>
      </w:r>
      <w:r w:rsidR="00542878" w:rsidRPr="00DC0783">
        <w:rPr>
          <w:sz w:val="22"/>
          <w:szCs w:val="22"/>
        </w:rPr>
        <w:t xml:space="preserve"> </w:t>
      </w:r>
      <w:r w:rsidRPr="00DC0783">
        <w:rPr>
          <w:sz w:val="22"/>
          <w:szCs w:val="22"/>
        </w:rPr>
        <w:t xml:space="preserve">Australia's tertiary education system, </w:t>
      </w:r>
      <w:r w:rsidR="005723B9" w:rsidRPr="00DC0783">
        <w:rPr>
          <w:sz w:val="22"/>
          <w:szCs w:val="22"/>
        </w:rPr>
        <w:t>enabling</w:t>
      </w:r>
      <w:r w:rsidRPr="00DC0783">
        <w:rPr>
          <w:sz w:val="22"/>
          <w:szCs w:val="22"/>
        </w:rPr>
        <w:t xml:space="preserve"> self-determination, improving participation and success outcomes, and ensuring higher education better reflects and serves First Nations peoples and communities.</w:t>
      </w:r>
      <w:r w:rsidR="00264DC5" w:rsidRPr="00DC0783">
        <w:rPr>
          <w:sz w:val="22"/>
          <w:szCs w:val="22"/>
        </w:rPr>
        <w:t xml:space="preserve"> </w:t>
      </w:r>
      <w:bookmarkEnd w:id="15"/>
    </w:p>
    <w:p w14:paraId="1EB2270A" w14:textId="4DAC72F4" w:rsidR="00CE7CBB" w:rsidRPr="009E5354" w:rsidRDefault="000C0C01" w:rsidP="008F6C01">
      <w:pPr>
        <w:pStyle w:val="Heading2"/>
      </w:pPr>
      <w:bookmarkStart w:id="16" w:name="_Toc241679059"/>
      <w:r>
        <w:t xml:space="preserve">Equitable </w:t>
      </w:r>
      <w:r w:rsidR="00D8355F">
        <w:t>a</w:t>
      </w:r>
      <w:r w:rsidR="00CE7CBB" w:rsidRPr="009E5354">
        <w:t>ccess</w:t>
      </w:r>
      <w:r>
        <w:t xml:space="preserve">, </w:t>
      </w:r>
      <w:r w:rsidR="00D8355F">
        <w:t>p</w:t>
      </w:r>
      <w:r>
        <w:t>articipation</w:t>
      </w:r>
      <w:r w:rsidR="00CE7CBB" w:rsidRPr="009E5354">
        <w:t xml:space="preserve"> and </w:t>
      </w:r>
      <w:r w:rsidR="00D8355F">
        <w:t>s</w:t>
      </w:r>
      <w:r w:rsidR="00CE7CBB" w:rsidRPr="009E5354">
        <w:t>uccess</w:t>
      </w:r>
      <w:bookmarkEnd w:id="16"/>
    </w:p>
    <w:p w14:paraId="327FC9EC" w14:textId="796F08D6" w:rsidR="001756C2" w:rsidRPr="00DC0783" w:rsidRDefault="001756C2" w:rsidP="00E42542">
      <w:pPr>
        <w:spacing w:before="0" w:line="259" w:lineRule="auto"/>
        <w:rPr>
          <w:sz w:val="22"/>
          <w:szCs w:val="22"/>
        </w:rPr>
      </w:pPr>
      <w:r w:rsidRPr="00DC0783">
        <w:rPr>
          <w:sz w:val="22"/>
          <w:szCs w:val="22"/>
        </w:rPr>
        <w:t>All Australians have equitable and affordable access to high-quality tertiary education that enables them to develop the knowledge and skills needed to thrive, regardless of their background or circumstances. Students are safe</w:t>
      </w:r>
      <w:r w:rsidR="003A67C0" w:rsidRPr="00DC0783">
        <w:rPr>
          <w:sz w:val="22"/>
          <w:szCs w:val="22"/>
        </w:rPr>
        <w:t xml:space="preserve"> and well </w:t>
      </w:r>
      <w:r w:rsidRPr="00DC0783">
        <w:rPr>
          <w:sz w:val="22"/>
          <w:szCs w:val="22"/>
        </w:rPr>
        <w:t xml:space="preserve">supported </w:t>
      </w:r>
      <w:r w:rsidR="003A67C0" w:rsidRPr="00DC0783">
        <w:rPr>
          <w:sz w:val="22"/>
          <w:szCs w:val="22"/>
        </w:rPr>
        <w:t>t</w:t>
      </w:r>
      <w:r w:rsidRPr="00DC0783">
        <w:rPr>
          <w:sz w:val="22"/>
          <w:szCs w:val="22"/>
        </w:rPr>
        <w:t>hroughout their learning</w:t>
      </w:r>
      <w:r w:rsidR="00881C78" w:rsidRPr="00DC0783">
        <w:rPr>
          <w:sz w:val="22"/>
          <w:szCs w:val="22"/>
        </w:rPr>
        <w:t xml:space="preserve"> to achieve</w:t>
      </w:r>
      <w:r w:rsidR="0052127C" w:rsidRPr="00DC0783">
        <w:rPr>
          <w:sz w:val="22"/>
          <w:szCs w:val="22"/>
        </w:rPr>
        <w:t xml:space="preserve"> strong </w:t>
      </w:r>
      <w:r w:rsidR="0052127C" w:rsidRPr="00DC0783">
        <w:rPr>
          <w:sz w:val="22"/>
          <w:szCs w:val="22"/>
        </w:rPr>
        <w:lastRenderedPageBreak/>
        <w:t>educational outcomes.</w:t>
      </w:r>
      <w:r w:rsidR="00F77E0A">
        <w:rPr>
          <w:sz w:val="22"/>
          <w:szCs w:val="22"/>
        </w:rPr>
        <w:t xml:space="preserve"> S</w:t>
      </w:r>
      <w:r w:rsidR="006107E1">
        <w:rPr>
          <w:sz w:val="22"/>
          <w:szCs w:val="22"/>
        </w:rPr>
        <w:t xml:space="preserve">tudents are </w:t>
      </w:r>
      <w:r w:rsidR="00733537">
        <w:rPr>
          <w:sz w:val="22"/>
          <w:szCs w:val="22"/>
        </w:rPr>
        <w:t>able to prog</w:t>
      </w:r>
      <w:r w:rsidR="00777F2F">
        <w:rPr>
          <w:sz w:val="22"/>
          <w:szCs w:val="22"/>
        </w:rPr>
        <w:t>ress s</w:t>
      </w:r>
      <w:r w:rsidR="00D103FA">
        <w:rPr>
          <w:sz w:val="22"/>
          <w:szCs w:val="22"/>
        </w:rPr>
        <w:t>atisfact</w:t>
      </w:r>
      <w:r w:rsidR="00F75D64">
        <w:rPr>
          <w:sz w:val="22"/>
          <w:szCs w:val="22"/>
        </w:rPr>
        <w:t>orily thro</w:t>
      </w:r>
      <w:r w:rsidR="00C1792C">
        <w:rPr>
          <w:sz w:val="22"/>
          <w:szCs w:val="22"/>
        </w:rPr>
        <w:t>ugh their stud</w:t>
      </w:r>
      <w:r w:rsidR="00F5361E">
        <w:rPr>
          <w:sz w:val="22"/>
          <w:szCs w:val="22"/>
        </w:rPr>
        <w:t xml:space="preserve">ies </w:t>
      </w:r>
      <w:r w:rsidR="009C4C60">
        <w:rPr>
          <w:sz w:val="22"/>
          <w:szCs w:val="22"/>
        </w:rPr>
        <w:t>fini</w:t>
      </w:r>
      <w:r w:rsidR="00D91FD7">
        <w:rPr>
          <w:sz w:val="22"/>
          <w:szCs w:val="22"/>
        </w:rPr>
        <w:t>shing in min</w:t>
      </w:r>
      <w:r w:rsidR="00BD3E31">
        <w:rPr>
          <w:sz w:val="22"/>
          <w:szCs w:val="22"/>
        </w:rPr>
        <w:t>imum time</w:t>
      </w:r>
      <w:r w:rsidR="000C79EF">
        <w:rPr>
          <w:sz w:val="22"/>
          <w:szCs w:val="22"/>
        </w:rPr>
        <w:t xml:space="preserve"> inc</w:t>
      </w:r>
      <w:r w:rsidR="00C65C08">
        <w:rPr>
          <w:sz w:val="22"/>
          <w:szCs w:val="22"/>
        </w:rPr>
        <w:t>urri</w:t>
      </w:r>
      <w:r w:rsidR="00B6448E">
        <w:rPr>
          <w:sz w:val="22"/>
          <w:szCs w:val="22"/>
        </w:rPr>
        <w:t xml:space="preserve">ng minimum </w:t>
      </w:r>
      <w:r w:rsidR="003562ED">
        <w:rPr>
          <w:sz w:val="22"/>
          <w:szCs w:val="22"/>
        </w:rPr>
        <w:t>debt</w:t>
      </w:r>
      <w:r w:rsidR="0048393C">
        <w:rPr>
          <w:sz w:val="22"/>
          <w:szCs w:val="22"/>
        </w:rPr>
        <w:t>.</w:t>
      </w:r>
    </w:p>
    <w:p w14:paraId="3E4CB424" w14:textId="1A8DE109" w:rsidR="00CE7CBB" w:rsidRPr="009E5354" w:rsidRDefault="007E16A7" w:rsidP="008F6C01">
      <w:pPr>
        <w:pStyle w:val="Heading2"/>
      </w:pPr>
      <w:bookmarkStart w:id="17" w:name="_Toc241679060"/>
      <w:r>
        <w:t>Graduate capability and national benefit</w:t>
      </w:r>
      <w:bookmarkEnd w:id="17"/>
    </w:p>
    <w:p w14:paraId="6E35BE6C" w14:textId="1B9477C0" w:rsidR="00BB5F43" w:rsidRPr="00DC0783" w:rsidRDefault="00BB5F43" w:rsidP="00BB5F43">
      <w:pPr>
        <w:spacing w:before="0" w:line="259" w:lineRule="auto"/>
        <w:rPr>
          <w:sz w:val="22"/>
          <w:szCs w:val="22"/>
        </w:rPr>
      </w:pPr>
      <w:r w:rsidRPr="00DC0783">
        <w:rPr>
          <w:sz w:val="22"/>
          <w:szCs w:val="22"/>
        </w:rPr>
        <w:t>Graduates possess the creativity</w:t>
      </w:r>
      <w:r w:rsidR="00E336E7" w:rsidRPr="00DC0783">
        <w:rPr>
          <w:sz w:val="22"/>
          <w:szCs w:val="22"/>
        </w:rPr>
        <w:t xml:space="preserve"> and </w:t>
      </w:r>
      <w:r w:rsidRPr="00DC0783">
        <w:rPr>
          <w:sz w:val="22"/>
          <w:szCs w:val="22"/>
        </w:rPr>
        <w:t>technical expertise needed to meet evolving workforce, industry and societal needs. Governments, tertiary providers, employers, industry and unions work collaboratively to align education and training with current and emerging skills demand, supporting a productive, resilient and future-ready workforce.</w:t>
      </w:r>
      <w:r w:rsidR="00D614C5">
        <w:rPr>
          <w:sz w:val="22"/>
          <w:szCs w:val="22"/>
        </w:rPr>
        <w:t xml:space="preserve"> </w:t>
      </w:r>
      <w:r w:rsidR="00133624">
        <w:rPr>
          <w:sz w:val="22"/>
          <w:szCs w:val="22"/>
        </w:rPr>
        <w:t>T</w:t>
      </w:r>
      <w:r w:rsidR="00133624" w:rsidRPr="00D614C5">
        <w:rPr>
          <w:sz w:val="22"/>
          <w:szCs w:val="22"/>
        </w:rPr>
        <w:t xml:space="preserve">he humanities, social sciences and the arts </w:t>
      </w:r>
      <w:r w:rsidR="00133624">
        <w:rPr>
          <w:sz w:val="22"/>
          <w:szCs w:val="22"/>
        </w:rPr>
        <w:t xml:space="preserve">will thrive </w:t>
      </w:r>
      <w:r w:rsidR="00133624" w:rsidRPr="00133624">
        <w:rPr>
          <w:sz w:val="22"/>
          <w:szCs w:val="22"/>
        </w:rPr>
        <w:t>as a vital part of a dynamic tertiary education system contributing to a well-functioning society and a resilient democracy</w:t>
      </w:r>
      <w:r w:rsidR="00133624">
        <w:rPr>
          <w:sz w:val="22"/>
          <w:szCs w:val="22"/>
        </w:rPr>
        <w:t>.</w:t>
      </w:r>
    </w:p>
    <w:p w14:paraId="7E40C9DF" w14:textId="6DBDA633" w:rsidR="00CE7CBB" w:rsidRPr="009E5354" w:rsidRDefault="00967746" w:rsidP="008F6C01">
      <w:pPr>
        <w:pStyle w:val="Heading2"/>
      </w:pPr>
      <w:bookmarkStart w:id="18" w:name="_Toc241679061"/>
      <w:r>
        <w:t>Research and knowledge for public benefit</w:t>
      </w:r>
      <w:bookmarkEnd w:id="18"/>
    </w:p>
    <w:p w14:paraId="4DA40E8F" w14:textId="77777777" w:rsidR="00856BFD" w:rsidRPr="00DC0783" w:rsidRDefault="00856BFD" w:rsidP="00856BFD">
      <w:pPr>
        <w:spacing w:before="0" w:line="259" w:lineRule="auto"/>
        <w:rPr>
          <w:sz w:val="22"/>
          <w:szCs w:val="22"/>
        </w:rPr>
      </w:pPr>
      <w:r w:rsidRPr="00DC0783">
        <w:rPr>
          <w:sz w:val="22"/>
          <w:szCs w:val="22"/>
        </w:rPr>
        <w:t>The tertiary education sector generates, advances and applies new knowledge to address national challenges, drive innovation and improve social, economic, environmental and cultural outcomes. Through excellence in research and research training, it develops the capability, talent and partnerships needed to translate knowledge into benefits for society.</w:t>
      </w:r>
    </w:p>
    <w:p w14:paraId="6C16A619" w14:textId="78B0295A" w:rsidR="00CE7CBB" w:rsidRPr="009E5354" w:rsidRDefault="00D8355F" w:rsidP="008F6C01">
      <w:pPr>
        <w:pStyle w:val="Heading2"/>
      </w:pPr>
      <w:bookmarkStart w:id="19" w:name="_Toc241679062"/>
      <w:r>
        <w:t>System quality, diversity and resilience</w:t>
      </w:r>
      <w:bookmarkEnd w:id="19"/>
    </w:p>
    <w:p w14:paraId="574BF82D" w14:textId="0775726C" w:rsidR="0074308F" w:rsidRPr="001E38C1" w:rsidRDefault="00B037F8" w:rsidP="001E38C1">
      <w:pPr>
        <w:spacing w:before="0" w:line="259" w:lineRule="auto"/>
        <w:rPr>
          <w:sz w:val="22"/>
          <w:szCs w:val="22"/>
        </w:rPr>
      </w:pPr>
      <w:r w:rsidRPr="00DC0783">
        <w:rPr>
          <w:sz w:val="22"/>
          <w:szCs w:val="22"/>
        </w:rPr>
        <w:t>The tertiary education sector is sustainable, diverse and resilient, with the capacity, capability and infrastructure required to meet current and future learner, workforce and community needs. It operates as a dynamic and efficient system that supports quality</w:t>
      </w:r>
      <w:r w:rsidR="005356BA" w:rsidRPr="00DC0783">
        <w:rPr>
          <w:sz w:val="22"/>
          <w:szCs w:val="22"/>
        </w:rPr>
        <w:t xml:space="preserve"> and</w:t>
      </w:r>
      <w:r w:rsidRPr="00DC0783">
        <w:rPr>
          <w:sz w:val="22"/>
          <w:szCs w:val="22"/>
        </w:rPr>
        <w:t xml:space="preserve"> innovation</w:t>
      </w:r>
      <w:r w:rsidR="005356BA" w:rsidRPr="00DC0783">
        <w:rPr>
          <w:sz w:val="22"/>
          <w:szCs w:val="22"/>
        </w:rPr>
        <w:t>.</w:t>
      </w:r>
    </w:p>
    <w:p w14:paraId="4F9041E1" w14:textId="77777777" w:rsidR="000B5E4A" w:rsidRDefault="000B5E4A" w:rsidP="0074308F"/>
    <w:p w14:paraId="1F98EDDA" w14:textId="6B460130" w:rsidR="000F6E1D" w:rsidRDefault="000F6E1D">
      <w:pPr>
        <w:spacing w:before="160" w:line="260" w:lineRule="atLeast"/>
        <w:rPr>
          <w:rFonts w:eastAsiaTheme="majorEastAsia" w:cstheme="majorBidi"/>
          <w:bCs/>
          <w:color w:val="009364" w:themeColor="accent2"/>
          <w:sz w:val="48"/>
          <w:szCs w:val="40"/>
        </w:rPr>
      </w:pPr>
      <w:r>
        <w:br w:type="page"/>
      </w:r>
    </w:p>
    <w:p w14:paraId="48E37E1A" w14:textId="2BAE117D" w:rsidR="00CC4268" w:rsidRDefault="00521D99" w:rsidP="000A695B">
      <w:pPr>
        <w:pStyle w:val="Heading1"/>
      </w:pPr>
      <w:bookmarkStart w:id="20" w:name="_Toc241679063"/>
      <w:r>
        <w:lastRenderedPageBreak/>
        <w:t xml:space="preserve">Strategic </w:t>
      </w:r>
      <w:r w:rsidR="000F6E1D">
        <w:t>Priorities</w:t>
      </w:r>
      <w:bookmarkEnd w:id="20"/>
    </w:p>
    <w:p w14:paraId="7C3992EF" w14:textId="6907159C" w:rsidR="00BA4DFF" w:rsidRPr="00DC0CC0" w:rsidRDefault="00C504AC" w:rsidP="00CE7CBB">
      <w:pPr>
        <w:rPr>
          <w:sz w:val="22"/>
          <w:szCs w:val="22"/>
        </w:rPr>
      </w:pPr>
      <w:r w:rsidRPr="00DC0CC0">
        <w:rPr>
          <w:sz w:val="22"/>
          <w:szCs w:val="22"/>
        </w:rPr>
        <w:t xml:space="preserve">The draft strategic priorities outlined below have been developed drawing on ATEC's </w:t>
      </w:r>
      <w:hyperlink r:id="rId23" w:history="1">
        <w:r w:rsidRPr="00DC0CC0">
          <w:rPr>
            <w:rStyle w:val="Hyperlink"/>
            <w:sz w:val="22"/>
            <w:szCs w:val="22"/>
          </w:rPr>
          <w:t>interim SSP</w:t>
        </w:r>
      </w:hyperlink>
      <w:r w:rsidRPr="00DC0CC0">
        <w:rPr>
          <w:sz w:val="22"/>
          <w:szCs w:val="22"/>
        </w:rPr>
        <w:t xml:space="preserve">, </w:t>
      </w:r>
      <w:r w:rsidR="00B54139" w:rsidRPr="00DC0CC0">
        <w:rPr>
          <w:sz w:val="22"/>
          <w:szCs w:val="22"/>
        </w:rPr>
        <w:t xml:space="preserve">and </w:t>
      </w:r>
      <w:r w:rsidRPr="00DC0CC0">
        <w:rPr>
          <w:sz w:val="22"/>
          <w:szCs w:val="22"/>
        </w:rPr>
        <w:t xml:space="preserve">insights gathered through </w:t>
      </w:r>
      <w:r w:rsidR="00C67C3F" w:rsidRPr="00DC0CC0">
        <w:rPr>
          <w:sz w:val="22"/>
          <w:szCs w:val="22"/>
        </w:rPr>
        <w:t xml:space="preserve">the foundation </w:t>
      </w:r>
      <w:r w:rsidRPr="00DC0CC0">
        <w:rPr>
          <w:sz w:val="22"/>
          <w:szCs w:val="22"/>
        </w:rPr>
        <w:t>mission</w:t>
      </w:r>
      <w:r w:rsidR="00E77EB4" w:rsidRPr="00DC0CC0">
        <w:rPr>
          <w:sz w:val="22"/>
          <w:szCs w:val="22"/>
        </w:rPr>
        <w:t xml:space="preserve"> </w:t>
      </w:r>
      <w:r w:rsidRPr="00DC0CC0">
        <w:rPr>
          <w:sz w:val="22"/>
          <w:szCs w:val="22"/>
        </w:rPr>
        <w:t>based compact negotiations and broader engagement with the tertiary education sector.</w:t>
      </w:r>
    </w:p>
    <w:p w14:paraId="123A06E6" w14:textId="77777777" w:rsidR="006D620F" w:rsidRDefault="007B0592" w:rsidP="00CE7CBB">
      <w:pPr>
        <w:rPr>
          <w:sz w:val="22"/>
          <w:szCs w:val="22"/>
        </w:rPr>
      </w:pPr>
      <w:r w:rsidRPr="00DC0CC0">
        <w:rPr>
          <w:sz w:val="22"/>
          <w:szCs w:val="22"/>
        </w:rPr>
        <w:t>The strategic priority areas are not intended to align on a one-to-one basis with the</w:t>
      </w:r>
      <w:r w:rsidR="00444232" w:rsidRPr="00DC0CC0">
        <w:rPr>
          <w:sz w:val="22"/>
          <w:szCs w:val="22"/>
        </w:rPr>
        <w:t xml:space="preserve"> outcomes; rather, they identify the areas where focussed effort and attention </w:t>
      </w:r>
      <w:r w:rsidR="00E32F56" w:rsidRPr="00DC0CC0">
        <w:rPr>
          <w:sz w:val="22"/>
          <w:szCs w:val="22"/>
        </w:rPr>
        <w:t>is</w:t>
      </w:r>
      <w:r w:rsidR="00444232" w:rsidRPr="00DC0CC0">
        <w:rPr>
          <w:sz w:val="22"/>
          <w:szCs w:val="22"/>
        </w:rPr>
        <w:t xml:space="preserve"> required in the short- to medium-term</w:t>
      </w:r>
      <w:r w:rsidR="0078786A" w:rsidRPr="00DC0CC0">
        <w:rPr>
          <w:sz w:val="22"/>
          <w:szCs w:val="22"/>
        </w:rPr>
        <w:t xml:space="preserve"> to drive progress</w:t>
      </w:r>
      <w:r w:rsidR="003F3572">
        <w:rPr>
          <w:sz w:val="22"/>
          <w:szCs w:val="22"/>
        </w:rPr>
        <w:t xml:space="preserve"> towards long term outcomes</w:t>
      </w:r>
      <w:r w:rsidR="0078786A" w:rsidRPr="00DC0CC0">
        <w:rPr>
          <w:sz w:val="22"/>
          <w:szCs w:val="22"/>
        </w:rPr>
        <w:t xml:space="preserve">. </w:t>
      </w:r>
      <w:r w:rsidR="00EB10A3" w:rsidRPr="00DC0CC0">
        <w:rPr>
          <w:sz w:val="22"/>
          <w:szCs w:val="22"/>
        </w:rPr>
        <w:t>Collectively, and in interconnected ways, actions across</w:t>
      </w:r>
      <w:r w:rsidR="000D0656" w:rsidRPr="00DC0CC0">
        <w:rPr>
          <w:sz w:val="22"/>
          <w:szCs w:val="22"/>
        </w:rPr>
        <w:t xml:space="preserve"> the proposed priority areas will contribute to </w:t>
      </w:r>
      <w:r w:rsidR="00DF6400" w:rsidRPr="00DC0CC0">
        <w:rPr>
          <w:sz w:val="22"/>
          <w:szCs w:val="22"/>
        </w:rPr>
        <w:t xml:space="preserve">achievement of </w:t>
      </w:r>
      <w:r w:rsidR="001A5D8A" w:rsidRPr="00DC0CC0">
        <w:rPr>
          <w:sz w:val="22"/>
          <w:szCs w:val="22"/>
        </w:rPr>
        <w:t xml:space="preserve">the broader system level outcomes. </w:t>
      </w:r>
      <w:r w:rsidR="00DA0129" w:rsidRPr="00DC0CC0">
        <w:rPr>
          <w:sz w:val="22"/>
          <w:szCs w:val="22"/>
        </w:rPr>
        <w:t>It is acknowledged that progress</w:t>
      </w:r>
      <w:r w:rsidR="002942C8" w:rsidRPr="00DC0CC0">
        <w:rPr>
          <w:sz w:val="22"/>
          <w:szCs w:val="22"/>
        </w:rPr>
        <w:t xml:space="preserve"> towards any individual outcome will often depend on action across multiple strategic priorities</w:t>
      </w:r>
      <w:r w:rsidR="001A5D8A" w:rsidRPr="00DC0CC0">
        <w:rPr>
          <w:sz w:val="22"/>
          <w:szCs w:val="22"/>
        </w:rPr>
        <w:t xml:space="preserve">. </w:t>
      </w:r>
    </w:p>
    <w:p w14:paraId="572753A2" w14:textId="77777777" w:rsidR="006D620F" w:rsidRPr="0037776E" w:rsidRDefault="006D620F" w:rsidP="006D620F">
      <w:pPr>
        <w:rPr>
          <w:b/>
          <w:bCs/>
          <w:color w:val="009364" w:themeColor="accent2"/>
          <w:sz w:val="28"/>
          <w:szCs w:val="28"/>
        </w:rPr>
      </w:pPr>
      <w:r w:rsidRPr="00CD5623">
        <w:rPr>
          <w:b/>
          <w:bCs/>
          <w:color w:val="009364" w:themeColor="accent2"/>
          <w:sz w:val="28"/>
          <w:szCs w:val="28"/>
        </w:rPr>
        <w:t>Existi</w:t>
      </w:r>
      <w:r w:rsidRPr="00CD5623">
        <w:rPr>
          <w:b/>
          <w:bCs/>
          <w:color w:val="009364" w:themeColor="accent2"/>
          <w:sz w:val="28"/>
          <w:szCs w:val="28"/>
        </w:rPr>
        <w:lastRenderedPageBreak/>
        <w:t>ng priorities in the interim SSP</w:t>
      </w:r>
    </w:p>
    <w:p w14:paraId="1AC062E4" w14:textId="77777777" w:rsidR="006D620F" w:rsidRDefault="006D620F" w:rsidP="006D620F">
      <w:r>
        <w:rPr>
          <w:b/>
          <w:bCs/>
          <w:noProof/>
          <w:sz w:val="28"/>
          <w:szCs w:val="28"/>
        </w:rPr>
        <w:drawing>
          <wp:anchor distT="0" distB="0" distL="114300" distR="114300" simplePos="0" relativeHeight="251658244" behindDoc="0" locked="0" layoutInCell="1" allowOverlap="1" wp14:anchorId="1BA1AA29" wp14:editId="2409A3AA">
            <wp:simplePos x="0" y="0"/>
            <wp:positionH relativeFrom="margin">
              <wp:posOffset>136478</wp:posOffset>
            </wp:positionH>
            <wp:positionV relativeFrom="paragraph">
              <wp:posOffset>142401</wp:posOffset>
            </wp:positionV>
            <wp:extent cx="5663565" cy="3623310"/>
            <wp:effectExtent l="0" t="0" r="0" b="0"/>
            <wp:wrapTopAndBottom/>
            <wp:docPr id="1315913873" name="Picture 41" descr="Text box stating priorities in the interim SSP. Refer to body of document for furthe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13873" name="Picture 41" descr="Text box stating priorities in the interim SSP. Refer to body of document for further information."/>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63565" cy="3623310"/>
                    </a:xfrm>
                    <a:prstGeom prst="rect">
                      <a:avLst/>
                    </a:prstGeom>
                    <a:noFill/>
                    <a:ln>
                      <a:noFill/>
                    </a:ln>
                  </pic:spPr>
                </pic:pic>
              </a:graphicData>
            </a:graphic>
          </wp:anchor>
        </w:drawing>
      </w:r>
    </w:p>
    <w:p w14:paraId="16B13341" w14:textId="6AE3D7BE" w:rsidR="00CF3F41" w:rsidRPr="006D620F" w:rsidRDefault="006D620F" w:rsidP="00CE7CBB">
      <w:pPr>
        <w:rPr>
          <w:b/>
          <w:color w:val="009364" w:themeColor="accent2"/>
          <w:sz w:val="28"/>
          <w:szCs w:val="28"/>
        </w:rPr>
      </w:pPr>
      <w:r w:rsidRPr="00CD5623">
        <w:rPr>
          <w:b/>
          <w:bCs/>
          <w:color w:val="009364" w:themeColor="accent2"/>
          <w:sz w:val="28"/>
          <w:szCs w:val="28"/>
        </w:rPr>
        <w:t>Proposed new priority areas</w:t>
      </w:r>
      <w:r w:rsidR="00E86332">
        <w:tab/>
      </w:r>
    </w:p>
    <w:p w14:paraId="45F8C830" w14:textId="2A7A6680" w:rsidR="00244D03" w:rsidRDefault="007B17DB" w:rsidP="00C504AC">
      <w:r>
        <w:rPr>
          <w:noProof/>
        </w:rPr>
        <w:drawing>
          <wp:anchor distT="0" distB="0" distL="114300" distR="114300" simplePos="0" relativeHeight="251658243" behindDoc="0" locked="0" layoutInCell="1" allowOverlap="1" wp14:anchorId="763A25DD" wp14:editId="34C2BB1E">
            <wp:simplePos x="0" y="0"/>
            <wp:positionH relativeFrom="column">
              <wp:posOffset>3810</wp:posOffset>
            </wp:positionH>
            <wp:positionV relativeFrom="paragraph">
              <wp:posOffset>-1270</wp:posOffset>
            </wp:positionV>
            <wp:extent cx="6124575" cy="1133475"/>
            <wp:effectExtent l="0" t="0" r="9525" b="9525"/>
            <wp:wrapTopAndBottom/>
            <wp:docPr id="56876490" name="Picture 38" descr="Text box stating new priorities in the SSP. Refer to body of document for furthe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6490" name="Picture 38" descr="Text box stating new priorities in the SSP. Refer to body of document for further information."/>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24575" cy="1133475"/>
                    </a:xfrm>
                    <a:prstGeom prst="rect">
                      <a:avLst/>
                    </a:prstGeom>
                    <a:noFill/>
                    <a:ln>
                      <a:noFill/>
                    </a:ln>
                  </pic:spPr>
                </pic:pic>
              </a:graphicData>
            </a:graphic>
          </wp:anchor>
        </w:drawing>
      </w:r>
    </w:p>
    <w:p w14:paraId="06C6EBA6" w14:textId="7F811564" w:rsidR="00AC38A6" w:rsidRDefault="00AC38A6" w:rsidP="001D0A9E">
      <w:pPr>
        <w:pStyle w:val="Heading2"/>
        <w:spacing w:line="300" w:lineRule="auto"/>
      </w:pPr>
      <w:bookmarkStart w:id="21" w:name="_Toc241679064"/>
      <w:r>
        <w:t>National, state/territory and regional priorities</w:t>
      </w:r>
      <w:bookmarkEnd w:id="21"/>
    </w:p>
    <w:p w14:paraId="4F630E21" w14:textId="649106B5" w:rsidR="00E366DD" w:rsidRPr="009D2F85" w:rsidRDefault="00E366DD" w:rsidP="001D0A9E">
      <w:pPr>
        <w:pStyle w:val="Heading3"/>
        <w:spacing w:line="300" w:lineRule="auto"/>
        <w:rPr>
          <w:color w:val="009364" w:themeColor="accent2"/>
        </w:rPr>
      </w:pPr>
      <w:r w:rsidRPr="009D2F85">
        <w:rPr>
          <w:color w:val="009364" w:themeColor="accent2"/>
        </w:rPr>
        <w:t>Driving increased attainment aligned with critical workforce needs</w:t>
      </w:r>
    </w:p>
    <w:p w14:paraId="7E88B297" w14:textId="01488C96" w:rsidR="00DB2B48" w:rsidRPr="002D57ED" w:rsidRDefault="00DB2B48" w:rsidP="00FB7D21">
      <w:pPr>
        <w:rPr>
          <w:sz w:val="22"/>
          <w:szCs w:val="22"/>
        </w:rPr>
      </w:pPr>
      <w:r w:rsidRPr="002D57ED">
        <w:rPr>
          <w:sz w:val="22"/>
          <w:szCs w:val="22"/>
        </w:rPr>
        <w:t>Building a highly skilled workforce is essential to Australia’s future economic prosperity, productivity</w:t>
      </w:r>
      <w:r w:rsidR="00AD5C58" w:rsidRPr="002D57ED">
        <w:rPr>
          <w:sz w:val="22"/>
          <w:szCs w:val="22"/>
        </w:rPr>
        <w:t>, resilience</w:t>
      </w:r>
      <w:r w:rsidRPr="002D57ED">
        <w:rPr>
          <w:sz w:val="22"/>
          <w:szCs w:val="22"/>
        </w:rPr>
        <w:t xml:space="preserve"> and competitiveness. As industries evolve and new opportunities emerge, the tertiary education system</w:t>
      </w:r>
      <w:r w:rsidR="00953003">
        <w:rPr>
          <w:sz w:val="22"/>
          <w:szCs w:val="22"/>
        </w:rPr>
        <w:t>, through teaching and learning and research excellence,</w:t>
      </w:r>
      <w:r w:rsidRPr="002D57ED">
        <w:rPr>
          <w:sz w:val="22"/>
          <w:szCs w:val="22"/>
        </w:rPr>
        <w:t xml:space="preserve"> play</w:t>
      </w:r>
      <w:r w:rsidR="001B78AB">
        <w:rPr>
          <w:sz w:val="22"/>
          <w:szCs w:val="22"/>
        </w:rPr>
        <w:t>s</w:t>
      </w:r>
      <w:r w:rsidRPr="002D57ED">
        <w:rPr>
          <w:sz w:val="22"/>
          <w:szCs w:val="22"/>
        </w:rPr>
        <w:t xml:space="preserve"> a critical role in developing the</w:t>
      </w:r>
      <w:r w:rsidR="00E47418" w:rsidRPr="002D57ED">
        <w:rPr>
          <w:sz w:val="22"/>
          <w:szCs w:val="22"/>
        </w:rPr>
        <w:t xml:space="preserve"> knowledge and</w:t>
      </w:r>
      <w:r w:rsidRPr="002D57ED">
        <w:rPr>
          <w:sz w:val="22"/>
          <w:szCs w:val="22"/>
        </w:rPr>
        <w:t xml:space="preserve"> skil</w:t>
      </w:r>
      <w:r w:rsidR="00F752D5" w:rsidRPr="002D57ED">
        <w:rPr>
          <w:sz w:val="22"/>
          <w:szCs w:val="22"/>
        </w:rPr>
        <w:t>ls</w:t>
      </w:r>
      <w:r w:rsidRPr="002D57ED">
        <w:rPr>
          <w:sz w:val="22"/>
          <w:szCs w:val="22"/>
        </w:rPr>
        <w:t xml:space="preserve"> workers need to meet current and future workforce demands. This is particularly important in areas of national significance, including </w:t>
      </w:r>
      <w:r w:rsidR="00925B99" w:rsidRPr="002D57ED">
        <w:rPr>
          <w:sz w:val="22"/>
          <w:szCs w:val="22"/>
        </w:rPr>
        <w:t>care services</w:t>
      </w:r>
      <w:r w:rsidRPr="002D57ED">
        <w:rPr>
          <w:sz w:val="22"/>
          <w:szCs w:val="22"/>
        </w:rPr>
        <w:t xml:space="preserve">, education, digital technologies, </w:t>
      </w:r>
      <w:r w:rsidR="00371234" w:rsidRPr="002D57ED">
        <w:rPr>
          <w:sz w:val="22"/>
          <w:szCs w:val="22"/>
        </w:rPr>
        <w:t>sovereign capability and food security</w:t>
      </w:r>
      <w:r w:rsidRPr="002D57ED">
        <w:rPr>
          <w:sz w:val="22"/>
          <w:szCs w:val="22"/>
        </w:rPr>
        <w:t>, housing and construction, and the transition to a net zero economy. Increasing attainment in these fields helps ensure Australia has the talent and expertise required to support economic growth, deliver essential services and respond to emerging challenges.</w:t>
      </w:r>
    </w:p>
    <w:p w14:paraId="5D383434" w14:textId="14846506" w:rsidR="00DB2B48" w:rsidRPr="002D57ED" w:rsidRDefault="00230E05" w:rsidP="00FB7D21">
      <w:pPr>
        <w:rPr>
          <w:sz w:val="22"/>
          <w:szCs w:val="22"/>
        </w:rPr>
      </w:pPr>
      <w:r w:rsidRPr="002D57ED">
        <w:rPr>
          <w:sz w:val="22"/>
          <w:szCs w:val="22"/>
        </w:rPr>
        <w:t>Tertiary</w:t>
      </w:r>
      <w:r w:rsidR="00434BB6" w:rsidRPr="002D57ED">
        <w:rPr>
          <w:sz w:val="22"/>
          <w:szCs w:val="22"/>
        </w:rPr>
        <w:t xml:space="preserve"> education also develops the civic, professional and leadership capabilities </w:t>
      </w:r>
      <w:r w:rsidR="002A75A2" w:rsidRPr="002D57ED">
        <w:rPr>
          <w:sz w:val="22"/>
          <w:szCs w:val="22"/>
        </w:rPr>
        <w:t>needed for Australians to participate fully in society, contribute to their communities and respond to complex national challenges.</w:t>
      </w:r>
      <w:r w:rsidR="00274CC0">
        <w:rPr>
          <w:sz w:val="22"/>
          <w:szCs w:val="22"/>
        </w:rPr>
        <w:t xml:space="preserve"> </w:t>
      </w:r>
      <w:r w:rsidR="00DB2B48" w:rsidRPr="002D57ED">
        <w:rPr>
          <w:sz w:val="22"/>
          <w:szCs w:val="22"/>
        </w:rPr>
        <w:t>Workforce needs</w:t>
      </w:r>
      <w:r w:rsidR="00D74B75" w:rsidRPr="002D57ED">
        <w:rPr>
          <w:sz w:val="22"/>
          <w:szCs w:val="22"/>
        </w:rPr>
        <w:t xml:space="preserve">, </w:t>
      </w:r>
      <w:r w:rsidR="00DB2B48" w:rsidRPr="002D57ED">
        <w:rPr>
          <w:sz w:val="22"/>
          <w:szCs w:val="22"/>
        </w:rPr>
        <w:t>economic priorities</w:t>
      </w:r>
      <w:r w:rsidR="00D74B75" w:rsidRPr="002D57ED">
        <w:rPr>
          <w:sz w:val="22"/>
          <w:szCs w:val="22"/>
        </w:rPr>
        <w:t xml:space="preserve"> and community aspirations</w:t>
      </w:r>
      <w:r w:rsidR="00DB2B48" w:rsidRPr="002D57ED">
        <w:rPr>
          <w:sz w:val="22"/>
          <w:szCs w:val="22"/>
        </w:rPr>
        <w:t xml:space="preserve"> vary across jurisdictions and </w:t>
      </w:r>
      <w:r w:rsidR="00D74B75" w:rsidRPr="002D57ED">
        <w:rPr>
          <w:sz w:val="22"/>
          <w:szCs w:val="22"/>
        </w:rPr>
        <w:t>regions</w:t>
      </w:r>
      <w:r w:rsidR="00DB2B48" w:rsidRPr="002D57ED">
        <w:rPr>
          <w:sz w:val="22"/>
          <w:szCs w:val="22"/>
        </w:rPr>
        <w:t>, requiring place-based approaches that reflect local circumstances</w:t>
      </w:r>
      <w:r w:rsidR="00475345" w:rsidRPr="002D57ED">
        <w:rPr>
          <w:sz w:val="22"/>
          <w:szCs w:val="22"/>
        </w:rPr>
        <w:t>.</w:t>
      </w:r>
      <w:r w:rsidR="00654F67" w:rsidRPr="002D57ED">
        <w:rPr>
          <w:sz w:val="22"/>
          <w:szCs w:val="22"/>
        </w:rPr>
        <w:t xml:space="preserve"> </w:t>
      </w:r>
      <w:r w:rsidR="00DB2B48" w:rsidRPr="002D57ED">
        <w:rPr>
          <w:sz w:val="22"/>
          <w:szCs w:val="22"/>
        </w:rPr>
        <w:t xml:space="preserve">Recognising these diverse priorities within tertiary education planning can support a more responsive, coordinated and future-focused system, helping learners gain the </w:t>
      </w:r>
      <w:r w:rsidR="0073591B" w:rsidRPr="002D57ED">
        <w:rPr>
          <w:sz w:val="22"/>
          <w:szCs w:val="22"/>
        </w:rPr>
        <w:t xml:space="preserve">knowledge and </w:t>
      </w:r>
      <w:r w:rsidR="00DB2B48" w:rsidRPr="002D57ED">
        <w:rPr>
          <w:sz w:val="22"/>
          <w:szCs w:val="22"/>
        </w:rPr>
        <w:t>skills they need while ensuring communities, industries and governments have access to the workforce capabilities required</w:t>
      </w:r>
      <w:r w:rsidR="000A101D" w:rsidRPr="002D57ED">
        <w:rPr>
          <w:sz w:val="22"/>
          <w:szCs w:val="22"/>
        </w:rPr>
        <w:t xml:space="preserve"> to thrive</w:t>
      </w:r>
      <w:r w:rsidR="00DB2B48" w:rsidRPr="002D57ED">
        <w:rPr>
          <w:sz w:val="22"/>
          <w:szCs w:val="22"/>
        </w:rPr>
        <w:t>.</w:t>
      </w:r>
    </w:p>
    <w:p w14:paraId="4FB48819" w14:textId="1E679EEA" w:rsidR="00E366DD" w:rsidRDefault="00E366DD" w:rsidP="001D0A9E">
      <w:pPr>
        <w:pStyle w:val="Heading2"/>
        <w:spacing w:line="300" w:lineRule="auto"/>
      </w:pPr>
      <w:bookmarkStart w:id="22" w:name="_Toc241679065"/>
      <w:r>
        <w:t>First Nations</w:t>
      </w:r>
      <w:bookmarkEnd w:id="22"/>
    </w:p>
    <w:p w14:paraId="19D4DE56" w14:textId="5544E93C" w:rsidR="0042287E" w:rsidRPr="009D2F85" w:rsidRDefault="0042287E" w:rsidP="001D0A9E">
      <w:pPr>
        <w:pStyle w:val="Heading3"/>
        <w:spacing w:line="300" w:lineRule="auto"/>
        <w:rPr>
          <w:color w:val="009364" w:themeColor="accent2"/>
        </w:rPr>
      </w:pPr>
      <w:r w:rsidRPr="009D2F85">
        <w:rPr>
          <w:color w:val="009364" w:themeColor="accent2"/>
        </w:rPr>
        <w:t>Empowering First Nations leadership and enabling self-determination</w:t>
      </w:r>
    </w:p>
    <w:p w14:paraId="26B45D58" w14:textId="01C09E1E" w:rsidR="00C53299" w:rsidRPr="001E38C1" w:rsidRDefault="000A56B5" w:rsidP="00FB7D21">
      <w:pPr>
        <w:rPr>
          <w:sz w:val="22"/>
          <w:szCs w:val="22"/>
        </w:rPr>
      </w:pPr>
      <w:r w:rsidRPr="00FB7D21">
        <w:rPr>
          <w:sz w:val="22"/>
          <w:szCs w:val="22"/>
        </w:rPr>
        <w:t>First Nations</w:t>
      </w:r>
      <w:r w:rsidR="00D922F1" w:rsidRPr="00FB7D21">
        <w:rPr>
          <w:sz w:val="22"/>
          <w:szCs w:val="22"/>
        </w:rPr>
        <w:t xml:space="preserve"> self-determination is </w:t>
      </w:r>
      <w:r w:rsidRPr="00FB7D21">
        <w:rPr>
          <w:sz w:val="22"/>
          <w:szCs w:val="22"/>
        </w:rPr>
        <w:t>fundamental</w:t>
      </w:r>
      <w:r w:rsidR="00D922F1" w:rsidRPr="00FB7D21">
        <w:rPr>
          <w:sz w:val="22"/>
          <w:szCs w:val="22"/>
        </w:rPr>
        <w:t xml:space="preserve"> to achieving equitable</w:t>
      </w:r>
      <w:r w:rsidR="0017126A" w:rsidRPr="00FB7D21">
        <w:rPr>
          <w:sz w:val="22"/>
          <w:szCs w:val="22"/>
        </w:rPr>
        <w:t xml:space="preserve">, </w:t>
      </w:r>
      <w:r w:rsidR="00D922F1" w:rsidRPr="00FB7D21">
        <w:rPr>
          <w:sz w:val="22"/>
          <w:szCs w:val="22"/>
        </w:rPr>
        <w:t xml:space="preserve">culturally responsive </w:t>
      </w:r>
      <w:r w:rsidR="0017126A" w:rsidRPr="00FB7D21">
        <w:rPr>
          <w:sz w:val="22"/>
          <w:szCs w:val="22"/>
        </w:rPr>
        <w:t xml:space="preserve">and sustainable </w:t>
      </w:r>
      <w:r w:rsidR="00D922F1" w:rsidRPr="00FB7D21">
        <w:rPr>
          <w:sz w:val="22"/>
          <w:szCs w:val="22"/>
        </w:rPr>
        <w:t xml:space="preserve">outcomes across Australia’s education system. First Nations peoples must be supported to </w:t>
      </w:r>
      <w:r w:rsidR="0017126A" w:rsidRPr="001E38C1">
        <w:rPr>
          <w:sz w:val="22"/>
          <w:szCs w:val="22"/>
        </w:rPr>
        <w:t>exercise</w:t>
      </w:r>
      <w:r w:rsidR="0001465B" w:rsidRPr="001E38C1">
        <w:rPr>
          <w:sz w:val="22"/>
          <w:szCs w:val="22"/>
        </w:rPr>
        <w:t xml:space="preserve"> authority over the governance, </w:t>
      </w:r>
      <w:r w:rsidR="00D922F1" w:rsidRPr="001E38C1">
        <w:rPr>
          <w:sz w:val="22"/>
          <w:szCs w:val="22"/>
        </w:rPr>
        <w:t xml:space="preserve">policies, programs, funding and institutions that affect their education, communities and futures. </w:t>
      </w:r>
      <w:r w:rsidR="002A6BAF" w:rsidRPr="001E38C1">
        <w:rPr>
          <w:sz w:val="22"/>
          <w:szCs w:val="22"/>
        </w:rPr>
        <w:t>E</w:t>
      </w:r>
      <w:r w:rsidR="0092722C" w:rsidRPr="001E38C1">
        <w:rPr>
          <w:sz w:val="22"/>
          <w:szCs w:val="22"/>
        </w:rPr>
        <w:t>mbedding First Nations priorities</w:t>
      </w:r>
      <w:r w:rsidR="002A6BAF" w:rsidRPr="001E38C1">
        <w:rPr>
          <w:sz w:val="22"/>
          <w:szCs w:val="22"/>
        </w:rPr>
        <w:t xml:space="preserve"> and knowledges</w:t>
      </w:r>
      <w:r w:rsidR="00D922F1" w:rsidRPr="001E38C1">
        <w:rPr>
          <w:sz w:val="22"/>
          <w:szCs w:val="22"/>
        </w:rPr>
        <w:t xml:space="preserve"> </w:t>
      </w:r>
      <w:r w:rsidR="002A6BAF" w:rsidRPr="001E38C1">
        <w:rPr>
          <w:sz w:val="22"/>
          <w:szCs w:val="22"/>
        </w:rPr>
        <w:t xml:space="preserve">within decision-making </w:t>
      </w:r>
      <w:r w:rsidR="00D922F1" w:rsidRPr="001E38C1">
        <w:rPr>
          <w:sz w:val="22"/>
          <w:szCs w:val="22"/>
        </w:rPr>
        <w:t>hel</w:t>
      </w:r>
      <w:r w:rsidR="00925347" w:rsidRPr="001E38C1">
        <w:rPr>
          <w:sz w:val="22"/>
          <w:szCs w:val="22"/>
        </w:rPr>
        <w:t>p</w:t>
      </w:r>
      <w:r w:rsidR="002A6BAF" w:rsidRPr="001E38C1">
        <w:rPr>
          <w:sz w:val="22"/>
          <w:szCs w:val="22"/>
        </w:rPr>
        <w:t xml:space="preserve">s </w:t>
      </w:r>
      <w:r w:rsidR="00D922F1" w:rsidRPr="001E38C1">
        <w:rPr>
          <w:sz w:val="22"/>
          <w:szCs w:val="22"/>
        </w:rPr>
        <w:t xml:space="preserve">ensure that education systems reflect </w:t>
      </w:r>
      <w:r w:rsidR="00925347" w:rsidRPr="001E38C1">
        <w:rPr>
          <w:sz w:val="22"/>
          <w:szCs w:val="22"/>
        </w:rPr>
        <w:t>the</w:t>
      </w:r>
      <w:r w:rsidR="00D922F1" w:rsidRPr="001E38C1">
        <w:rPr>
          <w:sz w:val="22"/>
          <w:szCs w:val="22"/>
        </w:rPr>
        <w:t xml:space="preserve"> aspirations </w:t>
      </w:r>
      <w:r w:rsidR="00925347" w:rsidRPr="001E38C1">
        <w:rPr>
          <w:sz w:val="22"/>
          <w:szCs w:val="22"/>
        </w:rPr>
        <w:t xml:space="preserve">of Aboriginal peoples and Torres Strait Islander peoples </w:t>
      </w:r>
      <w:r w:rsidR="00F56656" w:rsidRPr="001E38C1">
        <w:rPr>
          <w:sz w:val="22"/>
          <w:szCs w:val="22"/>
        </w:rPr>
        <w:t>while creating the conditions for lasting change.</w:t>
      </w:r>
      <w:r w:rsidR="00AD6438" w:rsidRPr="001E38C1">
        <w:rPr>
          <w:sz w:val="22"/>
          <w:szCs w:val="22"/>
        </w:rPr>
        <w:t xml:space="preserve"> This includes creating opportunities for First Nations peoples to shape and lead reform.</w:t>
      </w:r>
    </w:p>
    <w:p w14:paraId="1FC69A1A" w14:textId="150E04FD" w:rsidR="005356BA" w:rsidRPr="00FB7D21" w:rsidRDefault="00D53770" w:rsidP="00FB7D21">
      <w:pPr>
        <w:rPr>
          <w:sz w:val="22"/>
          <w:szCs w:val="22"/>
        </w:rPr>
      </w:pPr>
      <w:r w:rsidRPr="001E38C1">
        <w:rPr>
          <w:sz w:val="22"/>
          <w:szCs w:val="22"/>
        </w:rPr>
        <w:t xml:space="preserve">Enabling self-determination is critical to achieving sustained improvements in participation, success and educational outcomes. </w:t>
      </w:r>
      <w:r w:rsidR="00D922F1" w:rsidRPr="001E38C1">
        <w:rPr>
          <w:sz w:val="22"/>
          <w:szCs w:val="22"/>
        </w:rPr>
        <w:t xml:space="preserve">Strengthening First Nations </w:t>
      </w:r>
      <w:r w:rsidR="00F56656" w:rsidRPr="001E38C1">
        <w:rPr>
          <w:sz w:val="22"/>
          <w:szCs w:val="22"/>
        </w:rPr>
        <w:t>authority, custodianship and leadership in governance, design, delivery</w:t>
      </w:r>
      <w:r w:rsidR="00A41E69" w:rsidRPr="001E38C1">
        <w:rPr>
          <w:sz w:val="22"/>
          <w:szCs w:val="22"/>
        </w:rPr>
        <w:t xml:space="preserve"> and evaluation of </w:t>
      </w:r>
      <w:r w:rsidR="00883EEE" w:rsidRPr="001E38C1">
        <w:rPr>
          <w:sz w:val="22"/>
          <w:szCs w:val="22"/>
        </w:rPr>
        <w:t>tertiary</w:t>
      </w:r>
      <w:r w:rsidR="00A41E69" w:rsidRPr="001E38C1">
        <w:rPr>
          <w:sz w:val="22"/>
          <w:szCs w:val="22"/>
        </w:rPr>
        <w:t xml:space="preserve"> education policy</w:t>
      </w:r>
      <w:r w:rsidR="00FB5037" w:rsidRPr="001E38C1">
        <w:rPr>
          <w:sz w:val="22"/>
          <w:szCs w:val="22"/>
        </w:rPr>
        <w:t xml:space="preserve"> and programs supports more effective and sustainable outcomes for First Nations</w:t>
      </w:r>
      <w:r w:rsidR="00FB5037" w:rsidRPr="00FB7D21">
        <w:rPr>
          <w:sz w:val="22"/>
          <w:szCs w:val="22"/>
        </w:rPr>
        <w:t xml:space="preserve"> students and communities</w:t>
      </w:r>
      <w:r w:rsidR="00D922F1" w:rsidRPr="00FB7D21">
        <w:rPr>
          <w:sz w:val="22"/>
          <w:szCs w:val="22"/>
        </w:rPr>
        <w:t xml:space="preserve">. </w:t>
      </w:r>
    </w:p>
    <w:p w14:paraId="6442C186" w14:textId="43E8F085" w:rsidR="00EC76E8" w:rsidRPr="005356BA" w:rsidRDefault="00260CED" w:rsidP="005356BA">
      <w:pPr>
        <w:pStyle w:val="Heading2"/>
        <w:rPr>
          <w:rFonts w:eastAsia="Aptos"/>
        </w:rPr>
      </w:pPr>
      <w:bookmarkStart w:id="23" w:name="_Toc241679066"/>
      <w:r>
        <w:lastRenderedPageBreak/>
        <w:t>Equity</w:t>
      </w:r>
      <w:bookmarkEnd w:id="23"/>
    </w:p>
    <w:p w14:paraId="2EDDECF3" w14:textId="616D6B3D" w:rsidR="009C6937" w:rsidRPr="009D2F85" w:rsidRDefault="00CD0271" w:rsidP="001D0A9E">
      <w:pPr>
        <w:pStyle w:val="Heading3"/>
        <w:spacing w:line="300" w:lineRule="auto"/>
        <w:rPr>
          <w:color w:val="009364" w:themeColor="accent2"/>
        </w:rPr>
      </w:pPr>
      <w:r w:rsidRPr="009D2F85">
        <w:rPr>
          <w:color w:val="009364" w:themeColor="accent2"/>
        </w:rPr>
        <w:t xml:space="preserve">Enabling </w:t>
      </w:r>
      <w:r w:rsidR="009C6937" w:rsidRPr="009D2F85">
        <w:rPr>
          <w:color w:val="009364" w:themeColor="accent2"/>
        </w:rPr>
        <w:t>increased access, participation and success of cohorts facing barriers to higher education</w:t>
      </w:r>
    </w:p>
    <w:p w14:paraId="12D7E705" w14:textId="1D9A9E05" w:rsidR="009C6937" w:rsidRPr="002D57ED" w:rsidRDefault="009C6937" w:rsidP="00D41B8A">
      <w:pPr>
        <w:rPr>
          <w:sz w:val="22"/>
          <w:szCs w:val="22"/>
        </w:rPr>
      </w:pPr>
      <w:r w:rsidRPr="002D57ED">
        <w:rPr>
          <w:sz w:val="22"/>
          <w:szCs w:val="22"/>
        </w:rPr>
        <w:t xml:space="preserve">Students from underrepresented groups, students from low socioeconomic backgrounds, those living in regional and remote areas, and people with disability, often face systemic </w:t>
      </w:r>
      <w:r w:rsidR="007926EF" w:rsidRPr="002D57ED">
        <w:rPr>
          <w:sz w:val="22"/>
          <w:szCs w:val="22"/>
        </w:rPr>
        <w:t>barriers</w:t>
      </w:r>
      <w:r w:rsidRPr="002D57ED">
        <w:rPr>
          <w:sz w:val="22"/>
          <w:szCs w:val="22"/>
        </w:rPr>
        <w:t xml:space="preserve"> that limit both entry to and success within higher education. Addressing these barriers helps ensure educational opportunity </w:t>
      </w:r>
      <w:r w:rsidR="00D168A0" w:rsidRPr="002D57ED">
        <w:rPr>
          <w:sz w:val="22"/>
          <w:szCs w:val="22"/>
        </w:rPr>
        <w:t>by</w:t>
      </w:r>
      <w:r w:rsidRPr="002D57ED">
        <w:rPr>
          <w:sz w:val="22"/>
          <w:szCs w:val="22"/>
        </w:rPr>
        <w:t xml:space="preserve"> capability and aspiration rather than circumstance, supporting social mobility and strengthening confidence in the fairness of the </w:t>
      </w:r>
      <w:r w:rsidR="00B95C87" w:rsidRPr="002D57ED">
        <w:rPr>
          <w:sz w:val="22"/>
          <w:szCs w:val="22"/>
        </w:rPr>
        <w:t xml:space="preserve">tertiary </w:t>
      </w:r>
      <w:r w:rsidRPr="002D57ED">
        <w:rPr>
          <w:sz w:val="22"/>
          <w:szCs w:val="22"/>
        </w:rPr>
        <w:t>education system.</w:t>
      </w:r>
    </w:p>
    <w:p w14:paraId="7FC65BE4" w14:textId="4BB5BBFD" w:rsidR="009C6937" w:rsidRPr="002D57ED" w:rsidRDefault="002F0469" w:rsidP="00D41B8A">
      <w:pPr>
        <w:rPr>
          <w:sz w:val="22"/>
          <w:szCs w:val="22"/>
        </w:rPr>
      </w:pPr>
      <w:r w:rsidRPr="002D57ED">
        <w:rPr>
          <w:sz w:val="22"/>
          <w:szCs w:val="22"/>
        </w:rPr>
        <w:t xml:space="preserve">Improving participation, progression, </w:t>
      </w:r>
      <w:r w:rsidR="00C8625E">
        <w:rPr>
          <w:sz w:val="22"/>
          <w:szCs w:val="22"/>
        </w:rPr>
        <w:t>retent</w:t>
      </w:r>
      <w:r w:rsidR="00AB64C1">
        <w:rPr>
          <w:sz w:val="22"/>
          <w:szCs w:val="22"/>
        </w:rPr>
        <w:t xml:space="preserve">ion, </w:t>
      </w:r>
      <w:r w:rsidR="003D4CA8" w:rsidRPr="002D57ED">
        <w:rPr>
          <w:sz w:val="22"/>
          <w:szCs w:val="22"/>
        </w:rPr>
        <w:t xml:space="preserve">completion and attainment for these </w:t>
      </w:r>
      <w:r w:rsidR="009C6937" w:rsidRPr="002D57ED">
        <w:rPr>
          <w:sz w:val="22"/>
          <w:szCs w:val="22"/>
        </w:rPr>
        <w:t>cohorts is also essential to meeting Australia's future workforce</w:t>
      </w:r>
      <w:r w:rsidR="001952F0" w:rsidRPr="002D57ED">
        <w:rPr>
          <w:sz w:val="22"/>
          <w:szCs w:val="22"/>
        </w:rPr>
        <w:t>, economic</w:t>
      </w:r>
      <w:r w:rsidR="009C6937" w:rsidRPr="002D57ED">
        <w:rPr>
          <w:sz w:val="22"/>
          <w:szCs w:val="22"/>
        </w:rPr>
        <w:t xml:space="preserve"> and </w:t>
      </w:r>
      <w:r w:rsidR="00741524" w:rsidRPr="002D57ED">
        <w:rPr>
          <w:sz w:val="22"/>
          <w:szCs w:val="22"/>
        </w:rPr>
        <w:t>productivity</w:t>
      </w:r>
      <w:r w:rsidR="009C6937" w:rsidRPr="002D57ED">
        <w:rPr>
          <w:sz w:val="22"/>
          <w:szCs w:val="22"/>
        </w:rPr>
        <w:t xml:space="preserve"> needs. As demand grows for highly skilled workers across key sectors, increasing participation and completion rates among underrepresented groups expands the nation's talent pool and helps address skills shortages. </w:t>
      </w:r>
      <w:r w:rsidR="00EC2A7F">
        <w:rPr>
          <w:sz w:val="22"/>
          <w:szCs w:val="22"/>
        </w:rPr>
        <w:t>Enabling</w:t>
      </w:r>
      <w:r w:rsidR="00EC2A7F" w:rsidRPr="002D57ED">
        <w:rPr>
          <w:sz w:val="22"/>
          <w:szCs w:val="22"/>
        </w:rPr>
        <w:t xml:space="preserve"> </w:t>
      </w:r>
      <w:r w:rsidR="009C6937" w:rsidRPr="002D57ED">
        <w:rPr>
          <w:sz w:val="22"/>
          <w:szCs w:val="22"/>
        </w:rPr>
        <w:t>student success through targeted policies, support services</w:t>
      </w:r>
      <w:r w:rsidR="005D780C">
        <w:rPr>
          <w:sz w:val="22"/>
          <w:szCs w:val="22"/>
        </w:rPr>
        <w:t xml:space="preserve">, reformed </w:t>
      </w:r>
      <w:r w:rsidR="00910927">
        <w:rPr>
          <w:sz w:val="22"/>
          <w:szCs w:val="22"/>
        </w:rPr>
        <w:t>curriculum</w:t>
      </w:r>
      <w:r w:rsidR="009C6937" w:rsidRPr="002D57ED">
        <w:rPr>
          <w:sz w:val="22"/>
          <w:szCs w:val="22"/>
        </w:rPr>
        <w:t xml:space="preserve"> and flexible pathways</w:t>
      </w:r>
      <w:r w:rsidR="00814930" w:rsidRPr="002D57ED">
        <w:rPr>
          <w:sz w:val="22"/>
          <w:szCs w:val="22"/>
        </w:rPr>
        <w:t xml:space="preserve"> and lifelong learning opportunities impr</w:t>
      </w:r>
      <w:r w:rsidR="009C6937" w:rsidRPr="002D57ED">
        <w:rPr>
          <w:sz w:val="22"/>
          <w:szCs w:val="22"/>
        </w:rPr>
        <w:t xml:space="preserve">oves individual outcomes </w:t>
      </w:r>
      <w:r w:rsidR="0050508D" w:rsidRPr="002D57ED">
        <w:rPr>
          <w:sz w:val="22"/>
          <w:szCs w:val="22"/>
        </w:rPr>
        <w:t>while contributing to</w:t>
      </w:r>
      <w:r w:rsidR="009C6937" w:rsidRPr="002D57ED">
        <w:rPr>
          <w:sz w:val="22"/>
          <w:szCs w:val="22"/>
        </w:rPr>
        <w:t xml:space="preserve"> a more diverse, skilled and resilient </w:t>
      </w:r>
      <w:r w:rsidR="00E973E2" w:rsidRPr="002D57ED">
        <w:rPr>
          <w:sz w:val="22"/>
          <w:szCs w:val="22"/>
        </w:rPr>
        <w:t>Australia</w:t>
      </w:r>
      <w:r w:rsidR="009C6937" w:rsidRPr="002D57ED">
        <w:rPr>
          <w:sz w:val="22"/>
          <w:szCs w:val="22"/>
        </w:rPr>
        <w:t>.</w:t>
      </w:r>
    </w:p>
    <w:p w14:paraId="0E9C10FE" w14:textId="7A8621F8" w:rsidR="00260CED" w:rsidRDefault="00260CED" w:rsidP="001D0A9E">
      <w:pPr>
        <w:pStyle w:val="Heading2"/>
        <w:spacing w:line="300" w:lineRule="auto"/>
      </w:pPr>
      <w:bookmarkStart w:id="24" w:name="_Toc241679067"/>
      <w:r>
        <w:t xml:space="preserve">Quality </w:t>
      </w:r>
      <w:r w:rsidR="00787F56">
        <w:t>t</w:t>
      </w:r>
      <w:r>
        <w:t>eaching</w:t>
      </w:r>
      <w:bookmarkEnd w:id="24"/>
    </w:p>
    <w:p w14:paraId="3ACD5B42" w14:textId="35D609EB" w:rsidR="00895F07" w:rsidRPr="009D2F85" w:rsidRDefault="001A2502" w:rsidP="001D0A9E">
      <w:pPr>
        <w:pStyle w:val="Heading3"/>
        <w:spacing w:line="300" w:lineRule="auto"/>
        <w:rPr>
          <w:color w:val="009364" w:themeColor="accent2"/>
        </w:rPr>
      </w:pPr>
      <w:r w:rsidRPr="009D2F85">
        <w:rPr>
          <w:color w:val="009364" w:themeColor="accent2"/>
        </w:rPr>
        <w:t>I</w:t>
      </w:r>
      <w:r w:rsidR="00895F07" w:rsidRPr="009D2F85">
        <w:rPr>
          <w:color w:val="009364" w:themeColor="accent2"/>
        </w:rPr>
        <w:t>mprov</w:t>
      </w:r>
      <w:r w:rsidRPr="009D2F85">
        <w:rPr>
          <w:color w:val="009364" w:themeColor="accent2"/>
        </w:rPr>
        <w:t xml:space="preserve">ing </w:t>
      </w:r>
      <w:r w:rsidR="00CE58FE" w:rsidRPr="009D2F85">
        <w:rPr>
          <w:color w:val="009364" w:themeColor="accent2"/>
        </w:rPr>
        <w:t>lea</w:t>
      </w:r>
      <w:r w:rsidR="003441FA" w:rsidRPr="009D2F85">
        <w:rPr>
          <w:color w:val="009364" w:themeColor="accent2"/>
        </w:rPr>
        <w:t>rning a</w:t>
      </w:r>
      <w:r w:rsidR="00825FF2" w:rsidRPr="009D2F85">
        <w:rPr>
          <w:color w:val="009364" w:themeColor="accent2"/>
        </w:rPr>
        <w:t xml:space="preserve">nd </w:t>
      </w:r>
      <w:r w:rsidR="00575C80" w:rsidRPr="009D2F85">
        <w:rPr>
          <w:color w:val="009364" w:themeColor="accent2"/>
        </w:rPr>
        <w:t xml:space="preserve">teaching </w:t>
      </w:r>
      <w:r w:rsidR="00895F07" w:rsidRPr="009D2F85">
        <w:rPr>
          <w:color w:val="009364" w:themeColor="accent2"/>
        </w:rPr>
        <w:t>quality in higher education</w:t>
      </w:r>
    </w:p>
    <w:p w14:paraId="019DA8DB" w14:textId="0505B7F8" w:rsidR="003D03DD" w:rsidRPr="002D57ED" w:rsidRDefault="003D03DD" w:rsidP="003D03DD">
      <w:pPr>
        <w:rPr>
          <w:sz w:val="22"/>
          <w:szCs w:val="22"/>
        </w:rPr>
      </w:pPr>
      <w:r w:rsidRPr="002D57ED">
        <w:rPr>
          <w:sz w:val="22"/>
          <w:szCs w:val="22"/>
        </w:rPr>
        <w:t xml:space="preserve">The Accord highlighted the importance of growing Australia’s higher education system while maintaining and enhancing quality across the student experience. A high-performing and sustainable tertiary education system must meet the </w:t>
      </w:r>
      <w:r w:rsidR="000532DD" w:rsidRPr="002D57ED">
        <w:rPr>
          <w:sz w:val="22"/>
          <w:szCs w:val="22"/>
        </w:rPr>
        <w:t xml:space="preserve">educational </w:t>
      </w:r>
      <w:r w:rsidRPr="002D57ED">
        <w:rPr>
          <w:sz w:val="22"/>
          <w:szCs w:val="22"/>
        </w:rPr>
        <w:t>needs of</w:t>
      </w:r>
      <w:r w:rsidR="000532DD" w:rsidRPr="002D57ED">
        <w:rPr>
          <w:sz w:val="22"/>
          <w:szCs w:val="22"/>
        </w:rPr>
        <w:t xml:space="preserve"> all</w:t>
      </w:r>
      <w:r w:rsidRPr="002D57ED">
        <w:rPr>
          <w:sz w:val="22"/>
          <w:szCs w:val="22"/>
        </w:rPr>
        <w:t xml:space="preserve"> students, ensuring that learners have access to engaging, inclusive and supportive </w:t>
      </w:r>
      <w:r w:rsidR="00FF5819" w:rsidRPr="002D57ED">
        <w:rPr>
          <w:sz w:val="22"/>
          <w:szCs w:val="22"/>
        </w:rPr>
        <w:t>learning</w:t>
      </w:r>
      <w:r w:rsidRPr="002D57ED">
        <w:rPr>
          <w:sz w:val="22"/>
          <w:szCs w:val="22"/>
        </w:rPr>
        <w:t xml:space="preserve"> environments. </w:t>
      </w:r>
      <w:r w:rsidR="00393B03">
        <w:rPr>
          <w:sz w:val="22"/>
          <w:szCs w:val="22"/>
        </w:rPr>
        <w:t xml:space="preserve">This includes harnessing the benefits </w:t>
      </w:r>
      <w:r w:rsidR="00BE2F16">
        <w:rPr>
          <w:sz w:val="22"/>
          <w:szCs w:val="22"/>
        </w:rPr>
        <w:t xml:space="preserve">and managing the risks </w:t>
      </w:r>
      <w:r w:rsidR="00393B03">
        <w:rPr>
          <w:sz w:val="22"/>
          <w:szCs w:val="22"/>
        </w:rPr>
        <w:t>of artificial intelligence (AI) to drive improved learning outcomes for students and deliver teaching more efficiently.</w:t>
      </w:r>
    </w:p>
    <w:p w14:paraId="7107A54F" w14:textId="13AC9E3E" w:rsidR="005356BA" w:rsidRPr="002D57ED" w:rsidRDefault="003D03DD" w:rsidP="005356BA">
      <w:pPr>
        <w:rPr>
          <w:sz w:val="22"/>
          <w:szCs w:val="22"/>
        </w:rPr>
      </w:pPr>
      <w:r w:rsidRPr="002D57ED">
        <w:rPr>
          <w:sz w:val="22"/>
          <w:szCs w:val="22"/>
        </w:rPr>
        <w:t>High-quality teaching is central to student success</w:t>
      </w:r>
      <w:r w:rsidR="00EF7CFF" w:rsidRPr="002D57ED">
        <w:rPr>
          <w:sz w:val="22"/>
          <w:szCs w:val="22"/>
        </w:rPr>
        <w:t xml:space="preserve">, </w:t>
      </w:r>
      <w:r w:rsidRPr="002D57ED">
        <w:rPr>
          <w:sz w:val="22"/>
          <w:szCs w:val="22"/>
        </w:rPr>
        <w:t xml:space="preserve">graduate </w:t>
      </w:r>
      <w:r w:rsidR="00EF7CFF" w:rsidRPr="002D57ED">
        <w:rPr>
          <w:sz w:val="22"/>
          <w:szCs w:val="22"/>
        </w:rPr>
        <w:t>capability and long-term national benefit</w:t>
      </w:r>
      <w:r w:rsidRPr="002D57ED">
        <w:rPr>
          <w:sz w:val="22"/>
          <w:szCs w:val="22"/>
        </w:rPr>
        <w:t>. Excellence in teaching helps students develop the knowledge, skills and capabilities needed to thrive in further study</w:t>
      </w:r>
      <w:r w:rsidR="008E1D87" w:rsidRPr="002D57ED">
        <w:rPr>
          <w:sz w:val="22"/>
          <w:szCs w:val="22"/>
        </w:rPr>
        <w:t xml:space="preserve">, </w:t>
      </w:r>
      <w:r w:rsidRPr="002D57ED">
        <w:rPr>
          <w:sz w:val="22"/>
          <w:szCs w:val="22"/>
        </w:rPr>
        <w:t>employment</w:t>
      </w:r>
      <w:r w:rsidR="008E1D87" w:rsidRPr="002D57ED">
        <w:rPr>
          <w:sz w:val="22"/>
          <w:szCs w:val="22"/>
        </w:rPr>
        <w:t>, civic life and community leadership</w:t>
      </w:r>
      <w:r w:rsidRPr="002D57ED">
        <w:rPr>
          <w:sz w:val="22"/>
          <w:szCs w:val="22"/>
        </w:rPr>
        <w:t>. Supporting continuous improvement in teaching practice, promoting innovation and evidence-based approaches to learning</w:t>
      </w:r>
      <w:r w:rsidR="00383262">
        <w:rPr>
          <w:sz w:val="22"/>
          <w:szCs w:val="22"/>
        </w:rPr>
        <w:t>,</w:t>
      </w:r>
      <w:r w:rsidR="009C004A">
        <w:rPr>
          <w:sz w:val="22"/>
          <w:szCs w:val="22"/>
        </w:rPr>
        <w:t xml:space="preserve"> and</w:t>
      </w:r>
      <w:r w:rsidR="006D2F39">
        <w:rPr>
          <w:sz w:val="22"/>
          <w:szCs w:val="22"/>
        </w:rPr>
        <w:t xml:space="preserve"> ensuring all academic staff are</w:t>
      </w:r>
      <w:r w:rsidR="00875B97">
        <w:rPr>
          <w:sz w:val="22"/>
          <w:szCs w:val="22"/>
        </w:rPr>
        <w:t xml:space="preserve"> well prepared</w:t>
      </w:r>
      <w:r w:rsidR="00020B99">
        <w:rPr>
          <w:sz w:val="22"/>
          <w:szCs w:val="22"/>
        </w:rPr>
        <w:t xml:space="preserve"> to facilitate good teaching</w:t>
      </w:r>
      <w:r w:rsidRPr="002D57ED">
        <w:rPr>
          <w:sz w:val="22"/>
          <w:szCs w:val="22"/>
        </w:rPr>
        <w:t xml:space="preserve"> </w:t>
      </w:r>
      <w:r w:rsidR="00797FE3">
        <w:rPr>
          <w:sz w:val="22"/>
          <w:szCs w:val="22"/>
        </w:rPr>
        <w:t>will</w:t>
      </w:r>
      <w:r w:rsidRPr="002D57ED">
        <w:rPr>
          <w:sz w:val="22"/>
          <w:szCs w:val="22"/>
        </w:rPr>
        <w:t xml:space="preserve"> enhance educational quality </w:t>
      </w:r>
      <w:r w:rsidR="00667CA0" w:rsidRPr="002D57ED">
        <w:rPr>
          <w:sz w:val="22"/>
          <w:szCs w:val="22"/>
        </w:rPr>
        <w:t xml:space="preserve">and improve student </w:t>
      </w:r>
      <w:r w:rsidR="00AE2AD3" w:rsidRPr="002D57ED">
        <w:rPr>
          <w:sz w:val="22"/>
          <w:szCs w:val="22"/>
        </w:rPr>
        <w:t>engagement</w:t>
      </w:r>
      <w:r w:rsidR="00667CA0" w:rsidRPr="002D57ED">
        <w:rPr>
          <w:sz w:val="22"/>
          <w:szCs w:val="22"/>
        </w:rPr>
        <w:t xml:space="preserve">, </w:t>
      </w:r>
      <w:r w:rsidR="00835F46" w:rsidRPr="002D57ED">
        <w:rPr>
          <w:sz w:val="22"/>
          <w:szCs w:val="22"/>
        </w:rPr>
        <w:t>achievement</w:t>
      </w:r>
      <w:r w:rsidR="00667CA0" w:rsidRPr="002D57ED">
        <w:rPr>
          <w:sz w:val="22"/>
          <w:szCs w:val="22"/>
        </w:rPr>
        <w:t xml:space="preserve"> and success throughout their studies and beyond</w:t>
      </w:r>
      <w:r w:rsidRPr="002D57ED">
        <w:rPr>
          <w:sz w:val="22"/>
          <w:szCs w:val="22"/>
        </w:rPr>
        <w:t>.</w:t>
      </w:r>
    </w:p>
    <w:p w14:paraId="75CAC87E" w14:textId="7BA426E7" w:rsidR="00260CED" w:rsidRDefault="00787F56" w:rsidP="005356BA">
      <w:pPr>
        <w:pStyle w:val="Heading2"/>
      </w:pPr>
      <w:bookmarkStart w:id="25" w:name="_Toc241679068"/>
      <w:r>
        <w:lastRenderedPageBreak/>
        <w:t>A j</w:t>
      </w:r>
      <w:r w:rsidR="00260CED">
        <w:t>oined</w:t>
      </w:r>
      <w:r w:rsidR="002E5EAB">
        <w:t>-</w:t>
      </w:r>
      <w:r>
        <w:t>u</w:t>
      </w:r>
      <w:r w:rsidR="002E5EAB">
        <w:t xml:space="preserve">p </w:t>
      </w:r>
      <w:r>
        <w:t>t</w:t>
      </w:r>
      <w:r w:rsidR="002E5EAB">
        <w:t xml:space="preserve">ertiary </w:t>
      </w:r>
      <w:r>
        <w:t>s</w:t>
      </w:r>
      <w:r w:rsidR="002E5EAB">
        <w:t>ystem</w:t>
      </w:r>
      <w:bookmarkEnd w:id="25"/>
    </w:p>
    <w:p w14:paraId="2741FB09" w14:textId="6A90C806" w:rsidR="00895F07" w:rsidRPr="009D2F85" w:rsidRDefault="00994863" w:rsidP="001D0A9E">
      <w:pPr>
        <w:pStyle w:val="Heading3"/>
        <w:spacing w:line="300" w:lineRule="auto"/>
        <w:rPr>
          <w:color w:val="009364" w:themeColor="accent2"/>
        </w:rPr>
      </w:pPr>
      <w:r w:rsidRPr="009D2F85">
        <w:rPr>
          <w:color w:val="009364" w:themeColor="accent2"/>
        </w:rPr>
        <w:t>Improving</w:t>
      </w:r>
      <w:r w:rsidR="00C459F2" w:rsidRPr="009D2F85">
        <w:rPr>
          <w:color w:val="009364" w:themeColor="accent2"/>
        </w:rPr>
        <w:t xml:space="preserve"> the connection between vocational education and training and higher education </w:t>
      </w:r>
    </w:p>
    <w:p w14:paraId="0CAB13A0" w14:textId="1F2C0684" w:rsidR="00EB44ED" w:rsidRPr="002D57ED" w:rsidRDefault="00EB44ED" w:rsidP="00EB44ED">
      <w:pPr>
        <w:rPr>
          <w:sz w:val="22"/>
          <w:szCs w:val="22"/>
        </w:rPr>
      </w:pPr>
      <w:r w:rsidRPr="002D57ED">
        <w:rPr>
          <w:sz w:val="22"/>
          <w:szCs w:val="22"/>
        </w:rPr>
        <w:t xml:space="preserve">Australia’s tertiary education system comprises two distinct but interconnected sectors: vocational education and training (VET) and higher education. While each sector serves a different purpose, learners increasingly move between them throughout their lives as they pursue further study, gain new qualifications, upskill, reskill and transition between careers. A more joined-up tertiary system </w:t>
      </w:r>
      <w:r w:rsidR="00800F66" w:rsidRPr="002D57ED">
        <w:rPr>
          <w:sz w:val="22"/>
          <w:szCs w:val="22"/>
        </w:rPr>
        <w:t xml:space="preserve">enables learners to move more easily between sectors by </w:t>
      </w:r>
      <w:r w:rsidRPr="002D57ED">
        <w:rPr>
          <w:sz w:val="22"/>
          <w:szCs w:val="22"/>
        </w:rPr>
        <w:t>reducing unnecessary barriers and creating clearer, more accessible pathways.</w:t>
      </w:r>
      <w:r w:rsidR="00321EA2">
        <w:rPr>
          <w:sz w:val="22"/>
          <w:szCs w:val="22"/>
        </w:rPr>
        <w:t xml:space="preserve"> This will make it quicker and cheaper for </w:t>
      </w:r>
      <w:r w:rsidR="0043788B">
        <w:rPr>
          <w:sz w:val="22"/>
          <w:szCs w:val="22"/>
        </w:rPr>
        <w:t xml:space="preserve">learners to gain the skills they need and </w:t>
      </w:r>
      <w:r w:rsidR="00F06707">
        <w:rPr>
          <w:sz w:val="22"/>
          <w:szCs w:val="22"/>
        </w:rPr>
        <w:t xml:space="preserve">for those skills to be deployed in the labour market. </w:t>
      </w:r>
    </w:p>
    <w:p w14:paraId="1A1C9A26" w14:textId="28C731C3" w:rsidR="00EB44ED" w:rsidRPr="002D57ED" w:rsidRDefault="00EB44ED" w:rsidP="00EB44ED">
      <w:pPr>
        <w:rPr>
          <w:sz w:val="22"/>
          <w:szCs w:val="22"/>
        </w:rPr>
      </w:pPr>
      <w:r w:rsidRPr="002D57ED">
        <w:rPr>
          <w:sz w:val="22"/>
          <w:szCs w:val="22"/>
        </w:rPr>
        <w:t xml:space="preserve">Improving connections between VET and higher education includes strengthening credit recognition, reducing unnecessary duplication of learning and supporting lifelong learning opportunities. Greater </w:t>
      </w:r>
      <w:r w:rsidR="00613D32" w:rsidRPr="002D57ED">
        <w:rPr>
          <w:sz w:val="22"/>
          <w:szCs w:val="22"/>
        </w:rPr>
        <w:t>integration</w:t>
      </w:r>
      <w:r w:rsidRPr="002D57ED">
        <w:rPr>
          <w:sz w:val="22"/>
          <w:szCs w:val="22"/>
        </w:rPr>
        <w:t xml:space="preserve"> across the tertiary system can improve learner experiences and outcomes, </w:t>
      </w:r>
      <w:r w:rsidR="00385CF5" w:rsidRPr="002D57ED">
        <w:rPr>
          <w:sz w:val="22"/>
          <w:szCs w:val="22"/>
        </w:rPr>
        <w:t xml:space="preserve">enhance mobility and progression, </w:t>
      </w:r>
      <w:r w:rsidRPr="002D57ED">
        <w:rPr>
          <w:sz w:val="22"/>
          <w:szCs w:val="22"/>
        </w:rPr>
        <w:t xml:space="preserve">increase participation and attainment, and </w:t>
      </w:r>
      <w:r w:rsidR="00A115FA" w:rsidRPr="002D57ED">
        <w:rPr>
          <w:sz w:val="22"/>
          <w:szCs w:val="22"/>
        </w:rPr>
        <w:t>help</w:t>
      </w:r>
      <w:r w:rsidRPr="002D57ED">
        <w:rPr>
          <w:sz w:val="22"/>
          <w:szCs w:val="22"/>
        </w:rPr>
        <w:t xml:space="preserve"> Australia </w:t>
      </w:r>
      <w:r w:rsidR="00A115FA" w:rsidRPr="002D57ED">
        <w:rPr>
          <w:sz w:val="22"/>
          <w:szCs w:val="22"/>
        </w:rPr>
        <w:t xml:space="preserve">respond more effectively to </w:t>
      </w:r>
      <w:r w:rsidRPr="002D57ED">
        <w:rPr>
          <w:sz w:val="22"/>
          <w:szCs w:val="22"/>
        </w:rPr>
        <w:t xml:space="preserve">future workforce </w:t>
      </w:r>
      <w:r w:rsidR="00A115FA" w:rsidRPr="002D57ED">
        <w:rPr>
          <w:sz w:val="22"/>
          <w:szCs w:val="22"/>
        </w:rPr>
        <w:t xml:space="preserve">and economic </w:t>
      </w:r>
      <w:r w:rsidRPr="002D57ED">
        <w:rPr>
          <w:sz w:val="22"/>
          <w:szCs w:val="22"/>
        </w:rPr>
        <w:t>needs.</w:t>
      </w:r>
    </w:p>
    <w:p w14:paraId="53711154" w14:textId="2E6509D3" w:rsidR="002E5EAB" w:rsidRDefault="002E5EAB" w:rsidP="001D0A9E">
      <w:pPr>
        <w:pStyle w:val="Heading2"/>
        <w:spacing w:line="300" w:lineRule="auto"/>
      </w:pPr>
      <w:bookmarkStart w:id="26" w:name="_Toc241679069"/>
      <w:r>
        <w:t>Research</w:t>
      </w:r>
      <w:bookmarkEnd w:id="26"/>
    </w:p>
    <w:p w14:paraId="27B373FA" w14:textId="77777777" w:rsidR="00895F07" w:rsidRPr="009D2F85" w:rsidRDefault="00895F07" w:rsidP="001D0A9E">
      <w:pPr>
        <w:pStyle w:val="Heading3"/>
        <w:spacing w:line="300" w:lineRule="auto"/>
        <w:rPr>
          <w:color w:val="009364" w:themeColor="accent2"/>
        </w:rPr>
      </w:pPr>
      <w:r w:rsidRPr="009D2F85">
        <w:rPr>
          <w:color w:val="009364" w:themeColor="accent2"/>
        </w:rPr>
        <w:t>Strengthening Australia’s research and research training system</w:t>
      </w:r>
    </w:p>
    <w:p w14:paraId="4C20A2C2" w14:textId="09997EF9" w:rsidR="000B3E13" w:rsidRPr="002D57ED" w:rsidRDefault="000B3E13" w:rsidP="000B3E13">
      <w:pPr>
        <w:spacing w:before="160"/>
        <w:rPr>
          <w:sz w:val="22"/>
          <w:szCs w:val="22"/>
        </w:rPr>
      </w:pPr>
      <w:r w:rsidRPr="002D57ED">
        <w:rPr>
          <w:sz w:val="22"/>
          <w:szCs w:val="22"/>
        </w:rPr>
        <w:t>Research and research training are fundamental to Australia’s long-term economic prosperity, social wellbeing</w:t>
      </w:r>
      <w:r w:rsidR="00F40029" w:rsidRPr="002D57ED">
        <w:rPr>
          <w:sz w:val="22"/>
          <w:szCs w:val="22"/>
        </w:rPr>
        <w:t xml:space="preserve">, sovereign capability and </w:t>
      </w:r>
      <w:r w:rsidRPr="002D57ED">
        <w:rPr>
          <w:sz w:val="22"/>
          <w:szCs w:val="22"/>
        </w:rPr>
        <w:t xml:space="preserve">national resilience. Universities play a critical role in generating new knowledge, driving innovation, informing evidence-based policy and developing the advanced </w:t>
      </w:r>
      <w:r w:rsidR="00E36E21" w:rsidRPr="002D57ED">
        <w:rPr>
          <w:sz w:val="22"/>
          <w:szCs w:val="22"/>
        </w:rPr>
        <w:t>capabilities</w:t>
      </w:r>
      <w:r w:rsidRPr="002D57ED">
        <w:rPr>
          <w:sz w:val="22"/>
          <w:szCs w:val="22"/>
        </w:rPr>
        <w:t xml:space="preserve"> needed to address emerging national challenges. Research training builds the next generation of researchers, academics and highly skilled professionals, strengthening Australia’s sovereign capability, productivity and international competitiveness.</w:t>
      </w:r>
      <w:r w:rsidR="009B1D9D" w:rsidRPr="009B1D9D">
        <w:rPr>
          <w:sz w:val="22"/>
          <w:szCs w:val="22"/>
        </w:rPr>
        <w:t xml:space="preserve"> </w:t>
      </w:r>
      <w:r w:rsidR="009B1D9D">
        <w:rPr>
          <w:sz w:val="22"/>
          <w:szCs w:val="22"/>
        </w:rPr>
        <w:t>AI will be an important tool in building and maintaining Australia’s strong reputation for research with work ongoing to ensure that it is leveraged in the national interest.</w:t>
      </w:r>
    </w:p>
    <w:p w14:paraId="1B10D3CE" w14:textId="08A43279" w:rsidR="000B3E13" w:rsidRPr="002D57ED" w:rsidRDefault="000B3E13" w:rsidP="000B3E13">
      <w:pPr>
        <w:spacing w:before="160"/>
        <w:rPr>
          <w:sz w:val="22"/>
          <w:szCs w:val="22"/>
        </w:rPr>
      </w:pPr>
      <w:r w:rsidRPr="002D57ED">
        <w:rPr>
          <w:sz w:val="22"/>
          <w:szCs w:val="22"/>
        </w:rPr>
        <w:t xml:space="preserve">The Accord reaffirmed the importance of a strong university research and research training system in sustaining national capability and supporting innovation. Maintaining a healthy research ecosystem and a strong pipeline of postgraduate researchers is essential to ensuring Australia continues to develop the expertise, knowledge and workforce capabilities needed to meet future </w:t>
      </w:r>
      <w:r w:rsidR="00885CA1" w:rsidRPr="002D57ED">
        <w:rPr>
          <w:sz w:val="22"/>
          <w:szCs w:val="22"/>
        </w:rPr>
        <w:t xml:space="preserve">societal, industry and </w:t>
      </w:r>
      <w:r w:rsidR="00A03232" w:rsidRPr="002D57ED">
        <w:rPr>
          <w:sz w:val="22"/>
          <w:szCs w:val="22"/>
        </w:rPr>
        <w:t>national</w:t>
      </w:r>
      <w:r w:rsidRPr="002D57ED">
        <w:rPr>
          <w:sz w:val="22"/>
          <w:szCs w:val="22"/>
        </w:rPr>
        <w:t xml:space="preserve"> priorities. </w:t>
      </w:r>
    </w:p>
    <w:p w14:paraId="72322DC6" w14:textId="345DF142" w:rsidR="00101D82" w:rsidRDefault="00C13BF3" w:rsidP="001D0A9E">
      <w:pPr>
        <w:pStyle w:val="Heading2"/>
        <w:spacing w:line="300" w:lineRule="auto"/>
      </w:pPr>
      <w:bookmarkStart w:id="27" w:name="_Toc241679070"/>
      <w:r>
        <w:lastRenderedPageBreak/>
        <w:t>Global engagement</w:t>
      </w:r>
      <w:bookmarkEnd w:id="27"/>
    </w:p>
    <w:p w14:paraId="4A072636" w14:textId="29441FA8" w:rsidR="00EA221D" w:rsidRPr="009D2F85" w:rsidRDefault="00EA221D" w:rsidP="001D0A9E">
      <w:pPr>
        <w:pStyle w:val="Heading3"/>
        <w:spacing w:line="300" w:lineRule="auto"/>
        <w:rPr>
          <w:color w:val="009364" w:themeColor="accent2"/>
        </w:rPr>
      </w:pPr>
      <w:r w:rsidRPr="009D2F85">
        <w:rPr>
          <w:color w:val="009364" w:themeColor="accent2"/>
        </w:rPr>
        <w:t>Supporting</w:t>
      </w:r>
      <w:r w:rsidR="00DB600C" w:rsidRPr="009D2F85">
        <w:rPr>
          <w:color w:val="009364" w:themeColor="accent2"/>
        </w:rPr>
        <w:t xml:space="preserve"> global engagement and international standing</w:t>
      </w:r>
    </w:p>
    <w:p w14:paraId="4C02E3AA" w14:textId="01DB5FE9" w:rsidR="006A4918" w:rsidRPr="002D57ED" w:rsidRDefault="006A4918" w:rsidP="006A4918">
      <w:pPr>
        <w:rPr>
          <w:sz w:val="22"/>
          <w:szCs w:val="22"/>
        </w:rPr>
      </w:pPr>
      <w:r w:rsidRPr="002D57ED">
        <w:rPr>
          <w:sz w:val="22"/>
          <w:szCs w:val="22"/>
        </w:rPr>
        <w:t>International education</w:t>
      </w:r>
      <w:r w:rsidR="007E02FA">
        <w:rPr>
          <w:sz w:val="22"/>
          <w:szCs w:val="22"/>
        </w:rPr>
        <w:t xml:space="preserve"> a</w:t>
      </w:r>
      <w:r w:rsidR="00D55B84">
        <w:rPr>
          <w:sz w:val="22"/>
          <w:szCs w:val="22"/>
        </w:rPr>
        <w:t>nd research</w:t>
      </w:r>
      <w:r w:rsidR="00073CD2">
        <w:rPr>
          <w:sz w:val="22"/>
          <w:szCs w:val="22"/>
        </w:rPr>
        <w:t>, including transnational education,</w:t>
      </w:r>
      <w:r w:rsidRPr="002D57ED">
        <w:rPr>
          <w:sz w:val="22"/>
          <w:szCs w:val="22"/>
        </w:rPr>
        <w:t xml:space="preserve"> is a national asset that strengthens Australia’s economic prosperity, global engagement, workforce capability and international reputation. Consistent with the Accord’s vision for a more planned, transparent and nationally aligned tertiary education system, a strong</w:t>
      </w:r>
      <w:r w:rsidR="004B293A">
        <w:rPr>
          <w:sz w:val="22"/>
          <w:szCs w:val="22"/>
        </w:rPr>
        <w:t>, secure</w:t>
      </w:r>
      <w:r w:rsidRPr="002D57ED">
        <w:rPr>
          <w:sz w:val="22"/>
          <w:szCs w:val="22"/>
        </w:rPr>
        <w:t xml:space="preserve"> and sustainable international education sector supports research, innovation and cultural exchange, while enriching learning environments and building </w:t>
      </w:r>
      <w:r w:rsidR="00D648F4" w:rsidRPr="002D57ED">
        <w:rPr>
          <w:sz w:val="22"/>
          <w:szCs w:val="22"/>
        </w:rPr>
        <w:t>enduring</w:t>
      </w:r>
      <w:r w:rsidRPr="002D57ED">
        <w:rPr>
          <w:sz w:val="22"/>
          <w:szCs w:val="22"/>
        </w:rPr>
        <w:t xml:space="preserve"> connections between Australia and the world.</w:t>
      </w:r>
    </w:p>
    <w:p w14:paraId="4023FC8C" w14:textId="7DE481FA" w:rsidR="003B51DD" w:rsidRPr="002D57ED" w:rsidRDefault="006A4918" w:rsidP="006A4918">
      <w:pPr>
        <w:rPr>
          <w:sz w:val="22"/>
          <w:szCs w:val="22"/>
        </w:rPr>
      </w:pPr>
      <w:r w:rsidRPr="002D57ED">
        <w:rPr>
          <w:sz w:val="22"/>
          <w:szCs w:val="22"/>
        </w:rPr>
        <w:t>The Accord emphasised the importance of balancing the significant economic, educational and cultural benefits of international education with sustainable growth, high-quality student experiences and strong sector integrity. Maintaining this balance is essential to</w:t>
      </w:r>
      <w:r w:rsidR="00CA2B67">
        <w:rPr>
          <w:sz w:val="22"/>
          <w:szCs w:val="22"/>
        </w:rPr>
        <w:t xml:space="preserve"> </w:t>
      </w:r>
      <w:r w:rsidRPr="002D57ED">
        <w:rPr>
          <w:sz w:val="22"/>
          <w:szCs w:val="22"/>
        </w:rPr>
        <w:t xml:space="preserve">preserving Australia’s </w:t>
      </w:r>
      <w:r w:rsidR="00FB26A7" w:rsidRPr="002D57ED">
        <w:rPr>
          <w:sz w:val="22"/>
          <w:szCs w:val="22"/>
        </w:rPr>
        <w:t xml:space="preserve">international </w:t>
      </w:r>
      <w:r w:rsidRPr="002D57ED">
        <w:rPr>
          <w:sz w:val="22"/>
          <w:szCs w:val="22"/>
        </w:rPr>
        <w:t xml:space="preserve">standing as a world-class </w:t>
      </w:r>
      <w:r w:rsidR="006A64E5">
        <w:rPr>
          <w:sz w:val="22"/>
          <w:szCs w:val="22"/>
        </w:rPr>
        <w:t xml:space="preserve">tertiary </w:t>
      </w:r>
      <w:r w:rsidR="00AA4724">
        <w:rPr>
          <w:sz w:val="22"/>
          <w:szCs w:val="22"/>
        </w:rPr>
        <w:t xml:space="preserve">education </w:t>
      </w:r>
      <w:r w:rsidR="00300EFD">
        <w:rPr>
          <w:sz w:val="22"/>
          <w:szCs w:val="22"/>
        </w:rPr>
        <w:t xml:space="preserve">and </w:t>
      </w:r>
      <w:r w:rsidR="00CC296C">
        <w:rPr>
          <w:sz w:val="22"/>
          <w:szCs w:val="22"/>
        </w:rPr>
        <w:t xml:space="preserve">research </w:t>
      </w:r>
      <w:r w:rsidR="006A64E5">
        <w:rPr>
          <w:sz w:val="22"/>
          <w:szCs w:val="22"/>
        </w:rPr>
        <w:t>system</w:t>
      </w:r>
      <w:r w:rsidRPr="002D57ED">
        <w:rPr>
          <w:sz w:val="22"/>
          <w:szCs w:val="22"/>
        </w:rPr>
        <w:t xml:space="preserve"> and ensuring international education </w:t>
      </w:r>
      <w:r w:rsidR="003B12FE">
        <w:rPr>
          <w:sz w:val="22"/>
          <w:szCs w:val="22"/>
        </w:rPr>
        <w:t>and resear</w:t>
      </w:r>
      <w:r w:rsidR="000E11AB">
        <w:rPr>
          <w:sz w:val="22"/>
          <w:szCs w:val="22"/>
        </w:rPr>
        <w:t xml:space="preserve">ch </w:t>
      </w:r>
      <w:r w:rsidRPr="002D57ED">
        <w:rPr>
          <w:sz w:val="22"/>
          <w:szCs w:val="22"/>
        </w:rPr>
        <w:t>continue</w:t>
      </w:r>
      <w:r w:rsidR="009F595E">
        <w:rPr>
          <w:sz w:val="22"/>
          <w:szCs w:val="22"/>
        </w:rPr>
        <w:t xml:space="preserve"> </w:t>
      </w:r>
      <w:r w:rsidRPr="002D57ED">
        <w:rPr>
          <w:sz w:val="22"/>
          <w:szCs w:val="22"/>
        </w:rPr>
        <w:t xml:space="preserve">to support national priorities, including </w:t>
      </w:r>
      <w:r w:rsidR="00FD4C4A" w:rsidRPr="002D57ED">
        <w:rPr>
          <w:sz w:val="22"/>
          <w:szCs w:val="22"/>
        </w:rPr>
        <w:t xml:space="preserve">research, </w:t>
      </w:r>
      <w:r w:rsidRPr="002D57ED">
        <w:rPr>
          <w:sz w:val="22"/>
          <w:szCs w:val="22"/>
        </w:rPr>
        <w:t>skills development, workforce needs and long-term prosperity.</w:t>
      </w:r>
    </w:p>
    <w:p w14:paraId="67631C51" w14:textId="110230F6" w:rsidR="00101D82" w:rsidRDefault="00101D82" w:rsidP="001D0A9E">
      <w:pPr>
        <w:pStyle w:val="Heading2"/>
        <w:spacing w:line="300" w:lineRule="auto"/>
      </w:pPr>
      <w:bookmarkStart w:id="28" w:name="_Toc241679071"/>
      <w:r>
        <w:t>Collaboration</w:t>
      </w:r>
      <w:bookmarkEnd w:id="28"/>
    </w:p>
    <w:p w14:paraId="1E95802A" w14:textId="2FBD53E7" w:rsidR="00F966A8" w:rsidRPr="009D2F85" w:rsidRDefault="0036144C" w:rsidP="001D0A9E">
      <w:pPr>
        <w:pStyle w:val="Heading3"/>
        <w:spacing w:line="300" w:lineRule="auto"/>
        <w:rPr>
          <w:color w:val="009364" w:themeColor="accent2"/>
        </w:rPr>
      </w:pPr>
      <w:r w:rsidRPr="009D2F85">
        <w:rPr>
          <w:color w:val="009364" w:themeColor="accent2"/>
        </w:rPr>
        <w:t>Higher e</w:t>
      </w:r>
      <w:r w:rsidR="00344ABB" w:rsidRPr="009D2F85">
        <w:rPr>
          <w:color w:val="009364" w:themeColor="accent2"/>
        </w:rPr>
        <w:t>ducation, industry and community partnerships</w:t>
      </w:r>
    </w:p>
    <w:p w14:paraId="5C5D3413" w14:textId="3350490F" w:rsidR="00694937" w:rsidRPr="002D57ED" w:rsidRDefault="00694937" w:rsidP="001D0A9E">
      <w:pPr>
        <w:spacing w:before="160"/>
        <w:rPr>
          <w:sz w:val="22"/>
          <w:szCs w:val="22"/>
        </w:rPr>
      </w:pPr>
      <w:r w:rsidRPr="002D57ED">
        <w:rPr>
          <w:sz w:val="22"/>
          <w:szCs w:val="22"/>
        </w:rPr>
        <w:t xml:space="preserve">A connected, coherent and responsive </w:t>
      </w:r>
      <w:r w:rsidR="004B59A9">
        <w:rPr>
          <w:sz w:val="22"/>
          <w:szCs w:val="22"/>
        </w:rPr>
        <w:t>higher</w:t>
      </w:r>
      <w:r w:rsidR="004B59A9" w:rsidRPr="002D57ED">
        <w:rPr>
          <w:sz w:val="22"/>
          <w:szCs w:val="22"/>
        </w:rPr>
        <w:t xml:space="preserve"> </w:t>
      </w:r>
      <w:r w:rsidRPr="002D57ED">
        <w:rPr>
          <w:sz w:val="22"/>
          <w:szCs w:val="22"/>
        </w:rPr>
        <w:t xml:space="preserve">education system </w:t>
      </w:r>
      <w:r w:rsidR="000A70EB" w:rsidRPr="002D57ED">
        <w:rPr>
          <w:sz w:val="22"/>
          <w:szCs w:val="22"/>
        </w:rPr>
        <w:t>depends on</w:t>
      </w:r>
      <w:r w:rsidRPr="002D57ED">
        <w:rPr>
          <w:sz w:val="22"/>
          <w:szCs w:val="22"/>
        </w:rPr>
        <w:t xml:space="preserve"> strong partnerships across </w:t>
      </w:r>
      <w:r w:rsidR="0070236D">
        <w:rPr>
          <w:sz w:val="22"/>
          <w:szCs w:val="22"/>
        </w:rPr>
        <w:t xml:space="preserve">higher </w:t>
      </w:r>
      <w:r w:rsidRPr="002D57ED">
        <w:rPr>
          <w:sz w:val="22"/>
          <w:szCs w:val="22"/>
        </w:rPr>
        <w:t>education</w:t>
      </w:r>
      <w:r w:rsidR="0070236D">
        <w:rPr>
          <w:sz w:val="22"/>
          <w:szCs w:val="22"/>
        </w:rPr>
        <w:t xml:space="preserve"> providers</w:t>
      </w:r>
      <w:r w:rsidR="000A70EB" w:rsidRPr="002D57ED">
        <w:rPr>
          <w:sz w:val="22"/>
          <w:szCs w:val="22"/>
        </w:rPr>
        <w:t xml:space="preserve">, industry </w:t>
      </w:r>
      <w:r w:rsidRPr="002D57ED">
        <w:rPr>
          <w:sz w:val="22"/>
          <w:szCs w:val="22"/>
        </w:rPr>
        <w:t xml:space="preserve">and </w:t>
      </w:r>
      <w:r w:rsidR="000A70EB" w:rsidRPr="002D57ED">
        <w:rPr>
          <w:sz w:val="22"/>
          <w:szCs w:val="22"/>
        </w:rPr>
        <w:t>communities</w:t>
      </w:r>
      <w:r w:rsidRPr="002D57ED">
        <w:rPr>
          <w:sz w:val="22"/>
          <w:szCs w:val="22"/>
        </w:rPr>
        <w:t>. As Australia seeks to achieve the National Tertiary Education Objective, collaboration</w:t>
      </w:r>
      <w:r w:rsidR="003E3D47" w:rsidRPr="002D57ED">
        <w:rPr>
          <w:sz w:val="22"/>
          <w:szCs w:val="22"/>
        </w:rPr>
        <w:t xml:space="preserve"> </w:t>
      </w:r>
      <w:r w:rsidR="00E56DB6" w:rsidRPr="002D57ED">
        <w:rPr>
          <w:sz w:val="22"/>
          <w:szCs w:val="22"/>
        </w:rPr>
        <w:t xml:space="preserve">within </w:t>
      </w:r>
      <w:r w:rsidR="003E3D47" w:rsidRPr="002D57ED">
        <w:rPr>
          <w:sz w:val="22"/>
          <w:szCs w:val="22"/>
        </w:rPr>
        <w:t xml:space="preserve">and </w:t>
      </w:r>
      <w:r w:rsidR="00E56DB6" w:rsidRPr="002D57ED">
        <w:rPr>
          <w:sz w:val="22"/>
          <w:szCs w:val="22"/>
        </w:rPr>
        <w:t xml:space="preserve">beyond the </w:t>
      </w:r>
      <w:r w:rsidR="00D633D4">
        <w:rPr>
          <w:sz w:val="22"/>
          <w:szCs w:val="22"/>
        </w:rPr>
        <w:t>higher education</w:t>
      </w:r>
      <w:r w:rsidR="00D633D4" w:rsidRPr="002D57ED">
        <w:rPr>
          <w:sz w:val="22"/>
          <w:szCs w:val="22"/>
        </w:rPr>
        <w:t xml:space="preserve"> </w:t>
      </w:r>
      <w:r w:rsidR="00E56DB6" w:rsidRPr="002D57ED">
        <w:rPr>
          <w:sz w:val="22"/>
          <w:szCs w:val="22"/>
        </w:rPr>
        <w:t>system</w:t>
      </w:r>
      <w:r w:rsidR="009C2B22" w:rsidRPr="002D57ED">
        <w:rPr>
          <w:sz w:val="22"/>
          <w:szCs w:val="22"/>
        </w:rPr>
        <w:t xml:space="preserve"> </w:t>
      </w:r>
      <w:r w:rsidR="001B794C" w:rsidRPr="002D57ED">
        <w:rPr>
          <w:sz w:val="22"/>
          <w:szCs w:val="22"/>
        </w:rPr>
        <w:t xml:space="preserve">can strengthen participation, attainment, learning quality, </w:t>
      </w:r>
      <w:r w:rsidR="00EB75D2" w:rsidRPr="002D57ED">
        <w:rPr>
          <w:sz w:val="22"/>
          <w:szCs w:val="22"/>
        </w:rPr>
        <w:t xml:space="preserve">research </w:t>
      </w:r>
      <w:r w:rsidR="001B794C" w:rsidRPr="002D57ED">
        <w:rPr>
          <w:sz w:val="22"/>
          <w:szCs w:val="22"/>
        </w:rPr>
        <w:t>impact and community outcomes</w:t>
      </w:r>
      <w:r w:rsidR="00EB75D2" w:rsidRPr="002D57ED">
        <w:rPr>
          <w:sz w:val="22"/>
          <w:szCs w:val="22"/>
        </w:rPr>
        <w:t>.</w:t>
      </w:r>
    </w:p>
    <w:p w14:paraId="77AEE682" w14:textId="3940A0B3" w:rsidR="00101D82" w:rsidRPr="002D57ED" w:rsidRDefault="00B7574B" w:rsidP="001D0A9E">
      <w:pPr>
        <w:spacing w:before="160"/>
        <w:rPr>
          <w:sz w:val="22"/>
          <w:szCs w:val="22"/>
        </w:rPr>
      </w:pPr>
      <w:r w:rsidRPr="002D57ED">
        <w:rPr>
          <w:sz w:val="22"/>
          <w:szCs w:val="22"/>
        </w:rPr>
        <w:t>Collaboration within the higher education sector can help meet learners</w:t>
      </w:r>
      <w:r w:rsidR="005B4941" w:rsidRPr="002D57ED">
        <w:rPr>
          <w:sz w:val="22"/>
          <w:szCs w:val="22"/>
        </w:rPr>
        <w:t>’</w:t>
      </w:r>
      <w:r w:rsidR="00AB14BF" w:rsidRPr="002D57ED">
        <w:rPr>
          <w:sz w:val="22"/>
          <w:szCs w:val="22"/>
        </w:rPr>
        <w:t xml:space="preserve"> needs and workforce requirements more efficiently and effectively, particularly in </w:t>
      </w:r>
      <w:r w:rsidR="00BA6CF3" w:rsidRPr="002D57ED">
        <w:rPr>
          <w:sz w:val="22"/>
          <w:szCs w:val="22"/>
        </w:rPr>
        <w:t>niche subject areas or thin markets.</w:t>
      </w:r>
      <w:r w:rsidRPr="002D57ED">
        <w:rPr>
          <w:sz w:val="22"/>
          <w:szCs w:val="22"/>
        </w:rPr>
        <w:t xml:space="preserve"> </w:t>
      </w:r>
      <w:r w:rsidR="001B794C" w:rsidRPr="002D57ED">
        <w:rPr>
          <w:sz w:val="22"/>
          <w:szCs w:val="22"/>
        </w:rPr>
        <w:t>Partnerships across higher education, industry and communities help ensure tertiary education remains relevant,</w:t>
      </w:r>
      <w:r w:rsidR="00694937" w:rsidRPr="002D57ED">
        <w:rPr>
          <w:sz w:val="22"/>
          <w:szCs w:val="22"/>
        </w:rPr>
        <w:t xml:space="preserve"> accessible and aligned with future </w:t>
      </w:r>
      <w:r w:rsidR="003E665A" w:rsidRPr="002D57ED">
        <w:rPr>
          <w:sz w:val="22"/>
          <w:szCs w:val="22"/>
        </w:rPr>
        <w:t>economic and social</w:t>
      </w:r>
      <w:r w:rsidR="00694937" w:rsidRPr="002D57ED">
        <w:rPr>
          <w:sz w:val="22"/>
          <w:szCs w:val="22"/>
        </w:rPr>
        <w:t xml:space="preserve"> needs. Strong partnerships with employers support work-integrated learning, curriculum relevance,</w:t>
      </w:r>
      <w:r w:rsidR="003E665A" w:rsidRPr="002D57ED">
        <w:rPr>
          <w:sz w:val="22"/>
          <w:szCs w:val="22"/>
        </w:rPr>
        <w:t xml:space="preserve"> workforce development</w:t>
      </w:r>
      <w:r w:rsidR="005510F1" w:rsidRPr="002D57ED">
        <w:rPr>
          <w:sz w:val="22"/>
          <w:szCs w:val="22"/>
        </w:rPr>
        <w:t xml:space="preserve"> and</w:t>
      </w:r>
      <w:r w:rsidR="00694937" w:rsidRPr="002D57ED">
        <w:rPr>
          <w:sz w:val="22"/>
          <w:szCs w:val="22"/>
        </w:rPr>
        <w:t xml:space="preserve"> research translation. </w:t>
      </w:r>
      <w:r w:rsidR="00F9481D" w:rsidRPr="002D57ED">
        <w:rPr>
          <w:sz w:val="22"/>
          <w:szCs w:val="22"/>
        </w:rPr>
        <w:t xml:space="preserve">Community partnerships help ensure </w:t>
      </w:r>
      <w:r w:rsidR="00CB45AE" w:rsidRPr="002D57ED">
        <w:rPr>
          <w:sz w:val="22"/>
          <w:szCs w:val="22"/>
        </w:rPr>
        <w:t xml:space="preserve">the </w:t>
      </w:r>
      <w:r w:rsidR="00CC2919">
        <w:rPr>
          <w:sz w:val="22"/>
          <w:szCs w:val="22"/>
        </w:rPr>
        <w:t>higher</w:t>
      </w:r>
      <w:r w:rsidR="00CC2919" w:rsidRPr="002D57ED">
        <w:rPr>
          <w:sz w:val="22"/>
          <w:szCs w:val="22"/>
        </w:rPr>
        <w:t xml:space="preserve"> </w:t>
      </w:r>
      <w:r w:rsidR="00CB45AE" w:rsidRPr="002D57ED">
        <w:rPr>
          <w:sz w:val="22"/>
          <w:szCs w:val="22"/>
        </w:rPr>
        <w:t>education system remains responsive to local priorities and contributes to broader social, cultural and economic development.</w:t>
      </w:r>
    </w:p>
    <w:p w14:paraId="6F928E5A" w14:textId="7AAA7A0E" w:rsidR="00101D82" w:rsidRDefault="00101D82" w:rsidP="001D0A9E">
      <w:pPr>
        <w:pStyle w:val="Heading2"/>
        <w:spacing w:line="300" w:lineRule="auto"/>
      </w:pPr>
      <w:bookmarkStart w:id="29" w:name="_Toc241679072"/>
      <w:r>
        <w:lastRenderedPageBreak/>
        <w:t xml:space="preserve">Student </w:t>
      </w:r>
      <w:r w:rsidR="00787F56">
        <w:t>e</w:t>
      </w:r>
      <w:r>
        <w:t xml:space="preserve">xperience and </w:t>
      </w:r>
      <w:r w:rsidR="00787F56">
        <w:t>s</w:t>
      </w:r>
      <w:r>
        <w:t>afety</w:t>
      </w:r>
      <w:bookmarkEnd w:id="29"/>
    </w:p>
    <w:p w14:paraId="58926738" w14:textId="5C1037AD" w:rsidR="00F966A8" w:rsidRPr="009D2F85" w:rsidRDefault="00D8402F" w:rsidP="0030287B">
      <w:pPr>
        <w:pStyle w:val="Heading3"/>
        <w:rPr>
          <w:color w:val="009364" w:themeColor="accent2"/>
        </w:rPr>
      </w:pPr>
      <w:r w:rsidRPr="009D2F85">
        <w:rPr>
          <w:color w:val="009364" w:themeColor="accent2"/>
        </w:rPr>
        <w:t>Improving</w:t>
      </w:r>
      <w:r w:rsidR="00381523" w:rsidRPr="009D2F85">
        <w:rPr>
          <w:color w:val="009364" w:themeColor="accent2"/>
        </w:rPr>
        <w:t xml:space="preserve"> the student experience and ensuring the safety of all students</w:t>
      </w:r>
    </w:p>
    <w:p w14:paraId="7F2D57D7" w14:textId="0436F4D9" w:rsidR="00F966A8" w:rsidRPr="002D57ED" w:rsidRDefault="004D54C2" w:rsidP="00041236">
      <w:pPr>
        <w:rPr>
          <w:sz w:val="22"/>
          <w:szCs w:val="22"/>
        </w:rPr>
      </w:pPr>
      <w:r w:rsidRPr="002D57ED">
        <w:rPr>
          <w:sz w:val="22"/>
          <w:szCs w:val="22"/>
        </w:rPr>
        <w:t>A high-quality s</w:t>
      </w:r>
      <w:r w:rsidR="00F966A8" w:rsidRPr="002D57ED">
        <w:rPr>
          <w:sz w:val="22"/>
          <w:szCs w:val="22"/>
        </w:rPr>
        <w:t xml:space="preserve">tudent experience and student safety </w:t>
      </w:r>
      <w:r w:rsidR="002A1088" w:rsidRPr="002D57ED">
        <w:rPr>
          <w:sz w:val="22"/>
          <w:szCs w:val="22"/>
        </w:rPr>
        <w:t>is</w:t>
      </w:r>
      <w:r w:rsidR="00F966A8" w:rsidRPr="002D57ED">
        <w:rPr>
          <w:sz w:val="22"/>
          <w:szCs w:val="22"/>
        </w:rPr>
        <w:t xml:space="preserve"> fundamental to achieving equitable access, participation</w:t>
      </w:r>
      <w:r w:rsidR="008C10A2" w:rsidRPr="002D57ED">
        <w:rPr>
          <w:sz w:val="22"/>
          <w:szCs w:val="22"/>
        </w:rPr>
        <w:t xml:space="preserve"> </w:t>
      </w:r>
      <w:r w:rsidR="00F966A8" w:rsidRPr="002D57ED">
        <w:rPr>
          <w:sz w:val="22"/>
          <w:szCs w:val="22"/>
        </w:rPr>
        <w:t xml:space="preserve">and success across the tertiary education system. A </w:t>
      </w:r>
      <w:r w:rsidR="008A18A0" w:rsidRPr="002D57ED">
        <w:rPr>
          <w:sz w:val="22"/>
          <w:szCs w:val="22"/>
        </w:rPr>
        <w:t>positive</w:t>
      </w:r>
      <w:r w:rsidR="00F966A8" w:rsidRPr="002D57ED">
        <w:rPr>
          <w:sz w:val="22"/>
          <w:szCs w:val="22"/>
        </w:rPr>
        <w:t xml:space="preserve"> student experience supports academic achievement, wellbeing, belonging and engagement, enabling </w:t>
      </w:r>
      <w:r w:rsidR="00937AAD" w:rsidRPr="002D57ED">
        <w:rPr>
          <w:sz w:val="22"/>
          <w:szCs w:val="22"/>
        </w:rPr>
        <w:t xml:space="preserve">all </w:t>
      </w:r>
      <w:r w:rsidR="00F966A8" w:rsidRPr="002D57ED">
        <w:rPr>
          <w:sz w:val="22"/>
          <w:szCs w:val="22"/>
        </w:rPr>
        <w:t xml:space="preserve">learners to realise the full benefits of tertiary education. As </w:t>
      </w:r>
      <w:r w:rsidR="00FA62A4" w:rsidRPr="002D57ED">
        <w:rPr>
          <w:sz w:val="22"/>
          <w:szCs w:val="22"/>
        </w:rPr>
        <w:t>participation expands</w:t>
      </w:r>
      <w:r w:rsidR="00F966A8" w:rsidRPr="002D57ED">
        <w:rPr>
          <w:sz w:val="22"/>
          <w:szCs w:val="22"/>
        </w:rPr>
        <w:t xml:space="preserve">, particularly among underrepresented and disadvantaged groups, providers must ensure that learning environments are inclusive, accessible and responsive to the </w:t>
      </w:r>
      <w:r w:rsidR="0032455E" w:rsidRPr="002D57ED">
        <w:rPr>
          <w:sz w:val="22"/>
          <w:szCs w:val="22"/>
        </w:rPr>
        <w:t>diverse</w:t>
      </w:r>
      <w:r w:rsidR="00F966A8" w:rsidRPr="002D57ED">
        <w:rPr>
          <w:sz w:val="22"/>
          <w:szCs w:val="22"/>
        </w:rPr>
        <w:t xml:space="preserve"> needs of students.</w:t>
      </w:r>
    </w:p>
    <w:p w14:paraId="7B8D33CC" w14:textId="10D1AA60" w:rsidR="007E4C67" w:rsidRPr="00FB7D21" w:rsidRDefault="00F966A8" w:rsidP="00FB7D21">
      <w:pPr>
        <w:spacing w:before="60" w:after="0"/>
        <w:contextualSpacing/>
        <w:rPr>
          <w:sz w:val="22"/>
          <w:szCs w:val="22"/>
        </w:rPr>
      </w:pPr>
      <w:r w:rsidRPr="002D57ED">
        <w:rPr>
          <w:sz w:val="22"/>
          <w:szCs w:val="22"/>
        </w:rPr>
        <w:t xml:space="preserve">Student safety is equally critical to maintaining trust in the tertiary education system and ensuring that all </w:t>
      </w:r>
      <w:r w:rsidR="00983CE2" w:rsidRPr="002D57ED">
        <w:rPr>
          <w:sz w:val="22"/>
          <w:szCs w:val="22"/>
        </w:rPr>
        <w:t>students</w:t>
      </w:r>
      <w:r w:rsidRPr="002D57ED">
        <w:rPr>
          <w:sz w:val="22"/>
          <w:szCs w:val="22"/>
        </w:rPr>
        <w:t xml:space="preserve"> can study in environments that are </w:t>
      </w:r>
      <w:r w:rsidR="000619BA">
        <w:rPr>
          <w:sz w:val="22"/>
          <w:szCs w:val="22"/>
        </w:rPr>
        <w:t>psychosocially suppo</w:t>
      </w:r>
      <w:r w:rsidR="00A61DB3">
        <w:rPr>
          <w:sz w:val="22"/>
          <w:szCs w:val="22"/>
        </w:rPr>
        <w:t xml:space="preserve">rtive and </w:t>
      </w:r>
      <w:r w:rsidRPr="002D57ED">
        <w:rPr>
          <w:sz w:val="22"/>
          <w:szCs w:val="22"/>
        </w:rPr>
        <w:t>free from harm, discrimination</w:t>
      </w:r>
      <w:r w:rsidR="00983CE2" w:rsidRPr="002D57ED">
        <w:rPr>
          <w:sz w:val="22"/>
          <w:szCs w:val="22"/>
        </w:rPr>
        <w:t xml:space="preserve"> and</w:t>
      </w:r>
      <w:r w:rsidRPr="002D57ED">
        <w:rPr>
          <w:sz w:val="22"/>
          <w:szCs w:val="22"/>
        </w:rPr>
        <w:t xml:space="preserve"> harassment. Safe and supportive campuses, workplaces and online learning environments are essential for student wellbeing, </w:t>
      </w:r>
      <w:r w:rsidR="00E4122A" w:rsidRPr="002D57ED">
        <w:rPr>
          <w:sz w:val="22"/>
          <w:szCs w:val="22"/>
        </w:rPr>
        <w:t>educational</w:t>
      </w:r>
      <w:r w:rsidRPr="002D57ED">
        <w:rPr>
          <w:sz w:val="22"/>
          <w:szCs w:val="22"/>
        </w:rPr>
        <w:t xml:space="preserve"> success and positive </w:t>
      </w:r>
      <w:r w:rsidR="00E4122A" w:rsidRPr="002D57ED">
        <w:rPr>
          <w:sz w:val="22"/>
          <w:szCs w:val="22"/>
        </w:rPr>
        <w:t>long-term</w:t>
      </w:r>
      <w:r w:rsidRPr="002D57ED">
        <w:rPr>
          <w:sz w:val="22"/>
          <w:szCs w:val="22"/>
        </w:rPr>
        <w:t xml:space="preserve"> outcomes. </w:t>
      </w:r>
      <w:r w:rsidR="007E4C67">
        <w:br w:type="page"/>
      </w:r>
    </w:p>
    <w:p w14:paraId="4E678136" w14:textId="761AC1E4" w:rsidR="006C7BA6" w:rsidRDefault="006C7BA6" w:rsidP="00FB7D21">
      <w:pPr>
        <w:pStyle w:val="Heading1"/>
        <w:spacing w:before="720" w:after="480"/>
      </w:pPr>
      <w:bookmarkStart w:id="30" w:name="_Toc241679073"/>
      <w:r>
        <w:lastRenderedPageBreak/>
        <w:t>Consultation Questions</w:t>
      </w:r>
      <w:bookmarkEnd w:id="30"/>
    </w:p>
    <w:p w14:paraId="64276A38" w14:textId="604480C6" w:rsidR="008C1D2E" w:rsidRPr="002D57ED" w:rsidRDefault="008C1D2E" w:rsidP="00AE5BC7">
      <w:pPr>
        <w:pStyle w:val="ListParagraph"/>
        <w:numPr>
          <w:ilvl w:val="0"/>
          <w:numId w:val="46"/>
        </w:numPr>
        <w:rPr>
          <w:sz w:val="22"/>
          <w:szCs w:val="22"/>
        </w:rPr>
      </w:pPr>
      <w:r w:rsidRPr="002D57ED">
        <w:rPr>
          <w:sz w:val="22"/>
          <w:szCs w:val="22"/>
        </w:rPr>
        <w:t xml:space="preserve">Do the draft </w:t>
      </w:r>
      <w:r w:rsidRPr="002D57ED">
        <w:rPr>
          <w:b/>
          <w:bCs/>
          <w:sz w:val="22"/>
          <w:szCs w:val="22"/>
        </w:rPr>
        <w:t>outcomes</w:t>
      </w:r>
      <w:r w:rsidRPr="002D57ED">
        <w:rPr>
          <w:sz w:val="22"/>
          <w:szCs w:val="22"/>
        </w:rPr>
        <w:t xml:space="preserve"> meaningfully reflect progress towards the National Tertiary Education Objective and ATEC’s </w:t>
      </w:r>
      <w:r w:rsidR="005337DC" w:rsidRPr="002D57ED">
        <w:rPr>
          <w:sz w:val="22"/>
          <w:szCs w:val="22"/>
        </w:rPr>
        <w:t>legislated</w:t>
      </w:r>
      <w:r w:rsidRPr="002D57ED">
        <w:rPr>
          <w:sz w:val="22"/>
          <w:szCs w:val="22"/>
        </w:rPr>
        <w:t xml:space="preserve"> goals? Would </w:t>
      </w:r>
      <w:r w:rsidR="00944CF7" w:rsidRPr="002D57ED">
        <w:rPr>
          <w:sz w:val="22"/>
          <w:szCs w:val="22"/>
        </w:rPr>
        <w:t>achieving these</w:t>
      </w:r>
      <w:r w:rsidRPr="002D57ED">
        <w:rPr>
          <w:sz w:val="22"/>
          <w:szCs w:val="22"/>
        </w:rPr>
        <w:t xml:space="preserve"> outcomes demonstrate a high quality and sustainable tertiary education system?</w:t>
      </w:r>
    </w:p>
    <w:p w14:paraId="3ACCA67E" w14:textId="77777777" w:rsidR="00811926" w:rsidRPr="002D57ED" w:rsidRDefault="00811926" w:rsidP="00811926">
      <w:pPr>
        <w:pStyle w:val="ListParagraph"/>
        <w:numPr>
          <w:ilvl w:val="0"/>
          <w:numId w:val="0"/>
        </w:numPr>
        <w:ind w:left="720"/>
        <w:rPr>
          <w:sz w:val="22"/>
          <w:szCs w:val="22"/>
        </w:rPr>
      </w:pPr>
    </w:p>
    <w:p w14:paraId="42949247" w14:textId="0E853D21" w:rsidR="00811926" w:rsidRDefault="00A41533" w:rsidP="009B6813">
      <w:pPr>
        <w:pStyle w:val="ListParagraph"/>
        <w:numPr>
          <w:ilvl w:val="0"/>
          <w:numId w:val="46"/>
        </w:numPr>
        <w:rPr>
          <w:sz w:val="22"/>
          <w:szCs w:val="22"/>
        </w:rPr>
      </w:pPr>
      <w:r w:rsidRPr="002D57ED">
        <w:rPr>
          <w:sz w:val="22"/>
          <w:szCs w:val="22"/>
        </w:rPr>
        <w:t xml:space="preserve">Do the draft </w:t>
      </w:r>
      <w:r w:rsidRPr="002D57ED">
        <w:rPr>
          <w:b/>
          <w:bCs/>
          <w:sz w:val="22"/>
          <w:szCs w:val="22"/>
        </w:rPr>
        <w:t>priorities</w:t>
      </w:r>
      <w:r w:rsidRPr="002D57ED">
        <w:rPr>
          <w:sz w:val="22"/>
          <w:szCs w:val="22"/>
        </w:rPr>
        <w:t xml:space="preserve"> appropriately reflect the key areas that ATEC should focus on throughout 2027 and 2028? Are there any key focus areas within ATEC’s remit that should be added, </w:t>
      </w:r>
      <w:r w:rsidR="000D2226" w:rsidRPr="002D57ED">
        <w:rPr>
          <w:sz w:val="22"/>
          <w:szCs w:val="22"/>
        </w:rPr>
        <w:t>consolidated</w:t>
      </w:r>
      <w:r w:rsidR="00BD3DA5" w:rsidRPr="002D57ED">
        <w:rPr>
          <w:sz w:val="22"/>
          <w:szCs w:val="22"/>
        </w:rPr>
        <w:t>, refined</w:t>
      </w:r>
      <w:r w:rsidR="000D2226" w:rsidRPr="002D57ED">
        <w:rPr>
          <w:sz w:val="22"/>
          <w:szCs w:val="22"/>
        </w:rPr>
        <w:t xml:space="preserve"> or removed, and why</w:t>
      </w:r>
      <w:r w:rsidRPr="002D57ED">
        <w:rPr>
          <w:sz w:val="22"/>
          <w:szCs w:val="22"/>
        </w:rPr>
        <w:t>?</w:t>
      </w:r>
    </w:p>
    <w:p w14:paraId="2B88E766" w14:textId="77777777" w:rsidR="00FD10BD" w:rsidRPr="00FD10BD" w:rsidRDefault="00FD10BD" w:rsidP="00FD10BD">
      <w:pPr>
        <w:pStyle w:val="ListParagraph"/>
        <w:numPr>
          <w:ilvl w:val="0"/>
          <w:numId w:val="0"/>
        </w:numPr>
        <w:ind w:left="644"/>
        <w:rPr>
          <w:sz w:val="22"/>
          <w:szCs w:val="22"/>
        </w:rPr>
      </w:pPr>
    </w:p>
    <w:p w14:paraId="55D6C679" w14:textId="28B7526B" w:rsidR="00FD10BD" w:rsidRPr="009B6813" w:rsidRDefault="00FD10BD" w:rsidP="009B6813">
      <w:pPr>
        <w:pStyle w:val="ListParagraph"/>
        <w:numPr>
          <w:ilvl w:val="0"/>
          <w:numId w:val="46"/>
        </w:numPr>
        <w:rPr>
          <w:sz w:val="22"/>
          <w:szCs w:val="22"/>
        </w:rPr>
      </w:pPr>
      <w:r w:rsidRPr="00FD10BD">
        <w:rPr>
          <w:sz w:val="22"/>
          <w:szCs w:val="22"/>
        </w:rPr>
        <w:t xml:space="preserve">Reflecting on the </w:t>
      </w:r>
      <w:r w:rsidRPr="00FD10BD">
        <w:rPr>
          <w:b/>
          <w:bCs/>
          <w:sz w:val="22"/>
          <w:szCs w:val="22"/>
        </w:rPr>
        <w:t>interim SSP</w:t>
      </w:r>
      <w:r w:rsidRPr="00FD10BD">
        <w:rPr>
          <w:sz w:val="22"/>
          <w:szCs w:val="22"/>
        </w:rPr>
        <w:t xml:space="preserve"> and foundation </w:t>
      </w:r>
      <w:r w:rsidRPr="00FD10BD">
        <w:rPr>
          <w:b/>
          <w:bCs/>
          <w:sz w:val="22"/>
          <w:szCs w:val="22"/>
        </w:rPr>
        <w:t>mission based compact</w:t>
      </w:r>
      <w:r w:rsidRPr="00FD10BD">
        <w:rPr>
          <w:sz w:val="22"/>
          <w:szCs w:val="22"/>
        </w:rPr>
        <w:t xml:space="preserve"> process, are the proposed priorities practical and useful in enabling </w:t>
      </w:r>
      <w:r w:rsidR="009A69BB">
        <w:rPr>
          <w:sz w:val="22"/>
          <w:szCs w:val="22"/>
        </w:rPr>
        <w:t>providers</w:t>
      </w:r>
      <w:r w:rsidRPr="00FD10BD">
        <w:rPr>
          <w:sz w:val="22"/>
          <w:szCs w:val="22"/>
        </w:rPr>
        <w:t xml:space="preserve"> to reflect their unique missions and operating contexts?</w:t>
      </w:r>
    </w:p>
    <w:p w14:paraId="45A038C1" w14:textId="08D9EC72" w:rsidR="00F37295" w:rsidRPr="000201B4" w:rsidRDefault="00F37295" w:rsidP="003556BF">
      <w:pPr>
        <w:pStyle w:val="ListParagraph"/>
        <w:numPr>
          <w:ilvl w:val="0"/>
          <w:numId w:val="0"/>
        </w:numPr>
        <w:ind w:left="720"/>
        <w:rPr>
          <w:sz w:val="22"/>
          <w:szCs w:val="22"/>
        </w:rPr>
      </w:pPr>
    </w:p>
    <w:sectPr w:rsidR="00F37295" w:rsidRPr="000201B4" w:rsidSect="00CC4268">
      <w:headerReference w:type="default" r:id="rId26"/>
      <w:footerReference w:type="default" r:id="rId27"/>
      <w:pgSz w:w="11907" w:h="16839" w:code="9"/>
      <w:pgMar w:top="1077" w:right="1134" w:bottom="1134" w:left="1134" w:header="567" w:footer="805" w:gutter="0"/>
      <w:pgBorders w:offsetFrom="page">
        <w:top w:val="dotted" w:sz="2" w:space="24" w:color="EDEDED" w:themeColor="background2" w:themeTint="BF"/>
        <w:left w:val="dotted" w:sz="2" w:space="24" w:color="EDEDED" w:themeColor="background2" w:themeTint="BF"/>
        <w:bottom w:val="dotted" w:sz="2" w:space="24" w:color="EDEDED" w:themeColor="background2" w:themeTint="BF"/>
        <w:right w:val="dotted" w:sz="2" w:space="24" w:color="EDEDED" w:themeColor="background2" w:themeTint="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E80C0" w14:textId="77777777" w:rsidR="00000B2F" w:rsidRDefault="00000B2F" w:rsidP="00782A81">
      <w:r>
        <w:rPr>
          <w:noProof/>
        </w:rPr>
        <w:pict w14:anchorId="3C8034B6">
          <v:rect id="_x0000_i1027" style="width:.45pt;height:.05pt" o:hrpct="1" o:hralign="center" o:hrstd="t" o:hr="t" fillcolor="#a0a0a0" stroked="f"/>
        </w:pict>
      </w:r>
    </w:p>
  </w:endnote>
  <w:endnote w:type="continuationSeparator" w:id="0">
    <w:p w14:paraId="22FDF2AF" w14:textId="77777777" w:rsidR="00000B2F" w:rsidRDefault="00000B2F" w:rsidP="00782A81">
      <w:r>
        <w:rPr>
          <w:noProof/>
        </w:rPr>
        <w:pict w14:anchorId="554911DF">
          <v:rect id="_x0000_i1028" style="width:.45pt;height:.05pt" o:hrpct="1" o:hralign="center" o:hrstd="t" o:hr="t" fillcolor="#a0a0a0" stroked="f"/>
        </w:pict>
      </w:r>
    </w:p>
  </w:endnote>
  <w:endnote w:type="continuationNotice" w:id="1">
    <w:p w14:paraId="4605B603" w14:textId="77777777" w:rsidR="00000B2F" w:rsidRDefault="00000B2F" w:rsidP="00782A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Light">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39B82" w14:textId="77777777" w:rsidR="00216468" w:rsidRPr="00216468" w:rsidRDefault="00216468" w:rsidP="00782A81">
    <w:pPr>
      <w:pStyle w:val="FooterLineBelow"/>
    </w:pPr>
  </w:p>
  <w:p w14:paraId="5301B0E1" w14:textId="77777777" w:rsidR="00257BE9" w:rsidRPr="00B30BDC" w:rsidRDefault="00026F37" w:rsidP="00782A81">
    <w:pPr>
      <w:pStyle w:val="Footer"/>
    </w:pPr>
    <w:r>
      <w:rPr>
        <w:noProof/>
      </w:rPr>
      <mc:AlternateContent>
        <mc:Choice Requires="wps">
          <w:drawing>
            <wp:inline distT="0" distB="0" distL="0" distR="0" wp14:anchorId="34F44CEB" wp14:editId="3B73BA64">
              <wp:extent cx="3646170" cy="396000"/>
              <wp:effectExtent l="0" t="0" r="11430" b="4445"/>
              <wp:docPr id="1481274879"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646170" cy="396000"/>
                      </a:xfrm>
                      <a:prstGeom prst="rect">
                        <a:avLst/>
                      </a:prstGeom>
                      <a:noFill/>
                      <a:ln w="6350">
                        <a:noFill/>
                      </a:ln>
                    </wps:spPr>
                    <wps:txbx>
                      <w:txbxContent>
                        <w:p w14:paraId="190D152D" w14:textId="4FA97C24" w:rsidR="00026F37" w:rsidRPr="00625F4C" w:rsidRDefault="00000B2F" w:rsidP="00782A81">
                          <w:pPr>
                            <w:pStyle w:val="Footer"/>
                          </w:pPr>
                          <w:sdt>
                            <w:sdtPr>
                              <w:alias w:val="Title"/>
                              <w:tag w:val=""/>
                              <w:id w:val="2102907034"/>
                              <w:placeholder>
                                <w:docPart w:val="697B5A9AFEAB42B9B0023106772FEF37"/>
                              </w:placeholder>
                              <w:dataBinding w:prefixMappings="xmlns:ns0='http://purl.org/dc/elements/1.1/' xmlns:ns1='http://schemas.openxmlformats.org/package/2006/metadata/core-properties' " w:xpath="/ns1:coreProperties[1]/ns0:title[1]" w:storeItemID="{6C3C8BC8-F283-45AE-878A-BAB7291924A1}"/>
                              <w:text/>
                            </w:sdtPr>
                            <w:sdtEndPr/>
                            <w:sdtContent>
                              <w:r w:rsidR="007F2A32">
                                <w:t>ATEC Statement of Strategic Priorities 2027-28 Consultation Paper</w:t>
                              </w:r>
                            </w:sdtContent>
                          </w:sdt>
                          <w:r w:rsidR="00026F37" w:rsidRPr="00625F4C">
                            <w:t> | </w:t>
                          </w:r>
                          <w:r w:rsidR="00625F4C" w:rsidRPr="00625F4C">
                            <w:fldChar w:fldCharType="begin"/>
                          </w:r>
                          <w:r w:rsidR="00625F4C" w:rsidRPr="00625F4C">
                            <w:instrText xml:space="preserve"> PAGE  \# "00"</w:instrText>
                          </w:r>
                          <w:r w:rsidR="00625F4C" w:rsidRPr="00625F4C">
                            <w:fldChar w:fldCharType="separate"/>
                          </w:r>
                          <w:r w:rsidR="00625F4C">
                            <w:t>03</w:t>
                          </w:r>
                          <w:r w:rsidR="00625F4C" w:rsidRPr="00625F4C">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inline>
          </w:drawing>
        </mc:Choice>
        <mc:Fallback xmlns:arto="http://schemas.microsoft.com/office/word/2006/arto">
          <w:pict>
            <v:shapetype w14:anchorId="34F44CEB" id="_x0000_t202" coordsize="21600,21600" o:spt="202" path="m,l,21600r21600,l21600,xe">
              <v:stroke joinstyle="miter"/>
              <v:path gradientshapeok="t" o:connecttype="rect"/>
            </v:shapetype>
            <v:shape id="Text Box 5" o:spid="_x0000_s1062" type="#_x0000_t202" alt="&quot;&quot;" style="width:287.1pt;height:31.2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" filled="f" stroked="f" strokeweight=".5pt">
              <v:textbox inset="0,0,0,0">
                <w:txbxContent>
                  <w:p w14:paraId="190D152D" w14:textId="4FA97C24" w:rsidR="00026F37" w:rsidRPr="00625F4C" w:rsidRDefault="00E65807" w:rsidP="00782A81">
                    <w:pPr>
                      <w:pStyle w:val="Footer"/>
                    </w:pPr>
                    <w:sdt>
                      <w:sdtPr>
                        <w:alias w:val="Title"/>
                        <w:tag w:val=""/>
                        <w:id w:val="2102907034"/>
                        <w:placeholder>
                          <w:docPart w:val="697B5A9AFEAB42B9B0023106772FEF37"/>
                        </w:placeholder>
                        <w:dataBinding w:prefixMappings="xmlns:ns0='http://purl.org/dc/elements/1.1/' xmlns:ns1='http://schemas.openxmlformats.org/package/2006/metadata/core-properties' " w:xpath="/ns1:coreProperties[1]/ns0:title[1]" w:storeItemID="{6C3C8BC8-F283-45AE-878A-BAB7291924A1}"/>
                        <w:text/>
                      </w:sdtPr>
                      <w:sdtEndPr/>
                      <w:sdtContent>
                        <w:r w:rsidR="007F2A32">
                          <w:t>ATEC Statement of Strategic Priorities 2027-28 Consultation Paper</w:t>
                        </w:r>
                      </w:sdtContent>
                    </w:sdt>
                    <w:r w:rsidR="00026F37" w:rsidRPr="00625F4C">
                      <w:t> | </w:t>
                    </w:r>
                    <w:r w:rsidR="00625F4C" w:rsidRPr="00625F4C">
                      <w:fldChar w:fldCharType="begin"/>
                    </w:r>
                    <w:r w:rsidR="00625F4C" w:rsidRPr="00625F4C">
                      <w:instrText xml:space="preserve"> PAGE  \# "00"</w:instrText>
                    </w:r>
                    <w:r w:rsidR="00625F4C" w:rsidRPr="00625F4C">
                      <w:fldChar w:fldCharType="separate"/>
                    </w:r>
                    <w:r w:rsidR="00625F4C">
                      <w:t>03</w:t>
                    </w:r>
                    <w:r w:rsidR="00625F4C" w:rsidRPr="00625F4C">
                      <w:fldChar w:fldCharType="end"/>
                    </w:r>
                  </w:p>
                </w:txbxContent>
              </v:textbox>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CB5D1" w14:textId="77777777" w:rsidR="00216468" w:rsidRPr="00216468" w:rsidRDefault="00216468" w:rsidP="00782A81">
    <w:pPr>
      <w:pStyle w:val="FooterLineBelow"/>
    </w:pPr>
  </w:p>
  <w:p w14:paraId="05D7FB14" w14:textId="77777777" w:rsidR="00257BE9" w:rsidRPr="00B30BDC" w:rsidRDefault="00026F37" w:rsidP="00782A81">
    <w:pPr>
      <w:pStyle w:val="Footer"/>
    </w:pPr>
    <w:r>
      <w:rPr>
        <w:noProof/>
      </w:rPr>
      <mc:AlternateContent>
        <mc:Choice Requires="wps">
          <w:drawing>
            <wp:inline distT="0" distB="0" distL="0" distR="0" wp14:anchorId="16F4E7A0" wp14:editId="07C1CDE2">
              <wp:extent cx="4462780" cy="396000"/>
              <wp:effectExtent l="0" t="0" r="13970" b="4445"/>
              <wp:docPr id="1459164739"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462780" cy="396000"/>
                      </a:xfrm>
                      <a:prstGeom prst="rect">
                        <a:avLst/>
                      </a:prstGeom>
                      <a:noFill/>
                      <a:ln w="6350">
                        <a:noFill/>
                      </a:ln>
                    </wps:spPr>
                    <wps:txbx>
                      <w:txbxContent>
                        <w:p w14:paraId="34F4AA5E" w14:textId="5504FDAA" w:rsidR="00026F37" w:rsidRPr="00625F4C" w:rsidRDefault="00000B2F" w:rsidP="00782A81">
                          <w:pPr>
                            <w:pStyle w:val="Footer"/>
                          </w:pPr>
                          <w:sdt>
                            <w:sdtPr>
                              <w:alias w:val="Title"/>
                              <w:tag w:val=""/>
                              <w:id w:val="1105311852"/>
                              <w:dataBinding w:prefixMappings="xmlns:ns0='http://purl.org/dc/elements/1.1/' xmlns:ns1='http://schemas.openxmlformats.org/package/2006/metadata/core-properties' " w:xpath="/ns1:coreProperties[1]/ns0:title[1]" w:storeItemID="{6C3C8BC8-F283-45AE-878A-BAB7291924A1}"/>
                              <w:text/>
                            </w:sdtPr>
                            <w:sdtEndPr/>
                            <w:sdtContent>
                              <w:r w:rsidR="007F2A32">
                                <w:t>ATEC Statement of Strategic Priorities 2027-28 Consultation Paper</w:t>
                              </w:r>
                            </w:sdtContent>
                          </w:sdt>
                          <w:r w:rsidR="00026F37" w:rsidRPr="00625F4C">
                            <w:t> | </w:t>
                          </w:r>
                          <w:r w:rsidR="00625F4C" w:rsidRPr="00625F4C">
                            <w:fldChar w:fldCharType="begin"/>
                          </w:r>
                          <w:r w:rsidR="00625F4C" w:rsidRPr="00625F4C">
                            <w:instrText xml:space="preserve"> PAGE  \# "00"</w:instrText>
                          </w:r>
                          <w:r w:rsidR="00625F4C" w:rsidRPr="00625F4C">
                            <w:fldChar w:fldCharType="separate"/>
                          </w:r>
                          <w:r w:rsidR="00625F4C">
                            <w:t>03</w:t>
                          </w:r>
                          <w:r w:rsidR="00625F4C" w:rsidRPr="00625F4C">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inline>
          </w:drawing>
        </mc:Choice>
        <mc:Fallback xmlns:arto="http://schemas.microsoft.com/office/word/2006/arto">
          <w:pict>
            <v:shapetype w14:anchorId="16F4E7A0" id="_x0000_t202" coordsize="21600,21600" o:spt="202" path="m,l,21600r21600,l21600,xe">
              <v:stroke joinstyle="miter"/>
              <v:path gradientshapeok="t" o:connecttype="rect"/>
            </v:shapetype>
            <v:shape id="_x0000_s1063" type="#_x0000_t202" alt="&quot;&quot;" style="width:351.4pt;height:31.2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" filled="f" stroked="f" strokeweight=".5pt">
              <v:textbox inset="0,0,0,0">
                <w:txbxContent>
                  <w:p w14:paraId="34F4AA5E" w14:textId="5504FDAA" w:rsidR="00026F37" w:rsidRPr="00625F4C" w:rsidRDefault="00E65807" w:rsidP="00782A81">
                    <w:pPr>
                      <w:pStyle w:val="Footer"/>
                    </w:pPr>
                    <w:sdt>
                      <w:sdtPr>
                        <w:alias w:val="Title"/>
                        <w:tag w:val=""/>
                        <w:id w:val="1105311852"/>
                        <w:dataBinding w:prefixMappings="xmlns:ns0='http://purl.org/dc/elements/1.1/' xmlns:ns1='http://schemas.openxmlformats.org/package/2006/metadata/core-properties' " w:xpath="/ns1:coreProperties[1]/ns0:title[1]" w:storeItemID="{6C3C8BC8-F283-45AE-878A-BAB7291924A1}"/>
                        <w:text/>
                      </w:sdtPr>
                      <w:sdtEndPr/>
                      <w:sdtContent>
                        <w:r w:rsidR="007F2A32">
                          <w:t>ATEC Statement of Strategic Priorities 2027-28 Consultation Paper</w:t>
                        </w:r>
                      </w:sdtContent>
                    </w:sdt>
                    <w:r w:rsidR="00026F37" w:rsidRPr="00625F4C">
                      <w:t> | </w:t>
                    </w:r>
                    <w:r w:rsidR="00625F4C" w:rsidRPr="00625F4C">
                      <w:fldChar w:fldCharType="begin"/>
                    </w:r>
                    <w:r w:rsidR="00625F4C" w:rsidRPr="00625F4C">
                      <w:instrText xml:space="preserve"> PAGE  \# "00"</w:instrText>
                    </w:r>
                    <w:r w:rsidR="00625F4C" w:rsidRPr="00625F4C">
                      <w:fldChar w:fldCharType="separate"/>
                    </w:r>
                    <w:r w:rsidR="00625F4C">
                      <w:t>03</w:t>
                    </w:r>
                    <w:r w:rsidR="00625F4C" w:rsidRPr="00625F4C">
                      <w:fldChar w:fldCharType="end"/>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C7DE1" w14:textId="77777777" w:rsidR="00000B2F" w:rsidRPr="00026DC2" w:rsidRDefault="00000B2F" w:rsidP="00782A81">
      <w:r>
        <w:rPr>
          <w:noProof/>
        </w:rPr>
        <w:pict w14:anchorId="1054DF15">
          <v:rect id="_x0000_i1025" style="width:.45pt;height:.05pt" o:hrpct="1" o:hralign="center" o:hrstd="t" o:hr="t" fillcolor="#a0a0a0" stroked="f"/>
        </w:pict>
      </w:r>
    </w:p>
  </w:footnote>
  <w:footnote w:type="continuationSeparator" w:id="0">
    <w:p w14:paraId="06C26DE5" w14:textId="77777777" w:rsidR="00000B2F" w:rsidRDefault="00000B2F" w:rsidP="00782A81">
      <w:r>
        <w:rPr>
          <w:noProof/>
        </w:rPr>
        <w:pict w14:anchorId="386E2F0F">
          <v:rect id="_x0000_i1026" style="width:.45pt;height:.05pt" o:hrpct="1" o:hralign="center" o:hrstd="t" o:hr="t" fillcolor="#a0a0a0" stroked="f"/>
        </w:pict>
      </w:r>
    </w:p>
  </w:footnote>
  <w:footnote w:type="continuationNotice" w:id="1">
    <w:p w14:paraId="1FCB93A0" w14:textId="77777777" w:rsidR="00000B2F" w:rsidRDefault="00000B2F" w:rsidP="00782A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0B7B6" w14:textId="3D24AF86" w:rsidR="00D91D02" w:rsidRDefault="00D91D02" w:rsidP="00782A81">
    <w:pPr>
      <w:pStyle w:val="Header"/>
    </w:pPr>
  </w:p>
  <w:p w14:paraId="247A7BE1" w14:textId="77777777" w:rsidR="00445234" w:rsidRDefault="00445234" w:rsidP="00782A81">
    <w:pPr>
      <w:pStyle w:val="Header"/>
    </w:pPr>
  </w:p>
  <w:p w14:paraId="37F25D71" w14:textId="77777777" w:rsidR="00445234" w:rsidRPr="000115DE" w:rsidRDefault="00445234" w:rsidP="00782A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4C35743"/>
    <w:multiLevelType w:val="multilevel"/>
    <w:tmpl w:val="00A29E5C"/>
    <w:styleLink w:val="LstLegalNumbering"/>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701" w:hanging="737"/>
      </w:pPr>
      <w:rPr>
        <w:rFonts w:hint="default"/>
      </w:rPr>
    </w:lvl>
    <w:lvl w:ilvl="3">
      <w:start w:val="1"/>
      <w:numFmt w:val="decimal"/>
      <w:pStyle w:val="ListNumber4"/>
      <w:lvlText w:val="%1.%2.%3.%4"/>
      <w:lvlJc w:val="left"/>
      <w:pPr>
        <w:ind w:left="2665" w:hanging="964"/>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2" w15:restartNumberingAfterBreak="0">
    <w:nsid w:val="05CE5659"/>
    <w:multiLevelType w:val="hybridMultilevel"/>
    <w:tmpl w:val="5AD88EFA"/>
    <w:lvl w:ilvl="0" w:tplc="9348BB6A">
      <w:start w:val="1"/>
      <w:numFmt w:val="lowerLetter"/>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3" w15:restartNumberingAfterBreak="0">
    <w:nsid w:val="065D58B5"/>
    <w:multiLevelType w:val="hybridMultilevel"/>
    <w:tmpl w:val="E12006BA"/>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B3C3F52"/>
    <w:multiLevelType w:val="multilevel"/>
    <w:tmpl w:val="13F4C276"/>
    <w:lvl w:ilvl="0">
      <w:start w:val="1"/>
      <w:numFmt w:val="decimal"/>
      <w:pStyle w:val="NotesNumbered"/>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D361317"/>
    <w:multiLevelType w:val="hybridMultilevel"/>
    <w:tmpl w:val="10C24630"/>
    <w:lvl w:ilvl="0" w:tplc="EE4C61D0">
      <w:start w:val="1"/>
      <w:numFmt w:val="lowerLetter"/>
      <w:lvlText w:val="%1)"/>
      <w:lvlJc w:val="left"/>
      <w:pPr>
        <w:ind w:left="1440" w:hanging="360"/>
      </w:pPr>
    </w:lvl>
    <w:lvl w:ilvl="1" w:tplc="CBAC1ACC">
      <w:start w:val="1"/>
      <w:numFmt w:val="lowerLetter"/>
      <w:lvlText w:val="%2)"/>
      <w:lvlJc w:val="left"/>
      <w:pPr>
        <w:ind w:left="1440" w:hanging="360"/>
      </w:pPr>
    </w:lvl>
    <w:lvl w:ilvl="2" w:tplc="87D8DBE6">
      <w:start w:val="1"/>
      <w:numFmt w:val="lowerLetter"/>
      <w:lvlText w:val="%3)"/>
      <w:lvlJc w:val="left"/>
      <w:pPr>
        <w:ind w:left="1440" w:hanging="360"/>
      </w:pPr>
    </w:lvl>
    <w:lvl w:ilvl="3" w:tplc="C5FC11E0">
      <w:start w:val="1"/>
      <w:numFmt w:val="lowerLetter"/>
      <w:lvlText w:val="%4)"/>
      <w:lvlJc w:val="left"/>
      <w:pPr>
        <w:ind w:left="1440" w:hanging="360"/>
      </w:pPr>
    </w:lvl>
    <w:lvl w:ilvl="4" w:tplc="1CCACA3C">
      <w:start w:val="1"/>
      <w:numFmt w:val="lowerLetter"/>
      <w:lvlText w:val="%5)"/>
      <w:lvlJc w:val="left"/>
      <w:pPr>
        <w:ind w:left="1440" w:hanging="360"/>
      </w:pPr>
    </w:lvl>
    <w:lvl w:ilvl="5" w:tplc="FB2C8B94">
      <w:start w:val="1"/>
      <w:numFmt w:val="lowerLetter"/>
      <w:lvlText w:val="%6)"/>
      <w:lvlJc w:val="left"/>
      <w:pPr>
        <w:ind w:left="1440" w:hanging="360"/>
      </w:pPr>
    </w:lvl>
    <w:lvl w:ilvl="6" w:tplc="18F6EF58">
      <w:start w:val="1"/>
      <w:numFmt w:val="lowerLetter"/>
      <w:lvlText w:val="%7)"/>
      <w:lvlJc w:val="left"/>
      <w:pPr>
        <w:ind w:left="1440" w:hanging="360"/>
      </w:pPr>
    </w:lvl>
    <w:lvl w:ilvl="7" w:tplc="86E0AC7C">
      <w:start w:val="1"/>
      <w:numFmt w:val="lowerLetter"/>
      <w:lvlText w:val="%8)"/>
      <w:lvlJc w:val="left"/>
      <w:pPr>
        <w:ind w:left="1440" w:hanging="360"/>
      </w:pPr>
    </w:lvl>
    <w:lvl w:ilvl="8" w:tplc="8F20689C">
      <w:start w:val="1"/>
      <w:numFmt w:val="lowerLetter"/>
      <w:lvlText w:val="%9)"/>
      <w:lvlJc w:val="left"/>
      <w:pPr>
        <w:ind w:left="1440" w:hanging="360"/>
      </w:pPr>
    </w:lvl>
  </w:abstractNum>
  <w:abstractNum w:abstractNumId="7" w15:restartNumberingAfterBreak="0">
    <w:nsid w:val="0E30A231"/>
    <w:multiLevelType w:val="hybridMultilevel"/>
    <w:tmpl w:val="FFFFFFFF"/>
    <w:lvl w:ilvl="0" w:tplc="B6BA72F8">
      <w:start w:val="1"/>
      <w:numFmt w:val="bullet"/>
      <w:lvlText w:val=""/>
      <w:lvlJc w:val="left"/>
      <w:pPr>
        <w:ind w:left="644" w:hanging="284"/>
      </w:pPr>
      <w:rPr>
        <w:rFonts w:ascii="Symbol" w:hAnsi="Symbol" w:hint="default"/>
      </w:rPr>
    </w:lvl>
    <w:lvl w:ilvl="1" w:tplc="1828FD82">
      <w:start w:val="1"/>
      <w:numFmt w:val="bullet"/>
      <w:lvlText w:val="o"/>
      <w:lvlJc w:val="left"/>
      <w:pPr>
        <w:ind w:left="1004" w:hanging="360"/>
      </w:pPr>
      <w:rPr>
        <w:rFonts w:ascii="Symbol" w:hAnsi="Symbol" w:hint="default"/>
      </w:rPr>
    </w:lvl>
    <w:lvl w:ilvl="2" w:tplc="E9064CB8">
      <w:start w:val="1"/>
      <w:numFmt w:val="bullet"/>
      <w:lvlText w:val=""/>
      <w:lvlJc w:val="left"/>
      <w:pPr>
        <w:ind w:left="2160" w:hanging="360"/>
      </w:pPr>
      <w:rPr>
        <w:rFonts w:ascii="Wingdings" w:hAnsi="Wingdings" w:hint="default"/>
      </w:rPr>
    </w:lvl>
    <w:lvl w:ilvl="3" w:tplc="A0708ED2">
      <w:start w:val="1"/>
      <w:numFmt w:val="bullet"/>
      <w:lvlText w:val=""/>
      <w:lvlJc w:val="left"/>
      <w:pPr>
        <w:ind w:left="2880" w:hanging="360"/>
      </w:pPr>
      <w:rPr>
        <w:rFonts w:ascii="Symbol" w:hAnsi="Symbol" w:hint="default"/>
      </w:rPr>
    </w:lvl>
    <w:lvl w:ilvl="4" w:tplc="88885A32">
      <w:start w:val="1"/>
      <w:numFmt w:val="bullet"/>
      <w:lvlText w:val="o"/>
      <w:lvlJc w:val="left"/>
      <w:pPr>
        <w:ind w:left="3600" w:hanging="360"/>
      </w:pPr>
      <w:rPr>
        <w:rFonts w:ascii="Courier New" w:hAnsi="Courier New" w:hint="default"/>
      </w:rPr>
    </w:lvl>
    <w:lvl w:ilvl="5" w:tplc="88245944">
      <w:start w:val="1"/>
      <w:numFmt w:val="bullet"/>
      <w:lvlText w:val=""/>
      <w:lvlJc w:val="left"/>
      <w:pPr>
        <w:ind w:left="4320" w:hanging="360"/>
      </w:pPr>
      <w:rPr>
        <w:rFonts w:ascii="Wingdings" w:hAnsi="Wingdings" w:hint="default"/>
      </w:rPr>
    </w:lvl>
    <w:lvl w:ilvl="6" w:tplc="E2F8E2DC">
      <w:start w:val="1"/>
      <w:numFmt w:val="bullet"/>
      <w:lvlText w:val=""/>
      <w:lvlJc w:val="left"/>
      <w:pPr>
        <w:ind w:left="5040" w:hanging="360"/>
      </w:pPr>
      <w:rPr>
        <w:rFonts w:ascii="Symbol" w:hAnsi="Symbol" w:hint="default"/>
      </w:rPr>
    </w:lvl>
    <w:lvl w:ilvl="7" w:tplc="AF1C5BF2">
      <w:start w:val="1"/>
      <w:numFmt w:val="bullet"/>
      <w:lvlText w:val="o"/>
      <w:lvlJc w:val="left"/>
      <w:pPr>
        <w:ind w:left="5760" w:hanging="360"/>
      </w:pPr>
      <w:rPr>
        <w:rFonts w:ascii="Courier New" w:hAnsi="Courier New" w:hint="default"/>
      </w:rPr>
    </w:lvl>
    <w:lvl w:ilvl="8" w:tplc="D06078E0">
      <w:start w:val="1"/>
      <w:numFmt w:val="bullet"/>
      <w:lvlText w:val=""/>
      <w:lvlJc w:val="left"/>
      <w:pPr>
        <w:ind w:left="6480" w:hanging="360"/>
      </w:pPr>
      <w:rPr>
        <w:rFonts w:ascii="Wingdings" w:hAnsi="Wingdings" w:hint="default"/>
      </w:rPr>
    </w:lvl>
  </w:abstractNum>
  <w:abstractNum w:abstractNumId="8" w15:restartNumberingAfterBreak="0">
    <w:nsid w:val="0EAF724D"/>
    <w:multiLevelType w:val="multilevel"/>
    <w:tmpl w:val="B48004F4"/>
    <w:lvl w:ilvl="0">
      <w:start w:val="1"/>
      <w:numFmt w:val="bullet"/>
      <w:lvlText w:val=""/>
      <w:lvlJc w:val="left"/>
      <w:pPr>
        <w:ind w:left="644" w:hanging="284"/>
      </w:pPr>
      <w:rPr>
        <w:rFonts w:ascii="Symbol" w:hAnsi="Symbol" w:hint="default"/>
      </w:rPr>
    </w:lvl>
    <w:lvl w:ilvl="1">
      <w:start w:val="1"/>
      <w:numFmt w:val="bullet"/>
      <w:lvlText w:val=""/>
      <w:lvlJc w:val="left"/>
      <w:pPr>
        <w:ind w:left="1004" w:hanging="360"/>
      </w:pPr>
      <w:rPr>
        <w:rFonts w:ascii="Symbol" w:hAnsi="Symbol" w:hint="default"/>
      </w:rPr>
    </w:lvl>
    <w:lvl w:ilvl="2">
      <w:start w:val="1"/>
      <w:numFmt w:val="lowerRoman"/>
      <w:lvlText w:val="%3."/>
      <w:lvlJc w:val="right"/>
      <w:pPr>
        <w:ind w:left="1212" w:hanging="284"/>
      </w:pPr>
      <w:rPr>
        <w:rFonts w:hint="default"/>
      </w:rPr>
    </w:lvl>
    <w:lvl w:ilvl="3">
      <w:start w:val="1"/>
      <w:numFmt w:val="decimal"/>
      <w:lvlText w:val="%4."/>
      <w:lvlJc w:val="left"/>
      <w:pPr>
        <w:ind w:left="1496" w:hanging="284"/>
      </w:pPr>
      <w:rPr>
        <w:rFonts w:hint="default"/>
      </w:rPr>
    </w:lvl>
    <w:lvl w:ilvl="4">
      <w:start w:val="1"/>
      <w:numFmt w:val="lowerLetter"/>
      <w:lvlText w:val="%5."/>
      <w:lvlJc w:val="left"/>
      <w:pPr>
        <w:ind w:left="1780" w:hanging="284"/>
      </w:pPr>
      <w:rPr>
        <w:rFonts w:hint="default"/>
      </w:rPr>
    </w:lvl>
    <w:lvl w:ilvl="5">
      <w:start w:val="1"/>
      <w:numFmt w:val="lowerRoman"/>
      <w:lvlText w:val="%6."/>
      <w:lvlJc w:val="right"/>
      <w:pPr>
        <w:ind w:left="2064" w:hanging="284"/>
      </w:pPr>
      <w:rPr>
        <w:rFonts w:hint="default"/>
      </w:rPr>
    </w:lvl>
    <w:lvl w:ilvl="6">
      <w:start w:val="1"/>
      <w:numFmt w:val="decimal"/>
      <w:lvlText w:val="%7."/>
      <w:lvlJc w:val="left"/>
      <w:pPr>
        <w:ind w:left="2348" w:hanging="284"/>
      </w:pPr>
      <w:rPr>
        <w:rFonts w:hint="default"/>
      </w:rPr>
    </w:lvl>
    <w:lvl w:ilvl="7">
      <w:start w:val="1"/>
      <w:numFmt w:val="lowerLetter"/>
      <w:lvlText w:val="%8."/>
      <w:lvlJc w:val="left"/>
      <w:pPr>
        <w:ind w:left="2632" w:hanging="284"/>
      </w:pPr>
      <w:rPr>
        <w:rFonts w:hint="default"/>
      </w:rPr>
    </w:lvl>
    <w:lvl w:ilvl="8">
      <w:start w:val="1"/>
      <w:numFmt w:val="lowerRoman"/>
      <w:lvlText w:val="%9."/>
      <w:lvlJc w:val="right"/>
      <w:pPr>
        <w:ind w:left="2916" w:hanging="284"/>
      </w:pPr>
      <w:rPr>
        <w:rFonts w:hint="default"/>
      </w:rPr>
    </w:lvl>
  </w:abstractNum>
  <w:abstractNum w:abstractNumId="9" w15:restartNumberingAfterBreak="0">
    <w:nsid w:val="14426156"/>
    <w:multiLevelType w:val="hybridMultilevel"/>
    <w:tmpl w:val="E0D00FF4"/>
    <w:lvl w:ilvl="0" w:tplc="479A7338">
      <w:start w:val="1"/>
      <w:numFmt w:val="bullet"/>
      <w:lvlText w:val=""/>
      <w:lvlJc w:val="left"/>
      <w:pPr>
        <w:ind w:left="1020" w:hanging="360"/>
      </w:pPr>
      <w:rPr>
        <w:rFonts w:ascii="Symbol" w:hAnsi="Symbol"/>
      </w:rPr>
    </w:lvl>
    <w:lvl w:ilvl="1" w:tplc="8DD6D496">
      <w:start w:val="1"/>
      <w:numFmt w:val="bullet"/>
      <w:lvlText w:val=""/>
      <w:lvlJc w:val="left"/>
      <w:pPr>
        <w:ind w:left="1020" w:hanging="360"/>
      </w:pPr>
      <w:rPr>
        <w:rFonts w:ascii="Symbol" w:hAnsi="Symbol"/>
      </w:rPr>
    </w:lvl>
    <w:lvl w:ilvl="2" w:tplc="1DF81CDE">
      <w:start w:val="1"/>
      <w:numFmt w:val="bullet"/>
      <w:lvlText w:val=""/>
      <w:lvlJc w:val="left"/>
      <w:pPr>
        <w:ind w:left="1020" w:hanging="360"/>
      </w:pPr>
      <w:rPr>
        <w:rFonts w:ascii="Symbol" w:hAnsi="Symbol"/>
      </w:rPr>
    </w:lvl>
    <w:lvl w:ilvl="3" w:tplc="DE68F856">
      <w:start w:val="1"/>
      <w:numFmt w:val="bullet"/>
      <w:lvlText w:val=""/>
      <w:lvlJc w:val="left"/>
      <w:pPr>
        <w:ind w:left="1020" w:hanging="360"/>
      </w:pPr>
      <w:rPr>
        <w:rFonts w:ascii="Symbol" w:hAnsi="Symbol"/>
      </w:rPr>
    </w:lvl>
    <w:lvl w:ilvl="4" w:tplc="BF14DEF2">
      <w:start w:val="1"/>
      <w:numFmt w:val="bullet"/>
      <w:lvlText w:val=""/>
      <w:lvlJc w:val="left"/>
      <w:pPr>
        <w:ind w:left="1020" w:hanging="360"/>
      </w:pPr>
      <w:rPr>
        <w:rFonts w:ascii="Symbol" w:hAnsi="Symbol"/>
      </w:rPr>
    </w:lvl>
    <w:lvl w:ilvl="5" w:tplc="6E24C7EC">
      <w:start w:val="1"/>
      <w:numFmt w:val="bullet"/>
      <w:lvlText w:val=""/>
      <w:lvlJc w:val="left"/>
      <w:pPr>
        <w:ind w:left="1020" w:hanging="360"/>
      </w:pPr>
      <w:rPr>
        <w:rFonts w:ascii="Symbol" w:hAnsi="Symbol"/>
      </w:rPr>
    </w:lvl>
    <w:lvl w:ilvl="6" w:tplc="5608EAB0">
      <w:start w:val="1"/>
      <w:numFmt w:val="bullet"/>
      <w:lvlText w:val=""/>
      <w:lvlJc w:val="left"/>
      <w:pPr>
        <w:ind w:left="1020" w:hanging="360"/>
      </w:pPr>
      <w:rPr>
        <w:rFonts w:ascii="Symbol" w:hAnsi="Symbol"/>
      </w:rPr>
    </w:lvl>
    <w:lvl w:ilvl="7" w:tplc="F476D4A0">
      <w:start w:val="1"/>
      <w:numFmt w:val="bullet"/>
      <w:lvlText w:val=""/>
      <w:lvlJc w:val="left"/>
      <w:pPr>
        <w:ind w:left="1020" w:hanging="360"/>
      </w:pPr>
      <w:rPr>
        <w:rFonts w:ascii="Symbol" w:hAnsi="Symbol"/>
      </w:rPr>
    </w:lvl>
    <w:lvl w:ilvl="8" w:tplc="BB567E1C">
      <w:start w:val="1"/>
      <w:numFmt w:val="bullet"/>
      <w:lvlText w:val=""/>
      <w:lvlJc w:val="left"/>
      <w:pPr>
        <w:ind w:left="1020" w:hanging="360"/>
      </w:pPr>
      <w:rPr>
        <w:rFonts w:ascii="Symbol" w:hAnsi="Symbol"/>
      </w:rPr>
    </w:lvl>
  </w:abstractNum>
  <w:abstractNum w:abstractNumId="10" w15:restartNumberingAfterBreak="0">
    <w:nsid w:val="151325B7"/>
    <w:multiLevelType w:val="hybridMultilevel"/>
    <w:tmpl w:val="31387E18"/>
    <w:lvl w:ilvl="0" w:tplc="54661EC6">
      <w:start w:val="1"/>
      <w:numFmt w:val="lowerLetter"/>
      <w:suff w:val="space"/>
      <w:lvlText w:val="(%1)"/>
      <w:lvlJc w:val="left"/>
      <w:pPr>
        <w:ind w:left="8789" w:firstLine="0"/>
      </w:pPr>
      <w:rPr>
        <w:rFonts w:hint="default"/>
      </w:rPr>
    </w:lvl>
    <w:lvl w:ilvl="1" w:tplc="FFFFFFFF" w:tentative="1">
      <w:start w:val="1"/>
      <w:numFmt w:val="lowerLetter"/>
      <w:lvlText w:val="%2."/>
      <w:lvlJc w:val="left"/>
      <w:pPr>
        <w:ind w:left="9149" w:hanging="360"/>
      </w:pPr>
    </w:lvl>
    <w:lvl w:ilvl="2" w:tplc="FFFFFFFF" w:tentative="1">
      <w:start w:val="1"/>
      <w:numFmt w:val="lowerRoman"/>
      <w:lvlText w:val="%3."/>
      <w:lvlJc w:val="right"/>
      <w:pPr>
        <w:ind w:left="9869" w:hanging="180"/>
      </w:pPr>
    </w:lvl>
    <w:lvl w:ilvl="3" w:tplc="FFFFFFFF" w:tentative="1">
      <w:start w:val="1"/>
      <w:numFmt w:val="decimal"/>
      <w:lvlText w:val="%4."/>
      <w:lvlJc w:val="left"/>
      <w:pPr>
        <w:ind w:left="10589" w:hanging="360"/>
      </w:pPr>
    </w:lvl>
    <w:lvl w:ilvl="4" w:tplc="FFFFFFFF" w:tentative="1">
      <w:start w:val="1"/>
      <w:numFmt w:val="lowerLetter"/>
      <w:lvlText w:val="%5."/>
      <w:lvlJc w:val="left"/>
      <w:pPr>
        <w:ind w:left="11309" w:hanging="360"/>
      </w:pPr>
    </w:lvl>
    <w:lvl w:ilvl="5" w:tplc="FFFFFFFF" w:tentative="1">
      <w:start w:val="1"/>
      <w:numFmt w:val="lowerRoman"/>
      <w:lvlText w:val="%6."/>
      <w:lvlJc w:val="right"/>
      <w:pPr>
        <w:ind w:left="12029" w:hanging="180"/>
      </w:pPr>
    </w:lvl>
    <w:lvl w:ilvl="6" w:tplc="FFFFFFFF" w:tentative="1">
      <w:start w:val="1"/>
      <w:numFmt w:val="decimal"/>
      <w:lvlText w:val="%7."/>
      <w:lvlJc w:val="left"/>
      <w:pPr>
        <w:ind w:left="12749" w:hanging="360"/>
      </w:pPr>
    </w:lvl>
    <w:lvl w:ilvl="7" w:tplc="FFFFFFFF" w:tentative="1">
      <w:start w:val="1"/>
      <w:numFmt w:val="lowerLetter"/>
      <w:lvlText w:val="%8."/>
      <w:lvlJc w:val="left"/>
      <w:pPr>
        <w:ind w:left="13469" w:hanging="360"/>
      </w:pPr>
    </w:lvl>
    <w:lvl w:ilvl="8" w:tplc="FFFFFFFF" w:tentative="1">
      <w:start w:val="1"/>
      <w:numFmt w:val="lowerRoman"/>
      <w:lvlText w:val="%9."/>
      <w:lvlJc w:val="right"/>
      <w:pPr>
        <w:ind w:left="14189" w:hanging="180"/>
      </w:pPr>
    </w:lvl>
  </w:abstractNum>
  <w:abstractNum w:abstractNumId="11" w15:restartNumberingAfterBreak="0">
    <w:nsid w:val="174154C0"/>
    <w:multiLevelType w:val="multilevel"/>
    <w:tmpl w:val="84DA1604"/>
    <w:lvl w:ilvl="0">
      <w:start w:val="1"/>
      <w:numFmt w:val="decimal"/>
      <w:lvlText w:val="%1."/>
      <w:lvlJc w:val="left"/>
      <w:pPr>
        <w:ind w:left="568" w:hanging="284"/>
      </w:pPr>
      <w:rPr>
        <w:rFonts w:asciiTheme="minorHAnsi" w:eastAsiaTheme="minorEastAsia" w:hAnsiTheme="minorHAnsi" w:cstheme="minorBidi"/>
      </w:rPr>
    </w:lvl>
    <w:lvl w:ilvl="1">
      <w:start w:val="1"/>
      <w:numFmt w:val="bullet"/>
      <w:lvlText w:val=""/>
      <w:lvlJc w:val="left"/>
      <w:pPr>
        <w:ind w:left="928" w:hanging="360"/>
      </w:pPr>
      <w:rPr>
        <w:rFonts w:ascii="Symbol" w:hAnsi="Symbol" w:hint="default"/>
      </w:rPr>
    </w:lvl>
    <w:lvl w:ilvl="2">
      <w:start w:val="1"/>
      <w:numFmt w:val="lowerRoman"/>
      <w:lvlText w:val="%3."/>
      <w:lvlJc w:val="right"/>
      <w:pPr>
        <w:ind w:left="1136" w:hanging="284"/>
      </w:pPr>
      <w:rPr>
        <w:rFonts w:hint="default"/>
      </w:rPr>
    </w:lvl>
    <w:lvl w:ilvl="3">
      <w:start w:val="1"/>
      <w:numFmt w:val="decimal"/>
      <w:lvlText w:val="%4."/>
      <w:lvlJc w:val="left"/>
      <w:pPr>
        <w:ind w:left="1420" w:hanging="284"/>
      </w:pPr>
      <w:rPr>
        <w:rFonts w:hint="default"/>
      </w:rPr>
    </w:lvl>
    <w:lvl w:ilvl="4">
      <w:start w:val="1"/>
      <w:numFmt w:val="lowerLetter"/>
      <w:lvlText w:val="%5."/>
      <w:lvlJc w:val="left"/>
      <w:pPr>
        <w:ind w:left="1704" w:hanging="284"/>
      </w:pPr>
      <w:rPr>
        <w:rFonts w:hint="default"/>
      </w:rPr>
    </w:lvl>
    <w:lvl w:ilvl="5">
      <w:start w:val="1"/>
      <w:numFmt w:val="lowerRoman"/>
      <w:lvlText w:val="%6."/>
      <w:lvlJc w:val="right"/>
      <w:pPr>
        <w:ind w:left="1988" w:hanging="284"/>
      </w:pPr>
      <w:rPr>
        <w:rFonts w:hint="default"/>
      </w:rPr>
    </w:lvl>
    <w:lvl w:ilvl="6">
      <w:start w:val="1"/>
      <w:numFmt w:val="decimal"/>
      <w:lvlText w:val="%7."/>
      <w:lvlJc w:val="left"/>
      <w:pPr>
        <w:ind w:left="2272" w:hanging="284"/>
      </w:pPr>
      <w:rPr>
        <w:rFonts w:hint="default"/>
      </w:rPr>
    </w:lvl>
    <w:lvl w:ilvl="7">
      <w:start w:val="1"/>
      <w:numFmt w:val="lowerLetter"/>
      <w:lvlText w:val="%8."/>
      <w:lvlJc w:val="left"/>
      <w:pPr>
        <w:ind w:left="2556" w:hanging="284"/>
      </w:pPr>
      <w:rPr>
        <w:rFonts w:hint="default"/>
      </w:rPr>
    </w:lvl>
    <w:lvl w:ilvl="8">
      <w:start w:val="1"/>
      <w:numFmt w:val="lowerRoman"/>
      <w:lvlText w:val="%9."/>
      <w:lvlJc w:val="right"/>
      <w:pPr>
        <w:ind w:left="2840" w:hanging="284"/>
      </w:pPr>
      <w:rPr>
        <w:rFonts w:hint="default"/>
      </w:rPr>
    </w:lvl>
  </w:abstractNum>
  <w:abstractNum w:abstractNumId="12" w15:restartNumberingAfterBreak="0">
    <w:nsid w:val="17861895"/>
    <w:multiLevelType w:val="multilevel"/>
    <w:tmpl w:val="84DA1604"/>
    <w:lvl w:ilvl="0">
      <w:start w:val="1"/>
      <w:numFmt w:val="decimal"/>
      <w:lvlText w:val="%1."/>
      <w:lvlJc w:val="left"/>
      <w:pPr>
        <w:ind w:left="568" w:hanging="284"/>
      </w:pPr>
      <w:rPr>
        <w:rFonts w:asciiTheme="minorHAnsi" w:eastAsiaTheme="minorEastAsia" w:hAnsiTheme="minorHAnsi" w:cstheme="minorBidi"/>
      </w:rPr>
    </w:lvl>
    <w:lvl w:ilvl="1">
      <w:start w:val="1"/>
      <w:numFmt w:val="bullet"/>
      <w:lvlText w:val=""/>
      <w:lvlJc w:val="left"/>
      <w:pPr>
        <w:ind w:left="928" w:hanging="360"/>
      </w:pPr>
      <w:rPr>
        <w:rFonts w:ascii="Symbol" w:hAnsi="Symbol" w:hint="default"/>
      </w:rPr>
    </w:lvl>
    <w:lvl w:ilvl="2">
      <w:start w:val="1"/>
      <w:numFmt w:val="lowerRoman"/>
      <w:lvlText w:val="%3."/>
      <w:lvlJc w:val="right"/>
      <w:pPr>
        <w:ind w:left="1136" w:hanging="284"/>
      </w:pPr>
      <w:rPr>
        <w:rFonts w:hint="default"/>
      </w:rPr>
    </w:lvl>
    <w:lvl w:ilvl="3">
      <w:start w:val="1"/>
      <w:numFmt w:val="decimal"/>
      <w:lvlText w:val="%4."/>
      <w:lvlJc w:val="left"/>
      <w:pPr>
        <w:ind w:left="1420" w:hanging="284"/>
      </w:pPr>
      <w:rPr>
        <w:rFonts w:hint="default"/>
      </w:rPr>
    </w:lvl>
    <w:lvl w:ilvl="4">
      <w:start w:val="1"/>
      <w:numFmt w:val="lowerLetter"/>
      <w:lvlText w:val="%5."/>
      <w:lvlJc w:val="left"/>
      <w:pPr>
        <w:ind w:left="1704" w:hanging="284"/>
      </w:pPr>
      <w:rPr>
        <w:rFonts w:hint="default"/>
      </w:rPr>
    </w:lvl>
    <w:lvl w:ilvl="5">
      <w:start w:val="1"/>
      <w:numFmt w:val="lowerRoman"/>
      <w:lvlText w:val="%6."/>
      <w:lvlJc w:val="right"/>
      <w:pPr>
        <w:ind w:left="1988" w:hanging="284"/>
      </w:pPr>
      <w:rPr>
        <w:rFonts w:hint="default"/>
      </w:rPr>
    </w:lvl>
    <w:lvl w:ilvl="6">
      <w:start w:val="1"/>
      <w:numFmt w:val="decimal"/>
      <w:lvlText w:val="%7."/>
      <w:lvlJc w:val="left"/>
      <w:pPr>
        <w:ind w:left="2272" w:hanging="284"/>
      </w:pPr>
      <w:rPr>
        <w:rFonts w:hint="default"/>
      </w:rPr>
    </w:lvl>
    <w:lvl w:ilvl="7">
      <w:start w:val="1"/>
      <w:numFmt w:val="lowerLetter"/>
      <w:lvlText w:val="%8."/>
      <w:lvlJc w:val="left"/>
      <w:pPr>
        <w:ind w:left="2556" w:hanging="284"/>
      </w:pPr>
      <w:rPr>
        <w:rFonts w:hint="default"/>
      </w:rPr>
    </w:lvl>
    <w:lvl w:ilvl="8">
      <w:start w:val="1"/>
      <w:numFmt w:val="lowerRoman"/>
      <w:lvlText w:val="%9."/>
      <w:lvlJc w:val="right"/>
      <w:pPr>
        <w:ind w:left="2840" w:hanging="284"/>
      </w:pPr>
      <w:rPr>
        <w:rFonts w:hint="default"/>
      </w:rPr>
    </w:lvl>
  </w:abstractNum>
  <w:abstractNum w:abstractNumId="13" w15:restartNumberingAfterBreak="0">
    <w:nsid w:val="19353FBF"/>
    <w:multiLevelType w:val="hybridMultilevel"/>
    <w:tmpl w:val="73CCF114"/>
    <w:lvl w:ilvl="0" w:tplc="39FE352E">
      <w:start w:val="1"/>
      <w:numFmt w:val="bullet"/>
      <w:lvlText w:val="•"/>
      <w:lvlJc w:val="left"/>
      <w:pPr>
        <w:tabs>
          <w:tab w:val="num" w:pos="720"/>
        </w:tabs>
        <w:ind w:left="720" w:hanging="360"/>
      </w:pPr>
      <w:rPr>
        <w:rFonts w:ascii="Arial" w:hAnsi="Arial" w:hint="default"/>
      </w:rPr>
    </w:lvl>
    <w:lvl w:ilvl="1" w:tplc="7862E3CA" w:tentative="1">
      <w:start w:val="1"/>
      <w:numFmt w:val="bullet"/>
      <w:lvlText w:val="•"/>
      <w:lvlJc w:val="left"/>
      <w:pPr>
        <w:tabs>
          <w:tab w:val="num" w:pos="1440"/>
        </w:tabs>
        <w:ind w:left="1440" w:hanging="360"/>
      </w:pPr>
      <w:rPr>
        <w:rFonts w:ascii="Arial" w:hAnsi="Arial" w:hint="default"/>
      </w:rPr>
    </w:lvl>
    <w:lvl w:ilvl="2" w:tplc="3D64AF94" w:tentative="1">
      <w:start w:val="1"/>
      <w:numFmt w:val="bullet"/>
      <w:lvlText w:val="•"/>
      <w:lvlJc w:val="left"/>
      <w:pPr>
        <w:tabs>
          <w:tab w:val="num" w:pos="2160"/>
        </w:tabs>
        <w:ind w:left="2160" w:hanging="360"/>
      </w:pPr>
      <w:rPr>
        <w:rFonts w:ascii="Arial" w:hAnsi="Arial" w:hint="default"/>
      </w:rPr>
    </w:lvl>
    <w:lvl w:ilvl="3" w:tplc="56E4FF5E" w:tentative="1">
      <w:start w:val="1"/>
      <w:numFmt w:val="bullet"/>
      <w:lvlText w:val="•"/>
      <w:lvlJc w:val="left"/>
      <w:pPr>
        <w:tabs>
          <w:tab w:val="num" w:pos="2880"/>
        </w:tabs>
        <w:ind w:left="2880" w:hanging="360"/>
      </w:pPr>
      <w:rPr>
        <w:rFonts w:ascii="Arial" w:hAnsi="Arial" w:hint="default"/>
      </w:rPr>
    </w:lvl>
    <w:lvl w:ilvl="4" w:tplc="57943E84" w:tentative="1">
      <w:start w:val="1"/>
      <w:numFmt w:val="bullet"/>
      <w:lvlText w:val="•"/>
      <w:lvlJc w:val="left"/>
      <w:pPr>
        <w:tabs>
          <w:tab w:val="num" w:pos="3600"/>
        </w:tabs>
        <w:ind w:left="3600" w:hanging="360"/>
      </w:pPr>
      <w:rPr>
        <w:rFonts w:ascii="Arial" w:hAnsi="Arial" w:hint="default"/>
      </w:rPr>
    </w:lvl>
    <w:lvl w:ilvl="5" w:tplc="D98E9FD4" w:tentative="1">
      <w:start w:val="1"/>
      <w:numFmt w:val="bullet"/>
      <w:lvlText w:val="•"/>
      <w:lvlJc w:val="left"/>
      <w:pPr>
        <w:tabs>
          <w:tab w:val="num" w:pos="4320"/>
        </w:tabs>
        <w:ind w:left="4320" w:hanging="360"/>
      </w:pPr>
      <w:rPr>
        <w:rFonts w:ascii="Arial" w:hAnsi="Arial" w:hint="default"/>
      </w:rPr>
    </w:lvl>
    <w:lvl w:ilvl="6" w:tplc="1AEC4308" w:tentative="1">
      <w:start w:val="1"/>
      <w:numFmt w:val="bullet"/>
      <w:lvlText w:val="•"/>
      <w:lvlJc w:val="left"/>
      <w:pPr>
        <w:tabs>
          <w:tab w:val="num" w:pos="5040"/>
        </w:tabs>
        <w:ind w:left="5040" w:hanging="360"/>
      </w:pPr>
      <w:rPr>
        <w:rFonts w:ascii="Arial" w:hAnsi="Arial" w:hint="default"/>
      </w:rPr>
    </w:lvl>
    <w:lvl w:ilvl="7" w:tplc="DDC2E5C0" w:tentative="1">
      <w:start w:val="1"/>
      <w:numFmt w:val="bullet"/>
      <w:lvlText w:val="•"/>
      <w:lvlJc w:val="left"/>
      <w:pPr>
        <w:tabs>
          <w:tab w:val="num" w:pos="5760"/>
        </w:tabs>
        <w:ind w:left="5760" w:hanging="360"/>
      </w:pPr>
      <w:rPr>
        <w:rFonts w:ascii="Arial" w:hAnsi="Arial" w:hint="default"/>
      </w:rPr>
    </w:lvl>
    <w:lvl w:ilvl="8" w:tplc="8378355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9D66F6D"/>
    <w:multiLevelType w:val="hybridMultilevel"/>
    <w:tmpl w:val="1B40C0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1032"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1032" w:themeColor="text2"/>
        <w:position w:val="2"/>
        <w:sz w:val="20"/>
      </w:rPr>
    </w:lvl>
    <w:lvl w:ilvl="2">
      <w:start w:val="1"/>
      <w:numFmt w:val="bullet"/>
      <w:lvlText w:val="–"/>
      <w:lvlJc w:val="left"/>
      <w:pPr>
        <w:tabs>
          <w:tab w:val="num" w:pos="1361"/>
        </w:tabs>
        <w:ind w:left="1361" w:hanging="340"/>
      </w:pPr>
      <w:rPr>
        <w:rFonts w:ascii="Arial" w:hAnsi="Arial" w:hint="default"/>
        <w:color w:val="001032"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FF52668"/>
    <w:multiLevelType w:val="multilevel"/>
    <w:tmpl w:val="A4F832D2"/>
    <w:styleLink w:val="Lst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7" w15:restartNumberingAfterBreak="0">
    <w:nsid w:val="218815C5"/>
    <w:multiLevelType w:val="multilevel"/>
    <w:tmpl w:val="C586189A"/>
    <w:lvl w:ilvl="0">
      <w:start w:val="1"/>
      <w:numFmt w:val="decimal"/>
      <w:lvlText w:val="%1."/>
      <w:lvlJc w:val="left"/>
      <w:pPr>
        <w:ind w:left="644" w:hanging="284"/>
      </w:pPr>
      <w:rPr>
        <w:rFonts w:hint="default"/>
      </w:rPr>
    </w:lvl>
    <w:lvl w:ilvl="1">
      <w:start w:val="1"/>
      <w:numFmt w:val="bullet"/>
      <w:lvlText w:val=""/>
      <w:lvlJc w:val="left"/>
      <w:pPr>
        <w:ind w:left="1004" w:hanging="360"/>
      </w:pPr>
      <w:rPr>
        <w:rFonts w:ascii="Symbol" w:hAnsi="Symbol" w:hint="default"/>
      </w:rPr>
    </w:lvl>
    <w:lvl w:ilvl="2">
      <w:start w:val="1"/>
      <w:numFmt w:val="lowerRoman"/>
      <w:lvlText w:val="%3."/>
      <w:lvlJc w:val="right"/>
      <w:pPr>
        <w:ind w:left="1212" w:hanging="284"/>
      </w:pPr>
      <w:rPr>
        <w:rFonts w:hint="default"/>
      </w:rPr>
    </w:lvl>
    <w:lvl w:ilvl="3">
      <w:start w:val="1"/>
      <w:numFmt w:val="decimal"/>
      <w:lvlText w:val="%4."/>
      <w:lvlJc w:val="left"/>
      <w:pPr>
        <w:ind w:left="1496" w:hanging="284"/>
      </w:pPr>
      <w:rPr>
        <w:rFonts w:hint="default"/>
      </w:rPr>
    </w:lvl>
    <w:lvl w:ilvl="4">
      <w:start w:val="1"/>
      <w:numFmt w:val="lowerLetter"/>
      <w:lvlText w:val="%5."/>
      <w:lvlJc w:val="left"/>
      <w:pPr>
        <w:ind w:left="1780" w:hanging="284"/>
      </w:pPr>
      <w:rPr>
        <w:rFonts w:hint="default"/>
      </w:rPr>
    </w:lvl>
    <w:lvl w:ilvl="5">
      <w:start w:val="1"/>
      <w:numFmt w:val="lowerRoman"/>
      <w:lvlText w:val="%6."/>
      <w:lvlJc w:val="right"/>
      <w:pPr>
        <w:ind w:left="2064" w:hanging="284"/>
      </w:pPr>
      <w:rPr>
        <w:rFonts w:hint="default"/>
      </w:rPr>
    </w:lvl>
    <w:lvl w:ilvl="6">
      <w:start w:val="1"/>
      <w:numFmt w:val="decimal"/>
      <w:lvlText w:val="%7."/>
      <w:lvlJc w:val="left"/>
      <w:pPr>
        <w:ind w:left="2348" w:hanging="284"/>
      </w:pPr>
      <w:rPr>
        <w:rFonts w:hint="default"/>
      </w:rPr>
    </w:lvl>
    <w:lvl w:ilvl="7">
      <w:start w:val="1"/>
      <w:numFmt w:val="lowerLetter"/>
      <w:lvlText w:val="%8."/>
      <w:lvlJc w:val="left"/>
      <w:pPr>
        <w:ind w:left="2632" w:hanging="284"/>
      </w:pPr>
      <w:rPr>
        <w:rFonts w:hint="default"/>
      </w:rPr>
    </w:lvl>
    <w:lvl w:ilvl="8">
      <w:start w:val="1"/>
      <w:numFmt w:val="lowerRoman"/>
      <w:lvlText w:val="%9."/>
      <w:lvlJc w:val="right"/>
      <w:pPr>
        <w:ind w:left="2916" w:hanging="284"/>
      </w:pPr>
      <w:rPr>
        <w:rFonts w:hint="default"/>
      </w:rPr>
    </w:lvl>
  </w:abstractNum>
  <w:abstractNum w:abstractNumId="18" w15:restartNumberingAfterBreak="0">
    <w:nsid w:val="2470165C"/>
    <w:multiLevelType w:val="hybridMultilevel"/>
    <w:tmpl w:val="D416C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103DEE"/>
    <w:multiLevelType w:val="hybridMultilevel"/>
    <w:tmpl w:val="26ECB5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7941585"/>
    <w:multiLevelType w:val="hybridMultilevel"/>
    <w:tmpl w:val="9D52C2F0"/>
    <w:lvl w:ilvl="0" w:tplc="073E5348">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7C445F5"/>
    <w:multiLevelType w:val="multilevel"/>
    <w:tmpl w:val="4972262A"/>
    <w:styleLink w:val="HangingList"/>
    <w:lvl w:ilvl="0">
      <w:start w:val="1"/>
      <w:numFmt w:val="none"/>
      <w:pStyle w:val="ListContinue"/>
      <w:suff w:val="nothing"/>
      <w:lvlText w:val=""/>
      <w:lvlJc w:val="left"/>
      <w:pPr>
        <w:ind w:left="794" w:hanging="397"/>
      </w:pPr>
      <w:rPr>
        <w:rFonts w:hint="default"/>
      </w:rPr>
    </w:lvl>
    <w:lvl w:ilvl="1">
      <w:start w:val="1"/>
      <w:numFmt w:val="none"/>
      <w:pStyle w:val="ListContinue2"/>
      <w:suff w:val="nothing"/>
      <w:lvlText w:val=""/>
      <w:lvlJc w:val="left"/>
      <w:pPr>
        <w:ind w:left="1191" w:hanging="397"/>
      </w:pPr>
      <w:rPr>
        <w:rFonts w:hint="default"/>
      </w:rPr>
    </w:lvl>
    <w:lvl w:ilvl="2">
      <w:start w:val="1"/>
      <w:numFmt w:val="none"/>
      <w:pStyle w:val="ListContinue3"/>
      <w:suff w:val="nothing"/>
      <w:lvlText w:val=""/>
      <w:lvlJc w:val="left"/>
      <w:pPr>
        <w:ind w:left="1588" w:hanging="397"/>
      </w:pPr>
      <w:rPr>
        <w:rFonts w:hint="default"/>
      </w:rPr>
    </w:lvl>
    <w:lvl w:ilvl="3">
      <w:start w:val="1"/>
      <w:numFmt w:val="none"/>
      <w:suff w:val="nothing"/>
      <w:lvlText w:val=""/>
      <w:lvlJc w:val="left"/>
      <w:pPr>
        <w:ind w:left="1985" w:hanging="397"/>
      </w:pPr>
      <w:rPr>
        <w:rFonts w:hint="default"/>
      </w:rPr>
    </w:lvl>
    <w:lvl w:ilvl="4">
      <w:start w:val="1"/>
      <w:numFmt w:val="none"/>
      <w:suff w:val="nothing"/>
      <w:lvlText w:val=""/>
      <w:lvlJc w:val="left"/>
      <w:pPr>
        <w:ind w:left="2382" w:hanging="397"/>
      </w:pPr>
      <w:rPr>
        <w:rFonts w:hint="default"/>
      </w:rPr>
    </w:lvl>
    <w:lvl w:ilvl="5">
      <w:start w:val="1"/>
      <w:numFmt w:val="none"/>
      <w:suff w:val="nothing"/>
      <w:lvlText w:val=""/>
      <w:lvlJc w:val="left"/>
      <w:pPr>
        <w:ind w:left="2779" w:hanging="397"/>
      </w:pPr>
      <w:rPr>
        <w:rFonts w:hint="default"/>
      </w:rPr>
    </w:lvl>
    <w:lvl w:ilvl="6">
      <w:start w:val="1"/>
      <w:numFmt w:val="none"/>
      <w:suff w:val="nothing"/>
      <w:lvlText w:val=""/>
      <w:lvlJc w:val="left"/>
      <w:pPr>
        <w:ind w:left="3176" w:hanging="397"/>
      </w:pPr>
      <w:rPr>
        <w:rFonts w:hint="default"/>
      </w:rPr>
    </w:lvl>
    <w:lvl w:ilvl="7">
      <w:start w:val="1"/>
      <w:numFmt w:val="none"/>
      <w:suff w:val="nothing"/>
      <w:lvlText w:val=""/>
      <w:lvlJc w:val="left"/>
      <w:pPr>
        <w:ind w:left="3573" w:hanging="397"/>
      </w:pPr>
      <w:rPr>
        <w:rFonts w:hint="default"/>
      </w:rPr>
    </w:lvl>
    <w:lvl w:ilvl="8">
      <w:start w:val="1"/>
      <w:numFmt w:val="none"/>
      <w:suff w:val="nothing"/>
      <w:lvlText w:val=""/>
      <w:lvlJc w:val="left"/>
      <w:pPr>
        <w:ind w:left="3970" w:hanging="397"/>
      </w:pPr>
      <w:rPr>
        <w:rFonts w:hint="default"/>
      </w:rPr>
    </w:lvl>
  </w:abstractNum>
  <w:abstractNum w:abstractNumId="22" w15:restartNumberingAfterBreak="0">
    <w:nsid w:val="27CA276E"/>
    <w:multiLevelType w:val="hybridMultilevel"/>
    <w:tmpl w:val="859A03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8E92CC8"/>
    <w:multiLevelType w:val="multilevel"/>
    <w:tmpl w:val="C366AC72"/>
    <w:lvl w:ilvl="0">
      <w:start w:val="1"/>
      <w:numFmt w:val="none"/>
      <w:pStyle w:val="Source"/>
      <w:suff w:val="space"/>
      <w:lvlText w:val="%1Source:"/>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2BB02DF3"/>
    <w:multiLevelType w:val="hybridMultilevel"/>
    <w:tmpl w:val="8362AA9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CF623DA"/>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D71714A"/>
    <w:multiLevelType w:val="hybridMultilevel"/>
    <w:tmpl w:val="05981A9E"/>
    <w:lvl w:ilvl="0" w:tplc="A66CEABC">
      <w:start w:val="1"/>
      <w:numFmt w:val="decimal"/>
      <w:lvlText w:val="%1."/>
      <w:lvlJc w:val="left"/>
      <w:pPr>
        <w:ind w:left="1020" w:hanging="360"/>
      </w:pPr>
    </w:lvl>
    <w:lvl w:ilvl="1" w:tplc="C2223A86">
      <w:start w:val="1"/>
      <w:numFmt w:val="decimal"/>
      <w:lvlText w:val="%2."/>
      <w:lvlJc w:val="left"/>
      <w:pPr>
        <w:ind w:left="1020" w:hanging="360"/>
      </w:pPr>
    </w:lvl>
    <w:lvl w:ilvl="2" w:tplc="8760E8CA">
      <w:start w:val="1"/>
      <w:numFmt w:val="decimal"/>
      <w:lvlText w:val="%3."/>
      <w:lvlJc w:val="left"/>
      <w:pPr>
        <w:ind w:left="1020" w:hanging="360"/>
      </w:pPr>
    </w:lvl>
    <w:lvl w:ilvl="3" w:tplc="15106046">
      <w:start w:val="1"/>
      <w:numFmt w:val="decimal"/>
      <w:lvlText w:val="%4."/>
      <w:lvlJc w:val="left"/>
      <w:pPr>
        <w:ind w:left="1020" w:hanging="360"/>
      </w:pPr>
    </w:lvl>
    <w:lvl w:ilvl="4" w:tplc="D4AEB076">
      <w:start w:val="1"/>
      <w:numFmt w:val="decimal"/>
      <w:lvlText w:val="%5."/>
      <w:lvlJc w:val="left"/>
      <w:pPr>
        <w:ind w:left="1020" w:hanging="360"/>
      </w:pPr>
    </w:lvl>
    <w:lvl w:ilvl="5" w:tplc="1C82E898">
      <w:start w:val="1"/>
      <w:numFmt w:val="decimal"/>
      <w:lvlText w:val="%6."/>
      <w:lvlJc w:val="left"/>
      <w:pPr>
        <w:ind w:left="1020" w:hanging="360"/>
      </w:pPr>
    </w:lvl>
    <w:lvl w:ilvl="6" w:tplc="CF0A3F62">
      <w:start w:val="1"/>
      <w:numFmt w:val="decimal"/>
      <w:lvlText w:val="%7."/>
      <w:lvlJc w:val="left"/>
      <w:pPr>
        <w:ind w:left="1020" w:hanging="360"/>
      </w:pPr>
    </w:lvl>
    <w:lvl w:ilvl="7" w:tplc="111A92F8">
      <w:start w:val="1"/>
      <w:numFmt w:val="decimal"/>
      <w:lvlText w:val="%8."/>
      <w:lvlJc w:val="left"/>
      <w:pPr>
        <w:ind w:left="1020" w:hanging="360"/>
      </w:pPr>
    </w:lvl>
    <w:lvl w:ilvl="8" w:tplc="A4E20520">
      <w:start w:val="1"/>
      <w:numFmt w:val="decimal"/>
      <w:lvlText w:val="%9."/>
      <w:lvlJc w:val="left"/>
      <w:pPr>
        <w:ind w:left="1020" w:hanging="360"/>
      </w:pPr>
    </w:lvl>
  </w:abstractNum>
  <w:abstractNum w:abstractNumId="27" w15:restartNumberingAfterBreak="0">
    <w:nsid w:val="303927AF"/>
    <w:multiLevelType w:val="multilevel"/>
    <w:tmpl w:val="4972262A"/>
    <w:numStyleLink w:val="HangingList"/>
  </w:abstractNum>
  <w:abstractNum w:abstractNumId="2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34B66643"/>
    <w:multiLevelType w:val="multilevel"/>
    <w:tmpl w:val="F736735C"/>
    <w:numStyleLink w:val="LstAlpha"/>
  </w:abstractNum>
  <w:abstractNum w:abstractNumId="31" w15:restartNumberingAfterBreak="0">
    <w:nsid w:val="34D92E0E"/>
    <w:multiLevelType w:val="hybridMultilevel"/>
    <w:tmpl w:val="69AC66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1032"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1032"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3C152B1D"/>
    <w:multiLevelType w:val="hybridMultilevel"/>
    <w:tmpl w:val="22CC31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1232E77"/>
    <w:multiLevelType w:val="hybridMultilevel"/>
    <w:tmpl w:val="9D36A96C"/>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1032"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8" w15:restartNumberingAfterBreak="0">
    <w:nsid w:val="43246CDA"/>
    <w:multiLevelType w:val="multilevel"/>
    <w:tmpl w:val="F736735C"/>
    <w:styleLink w:val="LstAlpha"/>
    <w:lvl w:ilvl="0">
      <w:start w:val="1"/>
      <w:numFmt w:val="lowerLetter"/>
      <w:pStyle w:val="ListAlpha"/>
      <w:lvlText w:val="%1."/>
      <w:lvlJc w:val="left"/>
      <w:pPr>
        <w:ind w:left="397" w:hanging="397"/>
      </w:pPr>
      <w:rPr>
        <w:rFonts w:hint="default"/>
      </w:rPr>
    </w:lvl>
    <w:lvl w:ilvl="1">
      <w:start w:val="1"/>
      <w:numFmt w:val="none"/>
      <w:lvlText w:val="%2"/>
      <w:lvlJc w:val="left"/>
      <w:pPr>
        <w:ind w:left="794" w:hanging="397"/>
      </w:pPr>
      <w:rPr>
        <w:rFonts w:hint="default"/>
      </w:rPr>
    </w:lvl>
    <w:lvl w:ilvl="2">
      <w:start w:val="1"/>
      <w:numFmt w:val="none"/>
      <w:lvlText w:val="%3"/>
      <w:lvlJc w:val="left"/>
      <w:pPr>
        <w:ind w:left="1191" w:hanging="397"/>
      </w:pPr>
      <w:rPr>
        <w:rFonts w:hint="default"/>
      </w:rPr>
    </w:lvl>
    <w:lvl w:ilvl="3">
      <w:start w:val="1"/>
      <w:numFmt w:val="none"/>
      <w:lvlText w:val="%4"/>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Text w:val="%6"/>
      <w:lvlJc w:val="right"/>
      <w:pPr>
        <w:ind w:left="2382" w:hanging="397"/>
      </w:pPr>
      <w:rPr>
        <w:rFonts w:hint="default"/>
      </w:rPr>
    </w:lvl>
    <w:lvl w:ilvl="6">
      <w:start w:val="1"/>
      <w:numFmt w:val="none"/>
      <w:lvlText w:val="%7"/>
      <w:lvlJc w:val="left"/>
      <w:pPr>
        <w:ind w:left="2779" w:hanging="397"/>
      </w:pPr>
      <w:rPr>
        <w:rFonts w:hint="default"/>
      </w:rPr>
    </w:lvl>
    <w:lvl w:ilvl="7">
      <w:start w:val="1"/>
      <w:numFmt w:val="none"/>
      <w:lvlText w:val="%8"/>
      <w:lvlJc w:val="left"/>
      <w:pPr>
        <w:ind w:left="3176" w:hanging="397"/>
      </w:pPr>
      <w:rPr>
        <w:rFonts w:hint="default"/>
      </w:rPr>
    </w:lvl>
    <w:lvl w:ilvl="8">
      <w:start w:val="1"/>
      <w:numFmt w:val="none"/>
      <w:lvlText w:val="%9"/>
      <w:lvlJc w:val="right"/>
      <w:pPr>
        <w:ind w:left="3573" w:hanging="397"/>
      </w:pPr>
      <w:rPr>
        <w:rFonts w:hint="default"/>
      </w:rPr>
    </w:lvl>
  </w:abstractNum>
  <w:abstractNum w:abstractNumId="39" w15:restartNumberingAfterBreak="0">
    <w:nsid w:val="48AE00FD"/>
    <w:multiLevelType w:val="hybridMultilevel"/>
    <w:tmpl w:val="3A7883A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48B324DA"/>
    <w:multiLevelType w:val="multilevel"/>
    <w:tmpl w:val="FFFFFFFF"/>
    <w:lvl w:ilvl="0">
      <w:start w:val="1"/>
      <w:numFmt w:val="bullet"/>
      <w:lvlText w:val=""/>
      <w:lvlJc w:val="left"/>
      <w:pPr>
        <w:ind w:left="644" w:hanging="284"/>
      </w:pPr>
      <w:rPr>
        <w:rFonts w:ascii="Symbol" w:hAnsi="Symbol" w:hint="default"/>
      </w:rPr>
    </w:lvl>
    <w:lvl w:ilvl="1">
      <w:start w:val="1"/>
      <w:numFmt w:val="bullet"/>
      <w:lvlText w:val="o"/>
      <w:lvlJc w:val="left"/>
      <w:pPr>
        <w:ind w:left="1137" w:hanging="360"/>
      </w:pPr>
      <w:rPr>
        <w:rFonts w:ascii="Courier New" w:hAnsi="Courier New" w:hint="default"/>
      </w:rPr>
    </w:lvl>
    <w:lvl w:ilvl="2">
      <w:start w:val="1"/>
      <w:numFmt w:val="bullet"/>
      <w:lvlText w:val=""/>
      <w:lvlJc w:val="left"/>
      <w:pPr>
        <w:ind w:left="1857" w:hanging="360"/>
      </w:pPr>
      <w:rPr>
        <w:rFonts w:ascii="Wingdings" w:hAnsi="Wingdings" w:hint="default"/>
      </w:rPr>
    </w:lvl>
    <w:lvl w:ilvl="3">
      <w:start w:val="1"/>
      <w:numFmt w:val="bullet"/>
      <w:lvlText w:val=""/>
      <w:lvlJc w:val="left"/>
      <w:pPr>
        <w:ind w:left="2577" w:hanging="360"/>
      </w:pPr>
      <w:rPr>
        <w:rFonts w:ascii="Symbol" w:hAnsi="Symbol" w:hint="default"/>
      </w:rPr>
    </w:lvl>
    <w:lvl w:ilvl="4">
      <w:start w:val="1"/>
      <w:numFmt w:val="bullet"/>
      <w:lvlText w:val="o"/>
      <w:lvlJc w:val="left"/>
      <w:pPr>
        <w:ind w:left="3297" w:hanging="360"/>
      </w:pPr>
      <w:rPr>
        <w:rFonts w:ascii="Courier New" w:hAnsi="Courier New" w:hint="default"/>
      </w:rPr>
    </w:lvl>
    <w:lvl w:ilvl="5">
      <w:start w:val="1"/>
      <w:numFmt w:val="bullet"/>
      <w:lvlText w:val=""/>
      <w:lvlJc w:val="left"/>
      <w:pPr>
        <w:ind w:left="4017" w:hanging="360"/>
      </w:pPr>
      <w:rPr>
        <w:rFonts w:ascii="Wingdings" w:hAnsi="Wingdings" w:hint="default"/>
      </w:rPr>
    </w:lvl>
    <w:lvl w:ilvl="6">
      <w:start w:val="1"/>
      <w:numFmt w:val="bullet"/>
      <w:lvlText w:val=""/>
      <w:lvlJc w:val="left"/>
      <w:pPr>
        <w:ind w:left="4737" w:hanging="360"/>
      </w:pPr>
      <w:rPr>
        <w:rFonts w:ascii="Symbol" w:hAnsi="Symbol" w:hint="default"/>
      </w:rPr>
    </w:lvl>
    <w:lvl w:ilvl="7">
      <w:start w:val="1"/>
      <w:numFmt w:val="bullet"/>
      <w:lvlText w:val="o"/>
      <w:lvlJc w:val="left"/>
      <w:pPr>
        <w:ind w:left="5457" w:hanging="360"/>
      </w:pPr>
      <w:rPr>
        <w:rFonts w:ascii="Courier New" w:hAnsi="Courier New" w:hint="default"/>
      </w:rPr>
    </w:lvl>
    <w:lvl w:ilvl="8">
      <w:start w:val="1"/>
      <w:numFmt w:val="bullet"/>
      <w:lvlText w:val=""/>
      <w:lvlJc w:val="left"/>
      <w:pPr>
        <w:ind w:left="6177" w:hanging="360"/>
      </w:pPr>
      <w:rPr>
        <w:rFonts w:ascii="Wingdings" w:hAnsi="Wingdings" w:hint="default"/>
      </w:rPr>
    </w:lvl>
  </w:abstractNum>
  <w:abstractNum w:abstractNumId="41" w15:restartNumberingAfterBreak="0">
    <w:nsid w:val="4AA27F2E"/>
    <w:multiLevelType w:val="multilevel"/>
    <w:tmpl w:val="BD3E64C2"/>
    <w:name w:val="Bullets"/>
    <w:lvl w:ilvl="0">
      <w:start w:val="1"/>
      <w:numFmt w:val="bullet"/>
      <w:lvlText w:val="•"/>
      <w:lvlJc w:val="left"/>
      <w:pPr>
        <w:ind w:left="397" w:hanging="397"/>
      </w:pPr>
      <w:rPr>
        <w:rFonts w:ascii="Arial" w:hAnsi="Arial" w:hint="default"/>
      </w:rPr>
    </w:lvl>
    <w:lvl w:ilvl="1">
      <w:start w:val="1"/>
      <w:numFmt w:val="bullet"/>
      <w:lvlText w:val="-"/>
      <w:lvlJc w:val="left"/>
      <w:pPr>
        <w:ind w:left="794" w:hanging="397"/>
      </w:pPr>
      <w:rPr>
        <w:rFonts w:ascii="Arial" w:hAnsi="Arial" w:hint="default"/>
      </w:rPr>
    </w:lvl>
    <w:lvl w:ilvl="2">
      <w:start w:val="1"/>
      <w:numFmt w:val="bullet"/>
      <w:lvlText w:val="◦"/>
      <w:lvlJc w:val="left"/>
      <w:pPr>
        <w:ind w:left="1191" w:hanging="397"/>
      </w:pPr>
      <w:rPr>
        <w:rFonts w:ascii="Arial" w:hAnsi="Arial" w:hint="default"/>
      </w:rPr>
    </w:lvl>
    <w:lvl w:ilvl="3">
      <w:start w:val="1"/>
      <w:numFmt w:val="bullet"/>
      <w:lvlText w:val="▪"/>
      <w:lvlJc w:val="left"/>
      <w:pPr>
        <w:ind w:left="1588" w:hanging="397"/>
      </w:pPr>
      <w:rPr>
        <w:rFonts w:ascii="Arial" w:hAnsi="Arial" w:hint="default"/>
      </w:rPr>
    </w:lvl>
    <w:lvl w:ilvl="4">
      <w:start w:val="1"/>
      <w:numFmt w:val="bullet"/>
      <w:lvlText w:val="o"/>
      <w:lvlJc w:val="left"/>
      <w:pPr>
        <w:tabs>
          <w:tab w:val="num" w:pos="2155"/>
        </w:tabs>
        <w:ind w:left="1985" w:hanging="397"/>
      </w:pPr>
      <w:rPr>
        <w:rFonts w:ascii="Courier New" w:hAnsi="Courier New" w:cs="Courier New" w:hint="default"/>
      </w:rPr>
    </w:lvl>
    <w:lvl w:ilvl="5">
      <w:start w:val="1"/>
      <w:numFmt w:val="bullet"/>
      <w:lvlText w:val=""/>
      <w:lvlJc w:val="left"/>
      <w:pPr>
        <w:tabs>
          <w:tab w:val="num" w:pos="2552"/>
        </w:tabs>
        <w:ind w:left="2382" w:hanging="397"/>
      </w:pPr>
      <w:rPr>
        <w:rFonts w:ascii="Wingdings" w:hAnsi="Wingdings" w:hint="default"/>
      </w:rPr>
    </w:lvl>
    <w:lvl w:ilvl="6">
      <w:start w:val="1"/>
      <w:numFmt w:val="bullet"/>
      <w:lvlText w:val=""/>
      <w:lvlJc w:val="left"/>
      <w:pPr>
        <w:tabs>
          <w:tab w:val="num" w:pos="2949"/>
        </w:tabs>
        <w:ind w:left="2779" w:hanging="397"/>
      </w:pPr>
      <w:rPr>
        <w:rFonts w:ascii="Symbol" w:hAnsi="Symbol" w:hint="default"/>
      </w:rPr>
    </w:lvl>
    <w:lvl w:ilvl="7">
      <w:start w:val="1"/>
      <w:numFmt w:val="bullet"/>
      <w:lvlText w:val="o"/>
      <w:lvlJc w:val="left"/>
      <w:pPr>
        <w:tabs>
          <w:tab w:val="num" w:pos="3346"/>
        </w:tabs>
        <w:ind w:left="3176" w:hanging="397"/>
      </w:pPr>
      <w:rPr>
        <w:rFonts w:ascii="Courier New" w:hAnsi="Courier New" w:cs="Courier New" w:hint="default"/>
      </w:rPr>
    </w:lvl>
    <w:lvl w:ilvl="8">
      <w:start w:val="1"/>
      <w:numFmt w:val="bullet"/>
      <w:lvlText w:val=""/>
      <w:lvlJc w:val="left"/>
      <w:pPr>
        <w:tabs>
          <w:tab w:val="num" w:pos="3743"/>
        </w:tabs>
        <w:ind w:left="3573" w:hanging="397"/>
      </w:pPr>
      <w:rPr>
        <w:rFonts w:ascii="Wingdings" w:hAnsi="Wingdings" w:hint="default"/>
      </w:rPr>
    </w:lvl>
  </w:abstractNum>
  <w:abstractNum w:abstractNumId="42" w15:restartNumberingAfterBreak="0">
    <w:nsid w:val="4C232640"/>
    <w:multiLevelType w:val="multilevel"/>
    <w:tmpl w:val="84DA1604"/>
    <w:lvl w:ilvl="0">
      <w:start w:val="1"/>
      <w:numFmt w:val="decimal"/>
      <w:lvlText w:val="%1."/>
      <w:lvlJc w:val="left"/>
      <w:pPr>
        <w:ind w:left="568" w:hanging="284"/>
      </w:pPr>
      <w:rPr>
        <w:rFonts w:asciiTheme="minorHAnsi" w:eastAsiaTheme="minorEastAsia" w:hAnsiTheme="minorHAnsi" w:cstheme="minorBidi"/>
      </w:rPr>
    </w:lvl>
    <w:lvl w:ilvl="1">
      <w:start w:val="1"/>
      <w:numFmt w:val="bullet"/>
      <w:lvlText w:val=""/>
      <w:lvlJc w:val="left"/>
      <w:pPr>
        <w:ind w:left="928" w:hanging="360"/>
      </w:pPr>
      <w:rPr>
        <w:rFonts w:ascii="Symbol" w:hAnsi="Symbol" w:hint="default"/>
      </w:rPr>
    </w:lvl>
    <w:lvl w:ilvl="2">
      <w:start w:val="1"/>
      <w:numFmt w:val="lowerRoman"/>
      <w:lvlText w:val="%3."/>
      <w:lvlJc w:val="right"/>
      <w:pPr>
        <w:ind w:left="1136" w:hanging="284"/>
      </w:pPr>
      <w:rPr>
        <w:rFonts w:hint="default"/>
      </w:rPr>
    </w:lvl>
    <w:lvl w:ilvl="3">
      <w:start w:val="1"/>
      <w:numFmt w:val="decimal"/>
      <w:lvlText w:val="%4."/>
      <w:lvlJc w:val="left"/>
      <w:pPr>
        <w:ind w:left="1420" w:hanging="284"/>
      </w:pPr>
      <w:rPr>
        <w:rFonts w:hint="default"/>
      </w:rPr>
    </w:lvl>
    <w:lvl w:ilvl="4">
      <w:start w:val="1"/>
      <w:numFmt w:val="lowerLetter"/>
      <w:lvlText w:val="%5."/>
      <w:lvlJc w:val="left"/>
      <w:pPr>
        <w:ind w:left="1704" w:hanging="284"/>
      </w:pPr>
      <w:rPr>
        <w:rFonts w:hint="default"/>
      </w:rPr>
    </w:lvl>
    <w:lvl w:ilvl="5">
      <w:start w:val="1"/>
      <w:numFmt w:val="lowerRoman"/>
      <w:lvlText w:val="%6."/>
      <w:lvlJc w:val="right"/>
      <w:pPr>
        <w:ind w:left="1988" w:hanging="284"/>
      </w:pPr>
      <w:rPr>
        <w:rFonts w:hint="default"/>
      </w:rPr>
    </w:lvl>
    <w:lvl w:ilvl="6">
      <w:start w:val="1"/>
      <w:numFmt w:val="decimal"/>
      <w:lvlText w:val="%7."/>
      <w:lvlJc w:val="left"/>
      <w:pPr>
        <w:ind w:left="2272" w:hanging="284"/>
      </w:pPr>
      <w:rPr>
        <w:rFonts w:hint="default"/>
      </w:rPr>
    </w:lvl>
    <w:lvl w:ilvl="7">
      <w:start w:val="1"/>
      <w:numFmt w:val="lowerLetter"/>
      <w:lvlText w:val="%8."/>
      <w:lvlJc w:val="left"/>
      <w:pPr>
        <w:ind w:left="2556" w:hanging="284"/>
      </w:pPr>
      <w:rPr>
        <w:rFonts w:hint="default"/>
      </w:rPr>
    </w:lvl>
    <w:lvl w:ilvl="8">
      <w:start w:val="1"/>
      <w:numFmt w:val="lowerRoman"/>
      <w:lvlText w:val="%9."/>
      <w:lvlJc w:val="right"/>
      <w:pPr>
        <w:ind w:left="2840" w:hanging="284"/>
      </w:pPr>
      <w:rPr>
        <w:rFonts w:hint="default"/>
      </w:rPr>
    </w:lvl>
  </w:abstractNum>
  <w:abstractNum w:abstractNumId="43" w15:restartNumberingAfterBreak="0">
    <w:nsid w:val="4CF64230"/>
    <w:multiLevelType w:val="hybridMultilevel"/>
    <w:tmpl w:val="E22E7E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E380AB1"/>
    <w:multiLevelType w:val="multilevel"/>
    <w:tmpl w:val="ECEE2290"/>
    <w:numStyleLink w:val="LstStandardNumbering"/>
  </w:abstractNum>
  <w:abstractNum w:abstractNumId="4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6" w15:restartNumberingAfterBreak="0">
    <w:nsid w:val="533157A3"/>
    <w:multiLevelType w:val="multilevel"/>
    <w:tmpl w:val="4BDCB4EA"/>
    <w:name w:val="NumberedHeadings"/>
    <w:lvl w:ilvl="0">
      <w:start w:val="1"/>
      <w:numFmt w:val="decimal"/>
      <w:lvlText w:val="%1."/>
      <w:lvlJc w:val="left"/>
      <w:pPr>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ind w:left="794" w:hanging="794"/>
      </w:pPr>
      <w:rPr>
        <w:rFonts w:hint="default"/>
      </w:rPr>
    </w:lvl>
    <w:lvl w:ilvl="3">
      <w:start w:val="1"/>
      <w:numFmt w:val="none"/>
      <w:lvlText w:val=""/>
      <w:lvlJc w:val="left"/>
      <w:pPr>
        <w:ind w:left="0" w:firstLine="0"/>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5521504A"/>
    <w:multiLevelType w:val="multilevel"/>
    <w:tmpl w:val="FFFFFFFF"/>
    <w:lvl w:ilvl="0">
      <w:start w:val="1"/>
      <w:numFmt w:val="bullet"/>
      <w:lvlText w:val=""/>
      <w:lvlJc w:val="left"/>
      <w:pPr>
        <w:ind w:left="644" w:hanging="284"/>
      </w:pPr>
      <w:rPr>
        <w:rFonts w:ascii="Symbol" w:hAnsi="Symbol" w:hint="default"/>
      </w:rPr>
    </w:lvl>
    <w:lvl w:ilvl="1">
      <w:start w:val="1"/>
      <w:numFmt w:val="bullet"/>
      <w:lvlText w:val="o"/>
      <w:lvlJc w:val="left"/>
      <w:pPr>
        <w:ind w:left="1137" w:hanging="360"/>
      </w:pPr>
      <w:rPr>
        <w:rFonts w:ascii="Courier New" w:hAnsi="Courier New" w:hint="default"/>
      </w:rPr>
    </w:lvl>
    <w:lvl w:ilvl="2">
      <w:start w:val="1"/>
      <w:numFmt w:val="bullet"/>
      <w:lvlText w:val=""/>
      <w:lvlJc w:val="left"/>
      <w:pPr>
        <w:ind w:left="1857" w:hanging="360"/>
      </w:pPr>
      <w:rPr>
        <w:rFonts w:ascii="Wingdings" w:hAnsi="Wingdings" w:hint="default"/>
      </w:rPr>
    </w:lvl>
    <w:lvl w:ilvl="3">
      <w:start w:val="1"/>
      <w:numFmt w:val="bullet"/>
      <w:lvlText w:val=""/>
      <w:lvlJc w:val="left"/>
      <w:pPr>
        <w:ind w:left="2577" w:hanging="360"/>
      </w:pPr>
      <w:rPr>
        <w:rFonts w:ascii="Symbol" w:hAnsi="Symbol" w:hint="default"/>
      </w:rPr>
    </w:lvl>
    <w:lvl w:ilvl="4">
      <w:start w:val="1"/>
      <w:numFmt w:val="bullet"/>
      <w:lvlText w:val="o"/>
      <w:lvlJc w:val="left"/>
      <w:pPr>
        <w:ind w:left="3297" w:hanging="360"/>
      </w:pPr>
      <w:rPr>
        <w:rFonts w:ascii="Courier New" w:hAnsi="Courier New" w:hint="default"/>
      </w:rPr>
    </w:lvl>
    <w:lvl w:ilvl="5">
      <w:start w:val="1"/>
      <w:numFmt w:val="bullet"/>
      <w:lvlText w:val=""/>
      <w:lvlJc w:val="left"/>
      <w:pPr>
        <w:ind w:left="4017" w:hanging="360"/>
      </w:pPr>
      <w:rPr>
        <w:rFonts w:ascii="Wingdings" w:hAnsi="Wingdings" w:hint="default"/>
      </w:rPr>
    </w:lvl>
    <w:lvl w:ilvl="6">
      <w:start w:val="1"/>
      <w:numFmt w:val="bullet"/>
      <w:lvlText w:val=""/>
      <w:lvlJc w:val="left"/>
      <w:pPr>
        <w:ind w:left="4737" w:hanging="360"/>
      </w:pPr>
      <w:rPr>
        <w:rFonts w:ascii="Symbol" w:hAnsi="Symbol" w:hint="default"/>
      </w:rPr>
    </w:lvl>
    <w:lvl w:ilvl="7">
      <w:start w:val="1"/>
      <w:numFmt w:val="bullet"/>
      <w:lvlText w:val="o"/>
      <w:lvlJc w:val="left"/>
      <w:pPr>
        <w:ind w:left="5457" w:hanging="360"/>
      </w:pPr>
      <w:rPr>
        <w:rFonts w:ascii="Courier New" w:hAnsi="Courier New" w:hint="default"/>
      </w:rPr>
    </w:lvl>
    <w:lvl w:ilvl="8">
      <w:start w:val="1"/>
      <w:numFmt w:val="bullet"/>
      <w:lvlText w:val=""/>
      <w:lvlJc w:val="left"/>
      <w:pPr>
        <w:ind w:left="6177" w:hanging="360"/>
      </w:pPr>
      <w:rPr>
        <w:rFonts w:ascii="Wingdings" w:hAnsi="Wingdings" w:hint="default"/>
      </w:rPr>
    </w:lvl>
  </w:abstractNum>
  <w:abstractNum w:abstractNumId="48" w15:restartNumberingAfterBreak="0">
    <w:nsid w:val="5680327F"/>
    <w:multiLevelType w:val="multilevel"/>
    <w:tmpl w:val="5540E618"/>
    <w:styleLink w:val="LstBullets"/>
    <w:lvl w:ilvl="0">
      <w:start w:val="1"/>
      <w:numFmt w:val="bullet"/>
      <w:pStyle w:val="ListBullet"/>
      <w:lvlText w:val="•"/>
      <w:lvlJc w:val="left"/>
      <w:pPr>
        <w:ind w:left="397" w:hanging="397"/>
      </w:pPr>
      <w:rPr>
        <w:rFonts w:ascii="Arial" w:hAnsi="Arial" w:hint="default"/>
      </w:rPr>
    </w:lvl>
    <w:lvl w:ilvl="1">
      <w:start w:val="1"/>
      <w:numFmt w:val="bullet"/>
      <w:pStyle w:val="ListBullet2"/>
      <w:lvlText w:val="-"/>
      <w:lvlJc w:val="left"/>
      <w:pPr>
        <w:ind w:left="794" w:hanging="397"/>
      </w:pPr>
      <w:rPr>
        <w:rFonts w:ascii="Arial" w:hAnsi="Arial" w:hint="default"/>
      </w:rPr>
    </w:lvl>
    <w:lvl w:ilvl="2">
      <w:start w:val="1"/>
      <w:numFmt w:val="bullet"/>
      <w:pStyle w:val="ListBullet3"/>
      <w:lvlText w:val="◦"/>
      <w:lvlJc w:val="left"/>
      <w:pPr>
        <w:ind w:left="1191" w:hanging="397"/>
      </w:pPr>
      <w:rPr>
        <w:rFonts w:ascii="Arial" w:hAnsi="Arial" w:hint="default"/>
      </w:rPr>
    </w:lvl>
    <w:lvl w:ilvl="3">
      <w:start w:val="1"/>
      <w:numFmt w:val="bullet"/>
      <w:pStyle w:val="ListBullet4"/>
      <w:lvlText w:val="▪"/>
      <w:lvlJc w:val="left"/>
      <w:pPr>
        <w:ind w:left="1588" w:hanging="397"/>
      </w:pPr>
      <w:rPr>
        <w:rFonts w:ascii="Arial" w:hAnsi="Arial" w:hint="default"/>
      </w:rPr>
    </w:lvl>
    <w:lvl w:ilvl="4">
      <w:start w:val="1"/>
      <w:numFmt w:val="bullet"/>
      <w:lvlText w:val="o"/>
      <w:lvlJc w:val="left"/>
      <w:pPr>
        <w:tabs>
          <w:tab w:val="num" w:pos="2155"/>
        </w:tabs>
        <w:ind w:left="1985" w:hanging="397"/>
      </w:pPr>
      <w:rPr>
        <w:rFonts w:ascii="Courier New" w:hAnsi="Courier New" w:cs="Courier New" w:hint="default"/>
      </w:rPr>
    </w:lvl>
    <w:lvl w:ilvl="5">
      <w:start w:val="1"/>
      <w:numFmt w:val="bullet"/>
      <w:lvlText w:val=""/>
      <w:lvlJc w:val="left"/>
      <w:pPr>
        <w:tabs>
          <w:tab w:val="num" w:pos="2552"/>
        </w:tabs>
        <w:ind w:left="2382" w:hanging="397"/>
      </w:pPr>
      <w:rPr>
        <w:rFonts w:ascii="Wingdings" w:hAnsi="Wingdings" w:hint="default"/>
      </w:rPr>
    </w:lvl>
    <w:lvl w:ilvl="6">
      <w:start w:val="1"/>
      <w:numFmt w:val="bullet"/>
      <w:lvlText w:val=""/>
      <w:lvlJc w:val="left"/>
      <w:pPr>
        <w:tabs>
          <w:tab w:val="num" w:pos="2949"/>
        </w:tabs>
        <w:ind w:left="2779" w:hanging="397"/>
      </w:pPr>
      <w:rPr>
        <w:rFonts w:ascii="Symbol" w:hAnsi="Symbol" w:hint="default"/>
      </w:rPr>
    </w:lvl>
    <w:lvl w:ilvl="7">
      <w:start w:val="1"/>
      <w:numFmt w:val="bullet"/>
      <w:lvlText w:val="o"/>
      <w:lvlJc w:val="left"/>
      <w:pPr>
        <w:tabs>
          <w:tab w:val="num" w:pos="3346"/>
        </w:tabs>
        <w:ind w:left="3176" w:hanging="397"/>
      </w:pPr>
      <w:rPr>
        <w:rFonts w:ascii="Courier New" w:hAnsi="Courier New" w:cs="Courier New" w:hint="default"/>
      </w:rPr>
    </w:lvl>
    <w:lvl w:ilvl="8">
      <w:start w:val="1"/>
      <w:numFmt w:val="bullet"/>
      <w:lvlText w:val=""/>
      <w:lvlJc w:val="left"/>
      <w:pPr>
        <w:tabs>
          <w:tab w:val="num" w:pos="3743"/>
        </w:tabs>
        <w:ind w:left="3573" w:hanging="397"/>
      </w:pPr>
      <w:rPr>
        <w:rFonts w:ascii="Wingdings" w:hAnsi="Wingdings" w:hint="default"/>
      </w:rPr>
    </w:lvl>
  </w:abstractNum>
  <w:abstractNum w:abstractNumId="49" w15:restartNumberingAfterBreak="0">
    <w:nsid w:val="587C633B"/>
    <w:multiLevelType w:val="hybridMultilevel"/>
    <w:tmpl w:val="23D2AC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59B82888"/>
    <w:multiLevelType w:val="multilevel"/>
    <w:tmpl w:val="5540E618"/>
    <w:numStyleLink w:val="LstBullets"/>
  </w:abstractNum>
  <w:abstractNum w:abstractNumId="5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5" w15:restartNumberingAfterBreak="0">
    <w:nsid w:val="5F7E2C19"/>
    <w:multiLevelType w:val="multilevel"/>
    <w:tmpl w:val="84DA1604"/>
    <w:lvl w:ilvl="0">
      <w:start w:val="1"/>
      <w:numFmt w:val="decimal"/>
      <w:lvlText w:val="%1."/>
      <w:lvlJc w:val="left"/>
      <w:pPr>
        <w:ind w:left="568" w:hanging="284"/>
      </w:pPr>
      <w:rPr>
        <w:rFonts w:asciiTheme="minorHAnsi" w:eastAsiaTheme="minorEastAsia" w:hAnsiTheme="minorHAnsi" w:cstheme="minorBidi"/>
      </w:rPr>
    </w:lvl>
    <w:lvl w:ilvl="1">
      <w:start w:val="1"/>
      <w:numFmt w:val="bullet"/>
      <w:lvlText w:val=""/>
      <w:lvlJc w:val="left"/>
      <w:pPr>
        <w:ind w:left="928" w:hanging="360"/>
      </w:pPr>
      <w:rPr>
        <w:rFonts w:ascii="Symbol" w:hAnsi="Symbol" w:hint="default"/>
      </w:rPr>
    </w:lvl>
    <w:lvl w:ilvl="2">
      <w:start w:val="1"/>
      <w:numFmt w:val="lowerRoman"/>
      <w:lvlText w:val="%3."/>
      <w:lvlJc w:val="right"/>
      <w:pPr>
        <w:ind w:left="1136" w:hanging="284"/>
      </w:pPr>
      <w:rPr>
        <w:rFonts w:hint="default"/>
      </w:rPr>
    </w:lvl>
    <w:lvl w:ilvl="3">
      <w:start w:val="1"/>
      <w:numFmt w:val="decimal"/>
      <w:lvlText w:val="%4."/>
      <w:lvlJc w:val="left"/>
      <w:pPr>
        <w:ind w:left="1420" w:hanging="284"/>
      </w:pPr>
      <w:rPr>
        <w:rFonts w:hint="default"/>
      </w:rPr>
    </w:lvl>
    <w:lvl w:ilvl="4">
      <w:start w:val="1"/>
      <w:numFmt w:val="lowerLetter"/>
      <w:lvlText w:val="%5."/>
      <w:lvlJc w:val="left"/>
      <w:pPr>
        <w:ind w:left="1704" w:hanging="284"/>
      </w:pPr>
      <w:rPr>
        <w:rFonts w:hint="default"/>
      </w:rPr>
    </w:lvl>
    <w:lvl w:ilvl="5">
      <w:start w:val="1"/>
      <w:numFmt w:val="lowerRoman"/>
      <w:lvlText w:val="%6."/>
      <w:lvlJc w:val="right"/>
      <w:pPr>
        <w:ind w:left="1988" w:hanging="284"/>
      </w:pPr>
      <w:rPr>
        <w:rFonts w:hint="default"/>
      </w:rPr>
    </w:lvl>
    <w:lvl w:ilvl="6">
      <w:start w:val="1"/>
      <w:numFmt w:val="decimal"/>
      <w:lvlText w:val="%7."/>
      <w:lvlJc w:val="left"/>
      <w:pPr>
        <w:ind w:left="2272" w:hanging="284"/>
      </w:pPr>
      <w:rPr>
        <w:rFonts w:hint="default"/>
      </w:rPr>
    </w:lvl>
    <w:lvl w:ilvl="7">
      <w:start w:val="1"/>
      <w:numFmt w:val="lowerLetter"/>
      <w:lvlText w:val="%8."/>
      <w:lvlJc w:val="left"/>
      <w:pPr>
        <w:ind w:left="2556" w:hanging="284"/>
      </w:pPr>
      <w:rPr>
        <w:rFonts w:hint="default"/>
      </w:rPr>
    </w:lvl>
    <w:lvl w:ilvl="8">
      <w:start w:val="1"/>
      <w:numFmt w:val="lowerRoman"/>
      <w:lvlText w:val="%9."/>
      <w:lvlJc w:val="right"/>
      <w:pPr>
        <w:ind w:left="2840" w:hanging="284"/>
      </w:pPr>
      <w:rPr>
        <w:rFonts w:hint="default"/>
      </w:rPr>
    </w:lvl>
  </w:abstractNum>
  <w:abstractNum w:abstractNumId="56" w15:restartNumberingAfterBreak="0">
    <w:nsid w:val="61387C37"/>
    <w:multiLevelType w:val="multilevel"/>
    <w:tmpl w:val="ECEE2290"/>
    <w:styleLink w:val="LstStandardNumbering"/>
    <w:lvl w:ilvl="0">
      <w:start w:val="1"/>
      <w:numFmt w:val="decimal"/>
      <w:pStyle w:val="List"/>
      <w:lvlText w:val="%1."/>
      <w:lvlJc w:val="left"/>
      <w:pPr>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Arial" w:hAnsi="Arial" w:hint="default"/>
      </w:rPr>
    </w:lvl>
    <w:lvl w:ilvl="4">
      <w:start w:val="1"/>
      <w:numFmt w:val="bullet"/>
      <w:lvlText w:val="o"/>
      <w:lvlJc w:val="left"/>
      <w:pPr>
        <w:ind w:left="1985" w:hanging="397"/>
      </w:pPr>
      <w:rPr>
        <w:rFonts w:ascii="Courier New" w:hAnsi="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5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1032" w:themeColor="text2"/>
      </w:rPr>
    </w:lvl>
    <w:lvl w:ilvl="1">
      <w:start w:val="1"/>
      <w:numFmt w:val="bullet"/>
      <w:lvlText w:val="–"/>
      <w:lvlJc w:val="left"/>
      <w:pPr>
        <w:ind w:left="539" w:hanging="227"/>
      </w:pPr>
      <w:rPr>
        <w:rFonts w:ascii="Arial" w:hAnsi="Arial" w:hint="default"/>
        <w:color w:val="001032"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1032" w:themeColor="text2"/>
        <w:sz w:val="32"/>
      </w:rPr>
    </w:lvl>
    <w:lvl w:ilvl="1">
      <w:start w:val="1"/>
      <w:numFmt w:val="decimal"/>
      <w:lvlText w:val="%2."/>
      <w:lvlJc w:val="left"/>
      <w:pPr>
        <w:tabs>
          <w:tab w:val="num" w:pos="992"/>
        </w:tabs>
        <w:ind w:left="992" w:hanging="992"/>
      </w:pPr>
      <w:rPr>
        <w:rFonts w:hint="default"/>
        <w:b w:val="0"/>
        <w:i w:val="0"/>
        <w:color w:val="001032"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9" w15:restartNumberingAfterBreak="0">
    <w:nsid w:val="688A4F33"/>
    <w:multiLevelType w:val="hybridMultilevel"/>
    <w:tmpl w:val="57166200"/>
    <w:lvl w:ilvl="0" w:tplc="2FD8DBC2">
      <w:start w:val="1"/>
      <w:numFmt w:val="decimal"/>
      <w:lvlText w:val="%1)"/>
      <w:lvlJc w:val="left"/>
      <w:pPr>
        <w:ind w:left="1020" w:hanging="360"/>
      </w:pPr>
    </w:lvl>
    <w:lvl w:ilvl="1" w:tplc="49FA6312">
      <w:start w:val="1"/>
      <w:numFmt w:val="decimal"/>
      <w:lvlText w:val="%2)"/>
      <w:lvlJc w:val="left"/>
      <w:pPr>
        <w:ind w:left="1020" w:hanging="360"/>
      </w:pPr>
    </w:lvl>
    <w:lvl w:ilvl="2" w:tplc="10304D58">
      <w:start w:val="1"/>
      <w:numFmt w:val="decimal"/>
      <w:lvlText w:val="%3)"/>
      <w:lvlJc w:val="left"/>
      <w:pPr>
        <w:ind w:left="1020" w:hanging="360"/>
      </w:pPr>
    </w:lvl>
    <w:lvl w:ilvl="3" w:tplc="7EB460C2">
      <w:start w:val="1"/>
      <w:numFmt w:val="decimal"/>
      <w:lvlText w:val="%4)"/>
      <w:lvlJc w:val="left"/>
      <w:pPr>
        <w:ind w:left="1020" w:hanging="360"/>
      </w:pPr>
    </w:lvl>
    <w:lvl w:ilvl="4" w:tplc="76CE6134">
      <w:start w:val="1"/>
      <w:numFmt w:val="decimal"/>
      <w:lvlText w:val="%5)"/>
      <w:lvlJc w:val="left"/>
      <w:pPr>
        <w:ind w:left="1020" w:hanging="360"/>
      </w:pPr>
    </w:lvl>
    <w:lvl w:ilvl="5" w:tplc="8072FEEA">
      <w:start w:val="1"/>
      <w:numFmt w:val="decimal"/>
      <w:lvlText w:val="%6)"/>
      <w:lvlJc w:val="left"/>
      <w:pPr>
        <w:ind w:left="1020" w:hanging="360"/>
      </w:pPr>
    </w:lvl>
    <w:lvl w:ilvl="6" w:tplc="DB003B0C">
      <w:start w:val="1"/>
      <w:numFmt w:val="decimal"/>
      <w:lvlText w:val="%7)"/>
      <w:lvlJc w:val="left"/>
      <w:pPr>
        <w:ind w:left="1020" w:hanging="360"/>
      </w:pPr>
    </w:lvl>
    <w:lvl w:ilvl="7" w:tplc="910E4CD2">
      <w:start w:val="1"/>
      <w:numFmt w:val="decimal"/>
      <w:lvlText w:val="%8)"/>
      <w:lvlJc w:val="left"/>
      <w:pPr>
        <w:ind w:left="1020" w:hanging="360"/>
      </w:pPr>
    </w:lvl>
    <w:lvl w:ilvl="8" w:tplc="8D6E233A">
      <w:start w:val="1"/>
      <w:numFmt w:val="decimal"/>
      <w:lvlText w:val="%9)"/>
      <w:lvlJc w:val="left"/>
      <w:pPr>
        <w:ind w:left="1020" w:hanging="360"/>
      </w:pPr>
    </w:lvl>
  </w:abstractNum>
  <w:abstractNum w:abstractNumId="60" w15:restartNumberingAfterBreak="0">
    <w:nsid w:val="709250A8"/>
    <w:multiLevelType w:val="hybridMultilevel"/>
    <w:tmpl w:val="E6B2EB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0BD6204"/>
    <w:multiLevelType w:val="multilevel"/>
    <w:tmpl w:val="4156E96A"/>
    <w:lvl w:ilvl="0">
      <w:start w:val="1"/>
      <w:numFmt w:val="bullet"/>
      <w:pStyle w:val="ListParagraph"/>
      <w:lvlText w:val=""/>
      <w:lvlJc w:val="left"/>
      <w:pPr>
        <w:ind w:left="644" w:hanging="284"/>
      </w:pPr>
      <w:rPr>
        <w:rFonts w:ascii="Symbol" w:hAnsi="Symbol" w:hint="default"/>
      </w:rPr>
    </w:lvl>
    <w:lvl w:ilvl="1">
      <w:start w:val="1"/>
      <w:numFmt w:val="bullet"/>
      <w:lvlText w:val=""/>
      <w:lvlJc w:val="left"/>
      <w:pPr>
        <w:ind w:left="1004" w:hanging="360"/>
      </w:pPr>
      <w:rPr>
        <w:rFonts w:ascii="Symbol" w:hAnsi="Symbol" w:hint="default"/>
      </w:rPr>
    </w:lvl>
    <w:lvl w:ilvl="2">
      <w:start w:val="1"/>
      <w:numFmt w:val="lowerRoman"/>
      <w:lvlText w:val="%3."/>
      <w:lvlJc w:val="right"/>
      <w:pPr>
        <w:ind w:left="1212" w:hanging="284"/>
      </w:pPr>
      <w:rPr>
        <w:rFonts w:hint="default"/>
      </w:rPr>
    </w:lvl>
    <w:lvl w:ilvl="3">
      <w:start w:val="1"/>
      <w:numFmt w:val="decimal"/>
      <w:lvlText w:val="%4."/>
      <w:lvlJc w:val="left"/>
      <w:pPr>
        <w:ind w:left="1496" w:hanging="284"/>
      </w:pPr>
      <w:rPr>
        <w:rFonts w:hint="default"/>
      </w:rPr>
    </w:lvl>
    <w:lvl w:ilvl="4">
      <w:start w:val="1"/>
      <w:numFmt w:val="lowerLetter"/>
      <w:lvlText w:val="%5."/>
      <w:lvlJc w:val="left"/>
      <w:pPr>
        <w:ind w:left="1780" w:hanging="284"/>
      </w:pPr>
      <w:rPr>
        <w:rFonts w:hint="default"/>
      </w:rPr>
    </w:lvl>
    <w:lvl w:ilvl="5">
      <w:start w:val="1"/>
      <w:numFmt w:val="lowerRoman"/>
      <w:lvlText w:val="%6."/>
      <w:lvlJc w:val="right"/>
      <w:pPr>
        <w:ind w:left="2064" w:hanging="284"/>
      </w:pPr>
      <w:rPr>
        <w:rFonts w:hint="default"/>
      </w:rPr>
    </w:lvl>
    <w:lvl w:ilvl="6">
      <w:start w:val="1"/>
      <w:numFmt w:val="decimal"/>
      <w:lvlText w:val="%7."/>
      <w:lvlJc w:val="left"/>
      <w:pPr>
        <w:ind w:left="2348" w:hanging="284"/>
      </w:pPr>
      <w:rPr>
        <w:rFonts w:hint="default"/>
      </w:rPr>
    </w:lvl>
    <w:lvl w:ilvl="7">
      <w:start w:val="1"/>
      <w:numFmt w:val="lowerLetter"/>
      <w:lvlText w:val="%8."/>
      <w:lvlJc w:val="left"/>
      <w:pPr>
        <w:ind w:left="2632" w:hanging="284"/>
      </w:pPr>
      <w:rPr>
        <w:rFonts w:hint="default"/>
      </w:rPr>
    </w:lvl>
    <w:lvl w:ilvl="8">
      <w:start w:val="1"/>
      <w:numFmt w:val="lowerRoman"/>
      <w:lvlText w:val="%9."/>
      <w:lvlJc w:val="right"/>
      <w:pPr>
        <w:ind w:left="2916" w:hanging="284"/>
      </w:pPr>
      <w:rPr>
        <w:rFonts w:hint="default"/>
      </w:rPr>
    </w:lvl>
  </w:abstractNum>
  <w:abstractNum w:abstractNumId="6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1032"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1032" w:themeColor="text2"/>
        <w:position w:val="2"/>
        <w:sz w:val="20"/>
      </w:rPr>
    </w:lvl>
    <w:lvl w:ilvl="2">
      <w:start w:val="1"/>
      <w:numFmt w:val="bullet"/>
      <w:lvlText w:val="–"/>
      <w:lvlJc w:val="left"/>
      <w:pPr>
        <w:tabs>
          <w:tab w:val="num" w:pos="1361"/>
        </w:tabs>
        <w:ind w:left="1361" w:hanging="340"/>
      </w:pPr>
      <w:rPr>
        <w:rFonts w:ascii="Arial" w:hAnsi="Arial" w:hint="default"/>
        <w:color w:val="001032"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797959B0"/>
    <w:multiLevelType w:val="multilevel"/>
    <w:tmpl w:val="84DA1604"/>
    <w:lvl w:ilvl="0">
      <w:start w:val="1"/>
      <w:numFmt w:val="decimal"/>
      <w:lvlText w:val="%1."/>
      <w:lvlJc w:val="left"/>
      <w:pPr>
        <w:ind w:left="568" w:hanging="284"/>
      </w:pPr>
      <w:rPr>
        <w:rFonts w:asciiTheme="minorHAnsi" w:eastAsiaTheme="minorEastAsia" w:hAnsiTheme="minorHAnsi" w:cstheme="minorBidi"/>
      </w:rPr>
    </w:lvl>
    <w:lvl w:ilvl="1">
      <w:start w:val="1"/>
      <w:numFmt w:val="bullet"/>
      <w:lvlText w:val=""/>
      <w:lvlJc w:val="left"/>
      <w:pPr>
        <w:ind w:left="928" w:hanging="360"/>
      </w:pPr>
      <w:rPr>
        <w:rFonts w:ascii="Symbol" w:hAnsi="Symbol" w:hint="default"/>
      </w:rPr>
    </w:lvl>
    <w:lvl w:ilvl="2">
      <w:start w:val="1"/>
      <w:numFmt w:val="lowerRoman"/>
      <w:lvlText w:val="%3."/>
      <w:lvlJc w:val="right"/>
      <w:pPr>
        <w:ind w:left="1136" w:hanging="284"/>
      </w:pPr>
      <w:rPr>
        <w:rFonts w:hint="default"/>
      </w:rPr>
    </w:lvl>
    <w:lvl w:ilvl="3">
      <w:start w:val="1"/>
      <w:numFmt w:val="decimal"/>
      <w:lvlText w:val="%4."/>
      <w:lvlJc w:val="left"/>
      <w:pPr>
        <w:ind w:left="1420" w:hanging="284"/>
      </w:pPr>
      <w:rPr>
        <w:rFonts w:hint="default"/>
      </w:rPr>
    </w:lvl>
    <w:lvl w:ilvl="4">
      <w:start w:val="1"/>
      <w:numFmt w:val="lowerLetter"/>
      <w:lvlText w:val="%5."/>
      <w:lvlJc w:val="left"/>
      <w:pPr>
        <w:ind w:left="1704" w:hanging="284"/>
      </w:pPr>
      <w:rPr>
        <w:rFonts w:hint="default"/>
      </w:rPr>
    </w:lvl>
    <w:lvl w:ilvl="5">
      <w:start w:val="1"/>
      <w:numFmt w:val="lowerRoman"/>
      <w:lvlText w:val="%6."/>
      <w:lvlJc w:val="right"/>
      <w:pPr>
        <w:ind w:left="1988" w:hanging="284"/>
      </w:pPr>
      <w:rPr>
        <w:rFonts w:hint="default"/>
      </w:rPr>
    </w:lvl>
    <w:lvl w:ilvl="6">
      <w:start w:val="1"/>
      <w:numFmt w:val="decimal"/>
      <w:lvlText w:val="%7."/>
      <w:lvlJc w:val="left"/>
      <w:pPr>
        <w:ind w:left="2272" w:hanging="284"/>
      </w:pPr>
      <w:rPr>
        <w:rFonts w:hint="default"/>
      </w:rPr>
    </w:lvl>
    <w:lvl w:ilvl="7">
      <w:start w:val="1"/>
      <w:numFmt w:val="lowerLetter"/>
      <w:lvlText w:val="%8."/>
      <w:lvlJc w:val="left"/>
      <w:pPr>
        <w:ind w:left="2556" w:hanging="284"/>
      </w:pPr>
      <w:rPr>
        <w:rFonts w:hint="default"/>
      </w:rPr>
    </w:lvl>
    <w:lvl w:ilvl="8">
      <w:start w:val="1"/>
      <w:numFmt w:val="lowerRoman"/>
      <w:lvlText w:val="%9."/>
      <w:lvlJc w:val="right"/>
      <w:pPr>
        <w:ind w:left="2840" w:hanging="284"/>
      </w:pPr>
      <w:rPr>
        <w:rFonts w:hint="default"/>
      </w:rPr>
    </w:lvl>
  </w:abstractNum>
  <w:abstractNum w:abstractNumId="65" w15:restartNumberingAfterBreak="0">
    <w:nsid w:val="7D0B504E"/>
    <w:multiLevelType w:val="multilevel"/>
    <w:tmpl w:val="7C183DDC"/>
    <w:name w:val="Bullets2"/>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Arial" w:hAnsi="Arial" w:hint="default"/>
      </w:rPr>
    </w:lvl>
    <w:lvl w:ilvl="4">
      <w:start w:val="1"/>
      <w:numFmt w:val="bullet"/>
      <w:lvlText w:val="o"/>
      <w:lvlJc w:val="left"/>
      <w:pPr>
        <w:ind w:left="1985" w:hanging="397"/>
      </w:pPr>
      <w:rPr>
        <w:rFonts w:ascii="Courier New" w:hAnsi="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6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1032"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974215733">
    <w:abstractNumId w:val="21"/>
  </w:num>
  <w:num w:numId="2" w16cid:durableId="42020749">
    <w:abstractNumId w:val="54"/>
  </w:num>
  <w:num w:numId="3" w16cid:durableId="270548580">
    <w:abstractNumId w:val="4"/>
  </w:num>
  <w:num w:numId="4" w16cid:durableId="1763456571">
    <w:abstractNumId w:val="23"/>
  </w:num>
  <w:num w:numId="5" w16cid:durableId="1458254607">
    <w:abstractNumId w:val="56"/>
  </w:num>
  <w:num w:numId="6" w16cid:durableId="208999996">
    <w:abstractNumId w:val="27"/>
  </w:num>
  <w:num w:numId="7" w16cid:durableId="217862125">
    <w:abstractNumId w:val="48"/>
  </w:num>
  <w:num w:numId="8" w16cid:durableId="41782296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7766193">
    <w:abstractNumId w:val="44"/>
  </w:num>
  <w:num w:numId="10" w16cid:durableId="1723168124">
    <w:abstractNumId w:val="1"/>
  </w:num>
  <w:num w:numId="11" w16cid:durableId="15090550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1048319">
    <w:abstractNumId w:val="38"/>
  </w:num>
  <w:num w:numId="13" w16cid:durableId="589242416">
    <w:abstractNumId w:val="30"/>
  </w:num>
  <w:num w:numId="14" w16cid:durableId="1291789982">
    <w:abstractNumId w:val="16"/>
  </w:num>
  <w:num w:numId="15" w16cid:durableId="1151556108">
    <w:abstractNumId w:val="52"/>
  </w:num>
  <w:num w:numId="16" w16cid:durableId="1828083658">
    <w:abstractNumId w:val="22"/>
  </w:num>
  <w:num w:numId="17" w16cid:durableId="1406536043">
    <w:abstractNumId w:val="8"/>
  </w:num>
  <w:num w:numId="18" w16cid:durableId="1801341328">
    <w:abstractNumId w:val="61"/>
  </w:num>
  <w:num w:numId="19" w16cid:durableId="1834031556">
    <w:abstractNumId w:val="11"/>
  </w:num>
  <w:num w:numId="20" w16cid:durableId="971669200">
    <w:abstractNumId w:val="20"/>
  </w:num>
  <w:num w:numId="21" w16cid:durableId="1211188952">
    <w:abstractNumId w:val="14"/>
  </w:num>
  <w:num w:numId="22" w16cid:durableId="1610624792">
    <w:abstractNumId w:val="17"/>
  </w:num>
  <w:num w:numId="23" w16cid:durableId="72246359">
    <w:abstractNumId w:val="7"/>
  </w:num>
  <w:num w:numId="24" w16cid:durableId="1522164741">
    <w:abstractNumId w:val="43"/>
  </w:num>
  <w:num w:numId="25" w16cid:durableId="1250650860">
    <w:abstractNumId w:val="18"/>
  </w:num>
  <w:num w:numId="26" w16cid:durableId="954217398">
    <w:abstractNumId w:val="3"/>
  </w:num>
  <w:num w:numId="27" w16cid:durableId="257252947">
    <w:abstractNumId w:val="13"/>
  </w:num>
  <w:num w:numId="28" w16cid:durableId="96292371">
    <w:abstractNumId w:val="31"/>
  </w:num>
  <w:num w:numId="29" w16cid:durableId="119882640">
    <w:abstractNumId w:val="64"/>
  </w:num>
  <w:num w:numId="30" w16cid:durableId="510488994">
    <w:abstractNumId w:val="42"/>
  </w:num>
  <w:num w:numId="31" w16cid:durableId="1827089140">
    <w:abstractNumId w:val="55"/>
  </w:num>
  <w:num w:numId="32" w16cid:durableId="1909655960">
    <w:abstractNumId w:val="26"/>
  </w:num>
  <w:num w:numId="33" w16cid:durableId="1541476619">
    <w:abstractNumId w:val="59"/>
  </w:num>
  <w:num w:numId="34" w16cid:durableId="1488279045">
    <w:abstractNumId w:val="39"/>
  </w:num>
  <w:num w:numId="35" w16cid:durableId="1538589934">
    <w:abstractNumId w:val="2"/>
  </w:num>
  <w:num w:numId="36" w16cid:durableId="479081689">
    <w:abstractNumId w:val="10"/>
  </w:num>
  <w:num w:numId="37" w16cid:durableId="175578481">
    <w:abstractNumId w:val="24"/>
  </w:num>
  <w:num w:numId="38" w16cid:durableId="1587961005">
    <w:abstractNumId w:val="19"/>
  </w:num>
  <w:num w:numId="39" w16cid:durableId="920603513">
    <w:abstractNumId w:val="12"/>
  </w:num>
  <w:num w:numId="40" w16cid:durableId="12809499">
    <w:abstractNumId w:val="60"/>
  </w:num>
  <w:num w:numId="41" w16cid:durableId="618682518">
    <w:abstractNumId w:val="40"/>
  </w:num>
  <w:num w:numId="42" w16cid:durableId="294263397">
    <w:abstractNumId w:val="47"/>
  </w:num>
  <w:num w:numId="43" w16cid:durableId="1622616302">
    <w:abstractNumId w:val="6"/>
  </w:num>
  <w:num w:numId="44" w16cid:durableId="1107849633">
    <w:abstractNumId w:val="61"/>
  </w:num>
  <w:num w:numId="45" w16cid:durableId="774710378">
    <w:abstractNumId w:val="9"/>
  </w:num>
  <w:num w:numId="46" w16cid:durableId="557664276">
    <w:abstractNumId w:val="49"/>
  </w:num>
  <w:num w:numId="47" w16cid:durableId="307130333">
    <w:abstractNumId w:val="35"/>
  </w:num>
  <w:num w:numId="48" w16cid:durableId="1399010419">
    <w:abstractNumId w:val="3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CC4268"/>
    <w:rsid w:val="00000194"/>
    <w:rsid w:val="00000933"/>
    <w:rsid w:val="00000B2F"/>
    <w:rsid w:val="00000F36"/>
    <w:rsid w:val="000011C5"/>
    <w:rsid w:val="00001416"/>
    <w:rsid w:val="0000146B"/>
    <w:rsid w:val="00001FD3"/>
    <w:rsid w:val="0000242A"/>
    <w:rsid w:val="0000287E"/>
    <w:rsid w:val="00002A44"/>
    <w:rsid w:val="00002A5B"/>
    <w:rsid w:val="00002DA1"/>
    <w:rsid w:val="0000303A"/>
    <w:rsid w:val="000031A1"/>
    <w:rsid w:val="000031EB"/>
    <w:rsid w:val="00003283"/>
    <w:rsid w:val="00003372"/>
    <w:rsid w:val="0000342A"/>
    <w:rsid w:val="000035F6"/>
    <w:rsid w:val="00003654"/>
    <w:rsid w:val="00003779"/>
    <w:rsid w:val="0000377F"/>
    <w:rsid w:val="00003F79"/>
    <w:rsid w:val="00004327"/>
    <w:rsid w:val="0000480C"/>
    <w:rsid w:val="00004810"/>
    <w:rsid w:val="00004925"/>
    <w:rsid w:val="00004A68"/>
    <w:rsid w:val="00004EEE"/>
    <w:rsid w:val="000056EC"/>
    <w:rsid w:val="000057BE"/>
    <w:rsid w:val="000057EA"/>
    <w:rsid w:val="000058F2"/>
    <w:rsid w:val="00005D8C"/>
    <w:rsid w:val="00006883"/>
    <w:rsid w:val="000068CA"/>
    <w:rsid w:val="0000736B"/>
    <w:rsid w:val="00007700"/>
    <w:rsid w:val="00010093"/>
    <w:rsid w:val="000105A9"/>
    <w:rsid w:val="00010884"/>
    <w:rsid w:val="00010933"/>
    <w:rsid w:val="00010AAC"/>
    <w:rsid w:val="00010C44"/>
    <w:rsid w:val="00010F89"/>
    <w:rsid w:val="00010FED"/>
    <w:rsid w:val="000115DE"/>
    <w:rsid w:val="00011C29"/>
    <w:rsid w:val="00011E2D"/>
    <w:rsid w:val="00011F46"/>
    <w:rsid w:val="0001216C"/>
    <w:rsid w:val="000122F9"/>
    <w:rsid w:val="000125A5"/>
    <w:rsid w:val="000129AF"/>
    <w:rsid w:val="00012B96"/>
    <w:rsid w:val="00012D8C"/>
    <w:rsid w:val="000132FC"/>
    <w:rsid w:val="00013693"/>
    <w:rsid w:val="00013C91"/>
    <w:rsid w:val="00013DA1"/>
    <w:rsid w:val="0001465B"/>
    <w:rsid w:val="00014AD2"/>
    <w:rsid w:val="00014FCC"/>
    <w:rsid w:val="000152AC"/>
    <w:rsid w:val="00015D4B"/>
    <w:rsid w:val="00015E96"/>
    <w:rsid w:val="000160DB"/>
    <w:rsid w:val="0001616D"/>
    <w:rsid w:val="000165C3"/>
    <w:rsid w:val="00016644"/>
    <w:rsid w:val="00016883"/>
    <w:rsid w:val="00016985"/>
    <w:rsid w:val="00016C70"/>
    <w:rsid w:val="000171BF"/>
    <w:rsid w:val="000177A1"/>
    <w:rsid w:val="00017877"/>
    <w:rsid w:val="00017E78"/>
    <w:rsid w:val="00020166"/>
    <w:rsid w:val="000201B4"/>
    <w:rsid w:val="00020311"/>
    <w:rsid w:val="00020425"/>
    <w:rsid w:val="0002048A"/>
    <w:rsid w:val="00020B99"/>
    <w:rsid w:val="00020DD3"/>
    <w:rsid w:val="000214BC"/>
    <w:rsid w:val="00021616"/>
    <w:rsid w:val="000218C6"/>
    <w:rsid w:val="0002190D"/>
    <w:rsid w:val="00021933"/>
    <w:rsid w:val="00021BB3"/>
    <w:rsid w:val="000222C9"/>
    <w:rsid w:val="00022B34"/>
    <w:rsid w:val="00022FC9"/>
    <w:rsid w:val="0002313E"/>
    <w:rsid w:val="00023619"/>
    <w:rsid w:val="00023666"/>
    <w:rsid w:val="00023E9E"/>
    <w:rsid w:val="000242CC"/>
    <w:rsid w:val="00024C9C"/>
    <w:rsid w:val="00024DE5"/>
    <w:rsid w:val="00024F9A"/>
    <w:rsid w:val="000259EB"/>
    <w:rsid w:val="00026363"/>
    <w:rsid w:val="000265AE"/>
    <w:rsid w:val="000265EA"/>
    <w:rsid w:val="00026759"/>
    <w:rsid w:val="00026B4B"/>
    <w:rsid w:val="00026DC2"/>
    <w:rsid w:val="00026F37"/>
    <w:rsid w:val="00026F6C"/>
    <w:rsid w:val="000273C5"/>
    <w:rsid w:val="00027819"/>
    <w:rsid w:val="00027C95"/>
    <w:rsid w:val="000306FC"/>
    <w:rsid w:val="00030879"/>
    <w:rsid w:val="000308A1"/>
    <w:rsid w:val="00030A38"/>
    <w:rsid w:val="000310B2"/>
    <w:rsid w:val="00031519"/>
    <w:rsid w:val="00031F8D"/>
    <w:rsid w:val="00032486"/>
    <w:rsid w:val="000324D7"/>
    <w:rsid w:val="00032C87"/>
    <w:rsid w:val="00032E81"/>
    <w:rsid w:val="00033042"/>
    <w:rsid w:val="000332EC"/>
    <w:rsid w:val="000337A3"/>
    <w:rsid w:val="000343D3"/>
    <w:rsid w:val="00034788"/>
    <w:rsid w:val="00034E7A"/>
    <w:rsid w:val="00034F5A"/>
    <w:rsid w:val="00035122"/>
    <w:rsid w:val="0003528B"/>
    <w:rsid w:val="000356E2"/>
    <w:rsid w:val="00035984"/>
    <w:rsid w:val="0003638E"/>
    <w:rsid w:val="0003677B"/>
    <w:rsid w:val="00036D30"/>
    <w:rsid w:val="00036D45"/>
    <w:rsid w:val="00036DEA"/>
    <w:rsid w:val="00037076"/>
    <w:rsid w:val="0003729D"/>
    <w:rsid w:val="000372CF"/>
    <w:rsid w:val="00037489"/>
    <w:rsid w:val="000374E9"/>
    <w:rsid w:val="000378C2"/>
    <w:rsid w:val="000378DB"/>
    <w:rsid w:val="00037A6F"/>
    <w:rsid w:val="0004060B"/>
    <w:rsid w:val="000408B7"/>
    <w:rsid w:val="00040C5D"/>
    <w:rsid w:val="00040EB4"/>
    <w:rsid w:val="000411A2"/>
    <w:rsid w:val="00041236"/>
    <w:rsid w:val="00041432"/>
    <w:rsid w:val="00041613"/>
    <w:rsid w:val="00042313"/>
    <w:rsid w:val="00042673"/>
    <w:rsid w:val="000428C9"/>
    <w:rsid w:val="00042903"/>
    <w:rsid w:val="000430DE"/>
    <w:rsid w:val="000434BC"/>
    <w:rsid w:val="0004372C"/>
    <w:rsid w:val="00043804"/>
    <w:rsid w:val="00043941"/>
    <w:rsid w:val="00043A19"/>
    <w:rsid w:val="00044503"/>
    <w:rsid w:val="00044697"/>
    <w:rsid w:val="0004476E"/>
    <w:rsid w:val="00044BD5"/>
    <w:rsid w:val="00044E42"/>
    <w:rsid w:val="00046121"/>
    <w:rsid w:val="000462D4"/>
    <w:rsid w:val="0004675A"/>
    <w:rsid w:val="000471B2"/>
    <w:rsid w:val="000502CF"/>
    <w:rsid w:val="00050713"/>
    <w:rsid w:val="00050E4F"/>
    <w:rsid w:val="00050E5C"/>
    <w:rsid w:val="00051776"/>
    <w:rsid w:val="00051825"/>
    <w:rsid w:val="00051BFC"/>
    <w:rsid w:val="00051C8A"/>
    <w:rsid w:val="00051D5C"/>
    <w:rsid w:val="00051F93"/>
    <w:rsid w:val="00052454"/>
    <w:rsid w:val="0005252A"/>
    <w:rsid w:val="00052972"/>
    <w:rsid w:val="00052BB9"/>
    <w:rsid w:val="000532DD"/>
    <w:rsid w:val="00053360"/>
    <w:rsid w:val="00053416"/>
    <w:rsid w:val="00053A4B"/>
    <w:rsid w:val="00053ABD"/>
    <w:rsid w:val="00053C58"/>
    <w:rsid w:val="0005414F"/>
    <w:rsid w:val="00054156"/>
    <w:rsid w:val="00054AD4"/>
    <w:rsid w:val="00056024"/>
    <w:rsid w:val="0005625C"/>
    <w:rsid w:val="0005656D"/>
    <w:rsid w:val="00056D15"/>
    <w:rsid w:val="000573C3"/>
    <w:rsid w:val="000574CC"/>
    <w:rsid w:val="0005768A"/>
    <w:rsid w:val="00057902"/>
    <w:rsid w:val="00057C60"/>
    <w:rsid w:val="000602F5"/>
    <w:rsid w:val="000604BE"/>
    <w:rsid w:val="00060A7D"/>
    <w:rsid w:val="00060B52"/>
    <w:rsid w:val="00060B9F"/>
    <w:rsid w:val="00060BA2"/>
    <w:rsid w:val="000610B9"/>
    <w:rsid w:val="000612B4"/>
    <w:rsid w:val="000619BA"/>
    <w:rsid w:val="00062871"/>
    <w:rsid w:val="000634B5"/>
    <w:rsid w:val="00063BFA"/>
    <w:rsid w:val="000640F3"/>
    <w:rsid w:val="0006423F"/>
    <w:rsid w:val="00065A46"/>
    <w:rsid w:val="00065DD5"/>
    <w:rsid w:val="00065E35"/>
    <w:rsid w:val="000665F8"/>
    <w:rsid w:val="00066A4B"/>
    <w:rsid w:val="000671A0"/>
    <w:rsid w:val="00067221"/>
    <w:rsid w:val="00067248"/>
    <w:rsid w:val="00067A55"/>
    <w:rsid w:val="00067A5D"/>
    <w:rsid w:val="000700DC"/>
    <w:rsid w:val="0007014B"/>
    <w:rsid w:val="000703D8"/>
    <w:rsid w:val="000708EA"/>
    <w:rsid w:val="000712C2"/>
    <w:rsid w:val="00071367"/>
    <w:rsid w:val="0007152B"/>
    <w:rsid w:val="0007166A"/>
    <w:rsid w:val="00071948"/>
    <w:rsid w:val="00071AF3"/>
    <w:rsid w:val="00071DF4"/>
    <w:rsid w:val="000722CA"/>
    <w:rsid w:val="0007247D"/>
    <w:rsid w:val="00072A4A"/>
    <w:rsid w:val="000739E0"/>
    <w:rsid w:val="00073CD2"/>
    <w:rsid w:val="00074238"/>
    <w:rsid w:val="00074EF6"/>
    <w:rsid w:val="00075B86"/>
    <w:rsid w:val="00075CA8"/>
    <w:rsid w:val="00075DBE"/>
    <w:rsid w:val="000763F2"/>
    <w:rsid w:val="000764DD"/>
    <w:rsid w:val="000766B2"/>
    <w:rsid w:val="00076889"/>
    <w:rsid w:val="00076A79"/>
    <w:rsid w:val="00076B3F"/>
    <w:rsid w:val="00076CB4"/>
    <w:rsid w:val="00076CEC"/>
    <w:rsid w:val="00076F4D"/>
    <w:rsid w:val="000770EF"/>
    <w:rsid w:val="00077298"/>
    <w:rsid w:val="0007729D"/>
    <w:rsid w:val="00080053"/>
    <w:rsid w:val="00080082"/>
    <w:rsid w:val="0008082E"/>
    <w:rsid w:val="000809F5"/>
    <w:rsid w:val="00080B70"/>
    <w:rsid w:val="00080F94"/>
    <w:rsid w:val="0008140A"/>
    <w:rsid w:val="000821F2"/>
    <w:rsid w:val="00082701"/>
    <w:rsid w:val="00082CAC"/>
    <w:rsid w:val="000831F3"/>
    <w:rsid w:val="00083641"/>
    <w:rsid w:val="00083A32"/>
    <w:rsid w:val="00083AA2"/>
    <w:rsid w:val="00084151"/>
    <w:rsid w:val="000845D2"/>
    <w:rsid w:val="00084998"/>
    <w:rsid w:val="00084A9A"/>
    <w:rsid w:val="00084CB1"/>
    <w:rsid w:val="00084FE7"/>
    <w:rsid w:val="000850ED"/>
    <w:rsid w:val="00085436"/>
    <w:rsid w:val="00085565"/>
    <w:rsid w:val="00085CA0"/>
    <w:rsid w:val="00086400"/>
    <w:rsid w:val="000865A7"/>
    <w:rsid w:val="0008678B"/>
    <w:rsid w:val="00086C5B"/>
    <w:rsid w:val="00087260"/>
    <w:rsid w:val="00087BAC"/>
    <w:rsid w:val="00087CE5"/>
    <w:rsid w:val="00090075"/>
    <w:rsid w:val="000901E8"/>
    <w:rsid w:val="000909D4"/>
    <w:rsid w:val="00090C31"/>
    <w:rsid w:val="00090D68"/>
    <w:rsid w:val="0009129D"/>
    <w:rsid w:val="00091D81"/>
    <w:rsid w:val="00091E67"/>
    <w:rsid w:val="00092997"/>
    <w:rsid w:val="00092D25"/>
    <w:rsid w:val="00092F01"/>
    <w:rsid w:val="00093A55"/>
    <w:rsid w:val="00093AB0"/>
    <w:rsid w:val="00093DB2"/>
    <w:rsid w:val="00094034"/>
    <w:rsid w:val="0009422B"/>
    <w:rsid w:val="00094667"/>
    <w:rsid w:val="00094704"/>
    <w:rsid w:val="0009485C"/>
    <w:rsid w:val="00094C04"/>
    <w:rsid w:val="000953EE"/>
    <w:rsid w:val="00095469"/>
    <w:rsid w:val="000954BB"/>
    <w:rsid w:val="00095614"/>
    <w:rsid w:val="000959B0"/>
    <w:rsid w:val="0009623C"/>
    <w:rsid w:val="0009636C"/>
    <w:rsid w:val="00096503"/>
    <w:rsid w:val="000965DA"/>
    <w:rsid w:val="00096A20"/>
    <w:rsid w:val="00097178"/>
    <w:rsid w:val="000971A5"/>
    <w:rsid w:val="00097530"/>
    <w:rsid w:val="0009791B"/>
    <w:rsid w:val="000A0021"/>
    <w:rsid w:val="000A0054"/>
    <w:rsid w:val="000A043A"/>
    <w:rsid w:val="000A05EB"/>
    <w:rsid w:val="000A0772"/>
    <w:rsid w:val="000A07D4"/>
    <w:rsid w:val="000A08DB"/>
    <w:rsid w:val="000A0D39"/>
    <w:rsid w:val="000A101D"/>
    <w:rsid w:val="000A133D"/>
    <w:rsid w:val="000A1588"/>
    <w:rsid w:val="000A18C6"/>
    <w:rsid w:val="000A1A10"/>
    <w:rsid w:val="000A1FDC"/>
    <w:rsid w:val="000A2035"/>
    <w:rsid w:val="000A26A2"/>
    <w:rsid w:val="000A2A5F"/>
    <w:rsid w:val="000A2CD6"/>
    <w:rsid w:val="000A2F51"/>
    <w:rsid w:val="000A33BE"/>
    <w:rsid w:val="000A3522"/>
    <w:rsid w:val="000A35A4"/>
    <w:rsid w:val="000A37B1"/>
    <w:rsid w:val="000A44D4"/>
    <w:rsid w:val="000A4A35"/>
    <w:rsid w:val="000A4D82"/>
    <w:rsid w:val="000A4DB9"/>
    <w:rsid w:val="000A4DD8"/>
    <w:rsid w:val="000A4EE0"/>
    <w:rsid w:val="000A50DB"/>
    <w:rsid w:val="000A513C"/>
    <w:rsid w:val="000A548C"/>
    <w:rsid w:val="000A55B2"/>
    <w:rsid w:val="000A55C9"/>
    <w:rsid w:val="000A55E9"/>
    <w:rsid w:val="000A56B5"/>
    <w:rsid w:val="000A5991"/>
    <w:rsid w:val="000A6381"/>
    <w:rsid w:val="000A64D2"/>
    <w:rsid w:val="000A65A0"/>
    <w:rsid w:val="000A65C4"/>
    <w:rsid w:val="000A695B"/>
    <w:rsid w:val="000A6C23"/>
    <w:rsid w:val="000A6DB8"/>
    <w:rsid w:val="000A70EB"/>
    <w:rsid w:val="000A7176"/>
    <w:rsid w:val="000A7608"/>
    <w:rsid w:val="000A7739"/>
    <w:rsid w:val="000A7B51"/>
    <w:rsid w:val="000A7D71"/>
    <w:rsid w:val="000A7F85"/>
    <w:rsid w:val="000B004A"/>
    <w:rsid w:val="000B02C8"/>
    <w:rsid w:val="000B051A"/>
    <w:rsid w:val="000B07C0"/>
    <w:rsid w:val="000B0C46"/>
    <w:rsid w:val="000B0C4B"/>
    <w:rsid w:val="000B0F4C"/>
    <w:rsid w:val="000B17B9"/>
    <w:rsid w:val="000B2FC0"/>
    <w:rsid w:val="000B32B5"/>
    <w:rsid w:val="000B3D47"/>
    <w:rsid w:val="000B3E13"/>
    <w:rsid w:val="000B47BA"/>
    <w:rsid w:val="000B4DAC"/>
    <w:rsid w:val="000B51BB"/>
    <w:rsid w:val="000B59CB"/>
    <w:rsid w:val="000B5AC1"/>
    <w:rsid w:val="000B5B7C"/>
    <w:rsid w:val="000B5DE3"/>
    <w:rsid w:val="000B5E4A"/>
    <w:rsid w:val="000B6255"/>
    <w:rsid w:val="000B6301"/>
    <w:rsid w:val="000B64F6"/>
    <w:rsid w:val="000B65EE"/>
    <w:rsid w:val="000B6910"/>
    <w:rsid w:val="000B7042"/>
    <w:rsid w:val="000B7632"/>
    <w:rsid w:val="000C036C"/>
    <w:rsid w:val="000C043D"/>
    <w:rsid w:val="000C055F"/>
    <w:rsid w:val="000C0C01"/>
    <w:rsid w:val="000C123F"/>
    <w:rsid w:val="000C12F8"/>
    <w:rsid w:val="000C166E"/>
    <w:rsid w:val="000C1AE4"/>
    <w:rsid w:val="000C1EBF"/>
    <w:rsid w:val="000C263D"/>
    <w:rsid w:val="000C269E"/>
    <w:rsid w:val="000C299A"/>
    <w:rsid w:val="000C330A"/>
    <w:rsid w:val="000C3390"/>
    <w:rsid w:val="000C3827"/>
    <w:rsid w:val="000C3882"/>
    <w:rsid w:val="000C4032"/>
    <w:rsid w:val="000C440C"/>
    <w:rsid w:val="000C4914"/>
    <w:rsid w:val="000C4AFB"/>
    <w:rsid w:val="000C5199"/>
    <w:rsid w:val="000C590C"/>
    <w:rsid w:val="000C5B31"/>
    <w:rsid w:val="000C5C13"/>
    <w:rsid w:val="000C5C49"/>
    <w:rsid w:val="000C620E"/>
    <w:rsid w:val="000C65E9"/>
    <w:rsid w:val="000C75D6"/>
    <w:rsid w:val="000C782D"/>
    <w:rsid w:val="000C795E"/>
    <w:rsid w:val="000C79EF"/>
    <w:rsid w:val="000C7BB4"/>
    <w:rsid w:val="000C7C38"/>
    <w:rsid w:val="000D0160"/>
    <w:rsid w:val="000D01DB"/>
    <w:rsid w:val="000D0471"/>
    <w:rsid w:val="000D04B1"/>
    <w:rsid w:val="000D0656"/>
    <w:rsid w:val="000D09AF"/>
    <w:rsid w:val="000D0EF2"/>
    <w:rsid w:val="000D1986"/>
    <w:rsid w:val="000D1AAB"/>
    <w:rsid w:val="000D1B22"/>
    <w:rsid w:val="000D1DA0"/>
    <w:rsid w:val="000D2226"/>
    <w:rsid w:val="000D259F"/>
    <w:rsid w:val="000D2B3D"/>
    <w:rsid w:val="000D2B7F"/>
    <w:rsid w:val="000D319F"/>
    <w:rsid w:val="000D35CA"/>
    <w:rsid w:val="000D36F9"/>
    <w:rsid w:val="000D3881"/>
    <w:rsid w:val="000D3971"/>
    <w:rsid w:val="000D3CAE"/>
    <w:rsid w:val="000D3F3E"/>
    <w:rsid w:val="000D4677"/>
    <w:rsid w:val="000D46A5"/>
    <w:rsid w:val="000D49B7"/>
    <w:rsid w:val="000D4A94"/>
    <w:rsid w:val="000D4DCA"/>
    <w:rsid w:val="000D4F63"/>
    <w:rsid w:val="000D5045"/>
    <w:rsid w:val="000D5055"/>
    <w:rsid w:val="000D5611"/>
    <w:rsid w:val="000D5967"/>
    <w:rsid w:val="000D5AFF"/>
    <w:rsid w:val="000D5BDA"/>
    <w:rsid w:val="000D5EE9"/>
    <w:rsid w:val="000D604B"/>
    <w:rsid w:val="000D6482"/>
    <w:rsid w:val="000D64B2"/>
    <w:rsid w:val="000D663A"/>
    <w:rsid w:val="000D66AF"/>
    <w:rsid w:val="000D6B1B"/>
    <w:rsid w:val="000D6E87"/>
    <w:rsid w:val="000D73BF"/>
    <w:rsid w:val="000D73C9"/>
    <w:rsid w:val="000D7A6D"/>
    <w:rsid w:val="000D7F5B"/>
    <w:rsid w:val="000E0068"/>
    <w:rsid w:val="000E0402"/>
    <w:rsid w:val="000E11AB"/>
    <w:rsid w:val="000E1485"/>
    <w:rsid w:val="000E15AD"/>
    <w:rsid w:val="000E15D8"/>
    <w:rsid w:val="000E1770"/>
    <w:rsid w:val="000E1777"/>
    <w:rsid w:val="000E1D6D"/>
    <w:rsid w:val="000E20EC"/>
    <w:rsid w:val="000E2546"/>
    <w:rsid w:val="000E262A"/>
    <w:rsid w:val="000E263D"/>
    <w:rsid w:val="000E26B5"/>
    <w:rsid w:val="000E2945"/>
    <w:rsid w:val="000E2983"/>
    <w:rsid w:val="000E2BFA"/>
    <w:rsid w:val="000E2C17"/>
    <w:rsid w:val="000E2E35"/>
    <w:rsid w:val="000E2F22"/>
    <w:rsid w:val="000E2F8C"/>
    <w:rsid w:val="000E35EE"/>
    <w:rsid w:val="000E38AA"/>
    <w:rsid w:val="000E38DB"/>
    <w:rsid w:val="000E3A97"/>
    <w:rsid w:val="000E4946"/>
    <w:rsid w:val="000E4E7C"/>
    <w:rsid w:val="000E4F3E"/>
    <w:rsid w:val="000E5074"/>
    <w:rsid w:val="000E523B"/>
    <w:rsid w:val="000E5431"/>
    <w:rsid w:val="000E5A4D"/>
    <w:rsid w:val="000E5B5C"/>
    <w:rsid w:val="000E5F27"/>
    <w:rsid w:val="000E5F9A"/>
    <w:rsid w:val="000E5FBD"/>
    <w:rsid w:val="000E6055"/>
    <w:rsid w:val="000E66A4"/>
    <w:rsid w:val="000E6E08"/>
    <w:rsid w:val="000E760B"/>
    <w:rsid w:val="000E79F7"/>
    <w:rsid w:val="000F004C"/>
    <w:rsid w:val="000F01D0"/>
    <w:rsid w:val="000F0290"/>
    <w:rsid w:val="000F04C0"/>
    <w:rsid w:val="000F0977"/>
    <w:rsid w:val="000F09C7"/>
    <w:rsid w:val="000F09E7"/>
    <w:rsid w:val="000F0AB0"/>
    <w:rsid w:val="000F1017"/>
    <w:rsid w:val="000F1174"/>
    <w:rsid w:val="000F126B"/>
    <w:rsid w:val="000F1BF4"/>
    <w:rsid w:val="000F1D88"/>
    <w:rsid w:val="000F1F4A"/>
    <w:rsid w:val="000F1F61"/>
    <w:rsid w:val="000F2330"/>
    <w:rsid w:val="000F248F"/>
    <w:rsid w:val="000F2536"/>
    <w:rsid w:val="000F26E0"/>
    <w:rsid w:val="000F26E5"/>
    <w:rsid w:val="000F28D9"/>
    <w:rsid w:val="000F2BEC"/>
    <w:rsid w:val="000F31D1"/>
    <w:rsid w:val="000F3362"/>
    <w:rsid w:val="000F36CC"/>
    <w:rsid w:val="000F40D3"/>
    <w:rsid w:val="000F436A"/>
    <w:rsid w:val="000F46EF"/>
    <w:rsid w:val="000F47F5"/>
    <w:rsid w:val="000F4BBB"/>
    <w:rsid w:val="000F4D26"/>
    <w:rsid w:val="000F4F96"/>
    <w:rsid w:val="000F5519"/>
    <w:rsid w:val="000F59FB"/>
    <w:rsid w:val="000F5BBC"/>
    <w:rsid w:val="000F5E55"/>
    <w:rsid w:val="000F6093"/>
    <w:rsid w:val="000F6E1D"/>
    <w:rsid w:val="000F7075"/>
    <w:rsid w:val="000F73F8"/>
    <w:rsid w:val="000F7466"/>
    <w:rsid w:val="000F7BB5"/>
    <w:rsid w:val="000F7C2D"/>
    <w:rsid w:val="001004B8"/>
    <w:rsid w:val="00100571"/>
    <w:rsid w:val="00100DE6"/>
    <w:rsid w:val="00101215"/>
    <w:rsid w:val="001019D1"/>
    <w:rsid w:val="001019EE"/>
    <w:rsid w:val="00101A91"/>
    <w:rsid w:val="00101D82"/>
    <w:rsid w:val="001023F4"/>
    <w:rsid w:val="00102C41"/>
    <w:rsid w:val="001033CA"/>
    <w:rsid w:val="0010397A"/>
    <w:rsid w:val="00103B23"/>
    <w:rsid w:val="0010406C"/>
    <w:rsid w:val="001042E1"/>
    <w:rsid w:val="0010455D"/>
    <w:rsid w:val="00104626"/>
    <w:rsid w:val="001051AE"/>
    <w:rsid w:val="0010549D"/>
    <w:rsid w:val="00105D93"/>
    <w:rsid w:val="00105E61"/>
    <w:rsid w:val="00105FBE"/>
    <w:rsid w:val="001069A7"/>
    <w:rsid w:val="00106CF9"/>
    <w:rsid w:val="00106F7E"/>
    <w:rsid w:val="00107273"/>
    <w:rsid w:val="00107C8F"/>
    <w:rsid w:val="00107EEC"/>
    <w:rsid w:val="00110098"/>
    <w:rsid w:val="0011038E"/>
    <w:rsid w:val="0011087C"/>
    <w:rsid w:val="001110E6"/>
    <w:rsid w:val="0011132C"/>
    <w:rsid w:val="00112123"/>
    <w:rsid w:val="001121BB"/>
    <w:rsid w:val="0011224F"/>
    <w:rsid w:val="001129D8"/>
    <w:rsid w:val="00112B98"/>
    <w:rsid w:val="00112EDB"/>
    <w:rsid w:val="00113639"/>
    <w:rsid w:val="0011371C"/>
    <w:rsid w:val="00113868"/>
    <w:rsid w:val="00113A48"/>
    <w:rsid w:val="00114244"/>
    <w:rsid w:val="0011429D"/>
    <w:rsid w:val="00114377"/>
    <w:rsid w:val="0011445D"/>
    <w:rsid w:val="001156B1"/>
    <w:rsid w:val="00116264"/>
    <w:rsid w:val="00116B56"/>
    <w:rsid w:val="00116CE4"/>
    <w:rsid w:val="00117186"/>
    <w:rsid w:val="001176AC"/>
    <w:rsid w:val="00120092"/>
    <w:rsid w:val="001203D9"/>
    <w:rsid w:val="0012041B"/>
    <w:rsid w:val="001206D9"/>
    <w:rsid w:val="00120D59"/>
    <w:rsid w:val="00120E39"/>
    <w:rsid w:val="00120EFF"/>
    <w:rsid w:val="001215DB"/>
    <w:rsid w:val="001216FB"/>
    <w:rsid w:val="0012226C"/>
    <w:rsid w:val="0012253D"/>
    <w:rsid w:val="001226EE"/>
    <w:rsid w:val="00122721"/>
    <w:rsid w:val="00122803"/>
    <w:rsid w:val="001228D1"/>
    <w:rsid w:val="001230A0"/>
    <w:rsid w:val="0012327C"/>
    <w:rsid w:val="001243B3"/>
    <w:rsid w:val="001244D8"/>
    <w:rsid w:val="00124634"/>
    <w:rsid w:val="001252B3"/>
    <w:rsid w:val="001259B9"/>
    <w:rsid w:val="00126009"/>
    <w:rsid w:val="00126333"/>
    <w:rsid w:val="00126780"/>
    <w:rsid w:val="001267C9"/>
    <w:rsid w:val="001268C6"/>
    <w:rsid w:val="00126943"/>
    <w:rsid w:val="00127709"/>
    <w:rsid w:val="001300A4"/>
    <w:rsid w:val="0013044E"/>
    <w:rsid w:val="00130508"/>
    <w:rsid w:val="00130570"/>
    <w:rsid w:val="00130693"/>
    <w:rsid w:val="00130869"/>
    <w:rsid w:val="00130B14"/>
    <w:rsid w:val="00131119"/>
    <w:rsid w:val="00131788"/>
    <w:rsid w:val="00131794"/>
    <w:rsid w:val="00131C48"/>
    <w:rsid w:val="00131D4E"/>
    <w:rsid w:val="00131EA1"/>
    <w:rsid w:val="001320DB"/>
    <w:rsid w:val="0013242D"/>
    <w:rsid w:val="00132534"/>
    <w:rsid w:val="00132699"/>
    <w:rsid w:val="00132910"/>
    <w:rsid w:val="00132ECF"/>
    <w:rsid w:val="00132F7B"/>
    <w:rsid w:val="00132FA5"/>
    <w:rsid w:val="00133257"/>
    <w:rsid w:val="00133624"/>
    <w:rsid w:val="00133CEB"/>
    <w:rsid w:val="00134A88"/>
    <w:rsid w:val="00134C41"/>
    <w:rsid w:val="00134C51"/>
    <w:rsid w:val="00134D7C"/>
    <w:rsid w:val="001355B3"/>
    <w:rsid w:val="00135A21"/>
    <w:rsid w:val="00135DF8"/>
    <w:rsid w:val="0013609B"/>
    <w:rsid w:val="00136177"/>
    <w:rsid w:val="00136B86"/>
    <w:rsid w:val="001370F2"/>
    <w:rsid w:val="001371A9"/>
    <w:rsid w:val="0013769E"/>
    <w:rsid w:val="00137A24"/>
    <w:rsid w:val="00140026"/>
    <w:rsid w:val="001406CA"/>
    <w:rsid w:val="00140842"/>
    <w:rsid w:val="00140930"/>
    <w:rsid w:val="00140971"/>
    <w:rsid w:val="001417FF"/>
    <w:rsid w:val="001418C4"/>
    <w:rsid w:val="00141F25"/>
    <w:rsid w:val="00142974"/>
    <w:rsid w:val="001429D2"/>
    <w:rsid w:val="00142B46"/>
    <w:rsid w:val="00142F94"/>
    <w:rsid w:val="00143066"/>
    <w:rsid w:val="001434DD"/>
    <w:rsid w:val="00143797"/>
    <w:rsid w:val="00143F35"/>
    <w:rsid w:val="00144086"/>
    <w:rsid w:val="001442A7"/>
    <w:rsid w:val="00144787"/>
    <w:rsid w:val="00144DA4"/>
    <w:rsid w:val="001453D2"/>
    <w:rsid w:val="00145420"/>
    <w:rsid w:val="001455E9"/>
    <w:rsid w:val="001459BD"/>
    <w:rsid w:val="00145F74"/>
    <w:rsid w:val="001463DA"/>
    <w:rsid w:val="0014688E"/>
    <w:rsid w:val="001468F3"/>
    <w:rsid w:val="00146947"/>
    <w:rsid w:val="001470B2"/>
    <w:rsid w:val="001470BE"/>
    <w:rsid w:val="00147141"/>
    <w:rsid w:val="0014722D"/>
    <w:rsid w:val="00150D5C"/>
    <w:rsid w:val="001513B9"/>
    <w:rsid w:val="00151545"/>
    <w:rsid w:val="00151D0E"/>
    <w:rsid w:val="001528C0"/>
    <w:rsid w:val="001536B2"/>
    <w:rsid w:val="00153711"/>
    <w:rsid w:val="00153A19"/>
    <w:rsid w:val="00153CF2"/>
    <w:rsid w:val="00154959"/>
    <w:rsid w:val="00154D08"/>
    <w:rsid w:val="00155192"/>
    <w:rsid w:val="0015521B"/>
    <w:rsid w:val="00155688"/>
    <w:rsid w:val="00155B41"/>
    <w:rsid w:val="00155B79"/>
    <w:rsid w:val="00155D40"/>
    <w:rsid w:val="00156406"/>
    <w:rsid w:val="0015669A"/>
    <w:rsid w:val="001568D9"/>
    <w:rsid w:val="00156A0B"/>
    <w:rsid w:val="00156BC1"/>
    <w:rsid w:val="00156F56"/>
    <w:rsid w:val="0015701E"/>
    <w:rsid w:val="001571C1"/>
    <w:rsid w:val="00157A1B"/>
    <w:rsid w:val="00157A63"/>
    <w:rsid w:val="00157AEB"/>
    <w:rsid w:val="00157C8E"/>
    <w:rsid w:val="00157F04"/>
    <w:rsid w:val="00157FA1"/>
    <w:rsid w:val="001601BC"/>
    <w:rsid w:val="001601BD"/>
    <w:rsid w:val="00160C09"/>
    <w:rsid w:val="00160EA5"/>
    <w:rsid w:val="00161183"/>
    <w:rsid w:val="00161C0C"/>
    <w:rsid w:val="00162508"/>
    <w:rsid w:val="0016271B"/>
    <w:rsid w:val="00162B14"/>
    <w:rsid w:val="00162EBC"/>
    <w:rsid w:val="00162F60"/>
    <w:rsid w:val="0016336A"/>
    <w:rsid w:val="00163958"/>
    <w:rsid w:val="00163A5B"/>
    <w:rsid w:val="00164012"/>
    <w:rsid w:val="00164716"/>
    <w:rsid w:val="00165253"/>
    <w:rsid w:val="00165291"/>
    <w:rsid w:val="001652CC"/>
    <w:rsid w:val="00166097"/>
    <w:rsid w:val="00166E6D"/>
    <w:rsid w:val="00167022"/>
    <w:rsid w:val="0016755C"/>
    <w:rsid w:val="001678C9"/>
    <w:rsid w:val="00167959"/>
    <w:rsid w:val="00167D9B"/>
    <w:rsid w:val="00170701"/>
    <w:rsid w:val="00170AA5"/>
    <w:rsid w:val="00170B49"/>
    <w:rsid w:val="00170EAD"/>
    <w:rsid w:val="0017102C"/>
    <w:rsid w:val="0017126A"/>
    <w:rsid w:val="00171425"/>
    <w:rsid w:val="001717E4"/>
    <w:rsid w:val="00171872"/>
    <w:rsid w:val="00171A6E"/>
    <w:rsid w:val="00171EB1"/>
    <w:rsid w:val="00171F92"/>
    <w:rsid w:val="00171F9C"/>
    <w:rsid w:val="00172222"/>
    <w:rsid w:val="001726D4"/>
    <w:rsid w:val="0017284F"/>
    <w:rsid w:val="001728A0"/>
    <w:rsid w:val="001728B5"/>
    <w:rsid w:val="00172FA1"/>
    <w:rsid w:val="00173048"/>
    <w:rsid w:val="001731CB"/>
    <w:rsid w:val="001732E4"/>
    <w:rsid w:val="001734F3"/>
    <w:rsid w:val="001735DA"/>
    <w:rsid w:val="00173DFF"/>
    <w:rsid w:val="00174052"/>
    <w:rsid w:val="001745CE"/>
    <w:rsid w:val="001749AE"/>
    <w:rsid w:val="001750A0"/>
    <w:rsid w:val="001756C2"/>
    <w:rsid w:val="001766D2"/>
    <w:rsid w:val="00176799"/>
    <w:rsid w:val="001767D0"/>
    <w:rsid w:val="001768FA"/>
    <w:rsid w:val="00176CA0"/>
    <w:rsid w:val="00177229"/>
    <w:rsid w:val="00177398"/>
    <w:rsid w:val="0017749D"/>
    <w:rsid w:val="001778A7"/>
    <w:rsid w:val="001779D8"/>
    <w:rsid w:val="001805E8"/>
    <w:rsid w:val="00180653"/>
    <w:rsid w:val="00180E8D"/>
    <w:rsid w:val="001813B0"/>
    <w:rsid w:val="0018143D"/>
    <w:rsid w:val="00181549"/>
    <w:rsid w:val="00181581"/>
    <w:rsid w:val="001815FF"/>
    <w:rsid w:val="0018163C"/>
    <w:rsid w:val="0018170B"/>
    <w:rsid w:val="00181834"/>
    <w:rsid w:val="001818D8"/>
    <w:rsid w:val="0018239D"/>
    <w:rsid w:val="001825CC"/>
    <w:rsid w:val="00182653"/>
    <w:rsid w:val="001827CC"/>
    <w:rsid w:val="00182A46"/>
    <w:rsid w:val="00182FB0"/>
    <w:rsid w:val="001838C3"/>
    <w:rsid w:val="00183926"/>
    <w:rsid w:val="00183C76"/>
    <w:rsid w:val="00183D5F"/>
    <w:rsid w:val="00184205"/>
    <w:rsid w:val="0018426D"/>
    <w:rsid w:val="00184353"/>
    <w:rsid w:val="00184490"/>
    <w:rsid w:val="001844C6"/>
    <w:rsid w:val="001845EF"/>
    <w:rsid w:val="00184A15"/>
    <w:rsid w:val="00184B03"/>
    <w:rsid w:val="00184B7F"/>
    <w:rsid w:val="00184C98"/>
    <w:rsid w:val="00184F60"/>
    <w:rsid w:val="001857C4"/>
    <w:rsid w:val="00186186"/>
    <w:rsid w:val="00186B4F"/>
    <w:rsid w:val="00186F32"/>
    <w:rsid w:val="001874D7"/>
    <w:rsid w:val="00187B9E"/>
    <w:rsid w:val="00187CD4"/>
    <w:rsid w:val="00187D30"/>
    <w:rsid w:val="00187DA8"/>
    <w:rsid w:val="00187E86"/>
    <w:rsid w:val="00190CA8"/>
    <w:rsid w:val="00190D22"/>
    <w:rsid w:val="001910A0"/>
    <w:rsid w:val="001910A2"/>
    <w:rsid w:val="001910CA"/>
    <w:rsid w:val="00191188"/>
    <w:rsid w:val="001911BB"/>
    <w:rsid w:val="00191308"/>
    <w:rsid w:val="001915E8"/>
    <w:rsid w:val="001918C0"/>
    <w:rsid w:val="00192F5C"/>
    <w:rsid w:val="00193033"/>
    <w:rsid w:val="001930B8"/>
    <w:rsid w:val="00193BFB"/>
    <w:rsid w:val="00194013"/>
    <w:rsid w:val="00194207"/>
    <w:rsid w:val="0019421E"/>
    <w:rsid w:val="001942E7"/>
    <w:rsid w:val="001945C8"/>
    <w:rsid w:val="00194696"/>
    <w:rsid w:val="00194AAE"/>
    <w:rsid w:val="00194B60"/>
    <w:rsid w:val="00194DFF"/>
    <w:rsid w:val="00195185"/>
    <w:rsid w:val="001952F0"/>
    <w:rsid w:val="001954BE"/>
    <w:rsid w:val="00195698"/>
    <w:rsid w:val="001958DF"/>
    <w:rsid w:val="00195D19"/>
    <w:rsid w:val="00195E19"/>
    <w:rsid w:val="00195FB5"/>
    <w:rsid w:val="001969CF"/>
    <w:rsid w:val="001970D2"/>
    <w:rsid w:val="001973E8"/>
    <w:rsid w:val="0019756C"/>
    <w:rsid w:val="0019758F"/>
    <w:rsid w:val="001979AD"/>
    <w:rsid w:val="00197D54"/>
    <w:rsid w:val="001A092C"/>
    <w:rsid w:val="001A0A18"/>
    <w:rsid w:val="001A0FC3"/>
    <w:rsid w:val="001A10E0"/>
    <w:rsid w:val="001A110A"/>
    <w:rsid w:val="001A145D"/>
    <w:rsid w:val="001A1A70"/>
    <w:rsid w:val="001A1F2F"/>
    <w:rsid w:val="001A2415"/>
    <w:rsid w:val="001A24F4"/>
    <w:rsid w:val="001A2502"/>
    <w:rsid w:val="001A26B9"/>
    <w:rsid w:val="001A2A6C"/>
    <w:rsid w:val="001A30CD"/>
    <w:rsid w:val="001A3352"/>
    <w:rsid w:val="001A3695"/>
    <w:rsid w:val="001A38A5"/>
    <w:rsid w:val="001A3D97"/>
    <w:rsid w:val="001A405C"/>
    <w:rsid w:val="001A4521"/>
    <w:rsid w:val="001A4946"/>
    <w:rsid w:val="001A56B4"/>
    <w:rsid w:val="001A576D"/>
    <w:rsid w:val="001A5839"/>
    <w:rsid w:val="001A59BB"/>
    <w:rsid w:val="001A5AFD"/>
    <w:rsid w:val="001A5C2F"/>
    <w:rsid w:val="001A5D8A"/>
    <w:rsid w:val="001A63B0"/>
    <w:rsid w:val="001A6529"/>
    <w:rsid w:val="001A69E3"/>
    <w:rsid w:val="001A6B09"/>
    <w:rsid w:val="001A7351"/>
    <w:rsid w:val="001A74AD"/>
    <w:rsid w:val="001A7580"/>
    <w:rsid w:val="001A793F"/>
    <w:rsid w:val="001A7AA1"/>
    <w:rsid w:val="001A7BB1"/>
    <w:rsid w:val="001B017B"/>
    <w:rsid w:val="001B05B3"/>
    <w:rsid w:val="001B08FF"/>
    <w:rsid w:val="001B0ECE"/>
    <w:rsid w:val="001B0F74"/>
    <w:rsid w:val="001B0F9D"/>
    <w:rsid w:val="001B1992"/>
    <w:rsid w:val="001B1B2B"/>
    <w:rsid w:val="001B227B"/>
    <w:rsid w:val="001B25E0"/>
    <w:rsid w:val="001B25F4"/>
    <w:rsid w:val="001B2865"/>
    <w:rsid w:val="001B2A9F"/>
    <w:rsid w:val="001B2AD7"/>
    <w:rsid w:val="001B2D49"/>
    <w:rsid w:val="001B317D"/>
    <w:rsid w:val="001B32D1"/>
    <w:rsid w:val="001B330C"/>
    <w:rsid w:val="001B37CC"/>
    <w:rsid w:val="001B3F76"/>
    <w:rsid w:val="001B46B1"/>
    <w:rsid w:val="001B4F38"/>
    <w:rsid w:val="001B5853"/>
    <w:rsid w:val="001B5AE5"/>
    <w:rsid w:val="001B642C"/>
    <w:rsid w:val="001B6A94"/>
    <w:rsid w:val="001B6D41"/>
    <w:rsid w:val="001B6E7E"/>
    <w:rsid w:val="001B7354"/>
    <w:rsid w:val="001B763B"/>
    <w:rsid w:val="001B78AB"/>
    <w:rsid w:val="001B794C"/>
    <w:rsid w:val="001B7B3C"/>
    <w:rsid w:val="001B7E65"/>
    <w:rsid w:val="001C0387"/>
    <w:rsid w:val="001C0438"/>
    <w:rsid w:val="001C0CAB"/>
    <w:rsid w:val="001C11E6"/>
    <w:rsid w:val="001C145F"/>
    <w:rsid w:val="001C158E"/>
    <w:rsid w:val="001C1EA0"/>
    <w:rsid w:val="001C2489"/>
    <w:rsid w:val="001C2510"/>
    <w:rsid w:val="001C2788"/>
    <w:rsid w:val="001C2AA8"/>
    <w:rsid w:val="001C31C0"/>
    <w:rsid w:val="001C33A9"/>
    <w:rsid w:val="001C3876"/>
    <w:rsid w:val="001C3B90"/>
    <w:rsid w:val="001C40E3"/>
    <w:rsid w:val="001C4657"/>
    <w:rsid w:val="001C4CA4"/>
    <w:rsid w:val="001C5B28"/>
    <w:rsid w:val="001C5CA8"/>
    <w:rsid w:val="001C5E12"/>
    <w:rsid w:val="001C6978"/>
    <w:rsid w:val="001C70B8"/>
    <w:rsid w:val="001C7213"/>
    <w:rsid w:val="001C7D38"/>
    <w:rsid w:val="001D03D0"/>
    <w:rsid w:val="001D0732"/>
    <w:rsid w:val="001D092A"/>
    <w:rsid w:val="001D0A9E"/>
    <w:rsid w:val="001D0C1D"/>
    <w:rsid w:val="001D0E7B"/>
    <w:rsid w:val="001D1AB4"/>
    <w:rsid w:val="001D223D"/>
    <w:rsid w:val="001D2274"/>
    <w:rsid w:val="001D28FD"/>
    <w:rsid w:val="001D2A72"/>
    <w:rsid w:val="001D2D53"/>
    <w:rsid w:val="001D39F8"/>
    <w:rsid w:val="001D3B02"/>
    <w:rsid w:val="001D4ABA"/>
    <w:rsid w:val="001D54EC"/>
    <w:rsid w:val="001D5617"/>
    <w:rsid w:val="001D5D1A"/>
    <w:rsid w:val="001D5E3B"/>
    <w:rsid w:val="001D5FC7"/>
    <w:rsid w:val="001D60BC"/>
    <w:rsid w:val="001D6139"/>
    <w:rsid w:val="001D63D0"/>
    <w:rsid w:val="001D6998"/>
    <w:rsid w:val="001D6A43"/>
    <w:rsid w:val="001D6DE7"/>
    <w:rsid w:val="001D6F00"/>
    <w:rsid w:val="001D6FE4"/>
    <w:rsid w:val="001D704B"/>
    <w:rsid w:val="001D704C"/>
    <w:rsid w:val="001D78C3"/>
    <w:rsid w:val="001D7A27"/>
    <w:rsid w:val="001D7BB1"/>
    <w:rsid w:val="001D7F49"/>
    <w:rsid w:val="001E04BC"/>
    <w:rsid w:val="001E0850"/>
    <w:rsid w:val="001E085E"/>
    <w:rsid w:val="001E0A08"/>
    <w:rsid w:val="001E11F8"/>
    <w:rsid w:val="001E1DB7"/>
    <w:rsid w:val="001E1E00"/>
    <w:rsid w:val="001E1EEE"/>
    <w:rsid w:val="001E2412"/>
    <w:rsid w:val="001E2C00"/>
    <w:rsid w:val="001E3402"/>
    <w:rsid w:val="001E347E"/>
    <w:rsid w:val="001E3486"/>
    <w:rsid w:val="001E34F4"/>
    <w:rsid w:val="001E3629"/>
    <w:rsid w:val="001E38C1"/>
    <w:rsid w:val="001E3B3C"/>
    <w:rsid w:val="001E3E6C"/>
    <w:rsid w:val="001E43CC"/>
    <w:rsid w:val="001E48EA"/>
    <w:rsid w:val="001E4F13"/>
    <w:rsid w:val="001E4F5B"/>
    <w:rsid w:val="001E51A2"/>
    <w:rsid w:val="001E51BE"/>
    <w:rsid w:val="001E5584"/>
    <w:rsid w:val="001E580D"/>
    <w:rsid w:val="001E597E"/>
    <w:rsid w:val="001E5B66"/>
    <w:rsid w:val="001E628C"/>
    <w:rsid w:val="001E6421"/>
    <w:rsid w:val="001E6462"/>
    <w:rsid w:val="001E6674"/>
    <w:rsid w:val="001E6726"/>
    <w:rsid w:val="001E6C1E"/>
    <w:rsid w:val="001E6FAD"/>
    <w:rsid w:val="001E70EA"/>
    <w:rsid w:val="001E7100"/>
    <w:rsid w:val="001E7306"/>
    <w:rsid w:val="001E7360"/>
    <w:rsid w:val="001E7604"/>
    <w:rsid w:val="001E7A7E"/>
    <w:rsid w:val="001E7DE2"/>
    <w:rsid w:val="001E7E58"/>
    <w:rsid w:val="001F062D"/>
    <w:rsid w:val="001F0A72"/>
    <w:rsid w:val="001F0AFD"/>
    <w:rsid w:val="001F0B3C"/>
    <w:rsid w:val="001F0BE8"/>
    <w:rsid w:val="001F116E"/>
    <w:rsid w:val="001F12BF"/>
    <w:rsid w:val="001F130B"/>
    <w:rsid w:val="001F2096"/>
    <w:rsid w:val="001F23AC"/>
    <w:rsid w:val="001F2441"/>
    <w:rsid w:val="001F276F"/>
    <w:rsid w:val="001F2E2A"/>
    <w:rsid w:val="001F2FDB"/>
    <w:rsid w:val="001F302E"/>
    <w:rsid w:val="001F35E6"/>
    <w:rsid w:val="001F36AD"/>
    <w:rsid w:val="001F38D7"/>
    <w:rsid w:val="001F3933"/>
    <w:rsid w:val="001F4222"/>
    <w:rsid w:val="001F42BC"/>
    <w:rsid w:val="001F44D3"/>
    <w:rsid w:val="001F4765"/>
    <w:rsid w:val="001F4784"/>
    <w:rsid w:val="001F48E1"/>
    <w:rsid w:val="001F4B4D"/>
    <w:rsid w:val="001F5040"/>
    <w:rsid w:val="001F5051"/>
    <w:rsid w:val="001F568C"/>
    <w:rsid w:val="001F5BF9"/>
    <w:rsid w:val="001F5F7F"/>
    <w:rsid w:val="001F6070"/>
    <w:rsid w:val="001F618A"/>
    <w:rsid w:val="001F633D"/>
    <w:rsid w:val="001F6460"/>
    <w:rsid w:val="001F6826"/>
    <w:rsid w:val="001F6954"/>
    <w:rsid w:val="001F6AD3"/>
    <w:rsid w:val="001F6BF3"/>
    <w:rsid w:val="001F731A"/>
    <w:rsid w:val="001F7350"/>
    <w:rsid w:val="001F765F"/>
    <w:rsid w:val="001F797E"/>
    <w:rsid w:val="001F79DC"/>
    <w:rsid w:val="001F7D0D"/>
    <w:rsid w:val="001F7FF3"/>
    <w:rsid w:val="0020042B"/>
    <w:rsid w:val="00200E4B"/>
    <w:rsid w:val="00201271"/>
    <w:rsid w:val="00201D4B"/>
    <w:rsid w:val="00201F1C"/>
    <w:rsid w:val="00202546"/>
    <w:rsid w:val="0020269C"/>
    <w:rsid w:val="0020272B"/>
    <w:rsid w:val="00202925"/>
    <w:rsid w:val="00202D57"/>
    <w:rsid w:val="002030FC"/>
    <w:rsid w:val="00203E2C"/>
    <w:rsid w:val="00203E56"/>
    <w:rsid w:val="00203FA8"/>
    <w:rsid w:val="0020412D"/>
    <w:rsid w:val="0020445A"/>
    <w:rsid w:val="002045BB"/>
    <w:rsid w:val="002048EC"/>
    <w:rsid w:val="00204A30"/>
    <w:rsid w:val="00204CD5"/>
    <w:rsid w:val="00205165"/>
    <w:rsid w:val="0020554A"/>
    <w:rsid w:val="002057A9"/>
    <w:rsid w:val="002058C3"/>
    <w:rsid w:val="002058FB"/>
    <w:rsid w:val="00205D08"/>
    <w:rsid w:val="002070C6"/>
    <w:rsid w:val="002071BE"/>
    <w:rsid w:val="002071C2"/>
    <w:rsid w:val="0020731F"/>
    <w:rsid w:val="00207596"/>
    <w:rsid w:val="002077DB"/>
    <w:rsid w:val="00207E74"/>
    <w:rsid w:val="0021034B"/>
    <w:rsid w:val="002106CD"/>
    <w:rsid w:val="00210B5C"/>
    <w:rsid w:val="00210B8F"/>
    <w:rsid w:val="00210C96"/>
    <w:rsid w:val="00211075"/>
    <w:rsid w:val="0021122E"/>
    <w:rsid w:val="0021154B"/>
    <w:rsid w:val="00211B92"/>
    <w:rsid w:val="00211EC1"/>
    <w:rsid w:val="00212101"/>
    <w:rsid w:val="002125A1"/>
    <w:rsid w:val="002127D3"/>
    <w:rsid w:val="0021289A"/>
    <w:rsid w:val="00212B37"/>
    <w:rsid w:val="00213177"/>
    <w:rsid w:val="0021369C"/>
    <w:rsid w:val="00213728"/>
    <w:rsid w:val="00213B2D"/>
    <w:rsid w:val="00213D37"/>
    <w:rsid w:val="00213FE8"/>
    <w:rsid w:val="0021408E"/>
    <w:rsid w:val="00214138"/>
    <w:rsid w:val="002146AD"/>
    <w:rsid w:val="002146FB"/>
    <w:rsid w:val="0021508C"/>
    <w:rsid w:val="00215148"/>
    <w:rsid w:val="002155D1"/>
    <w:rsid w:val="00215749"/>
    <w:rsid w:val="00215C1F"/>
    <w:rsid w:val="00215E28"/>
    <w:rsid w:val="00216468"/>
    <w:rsid w:val="002167E2"/>
    <w:rsid w:val="00216AC5"/>
    <w:rsid w:val="002171E3"/>
    <w:rsid w:val="00217358"/>
    <w:rsid w:val="00217ADF"/>
    <w:rsid w:val="00220057"/>
    <w:rsid w:val="00220158"/>
    <w:rsid w:val="002204E7"/>
    <w:rsid w:val="00220E25"/>
    <w:rsid w:val="00221442"/>
    <w:rsid w:val="00221DBB"/>
    <w:rsid w:val="00221EB9"/>
    <w:rsid w:val="0022213D"/>
    <w:rsid w:val="002229DC"/>
    <w:rsid w:val="00222C08"/>
    <w:rsid w:val="00223035"/>
    <w:rsid w:val="00223DB0"/>
    <w:rsid w:val="002243E9"/>
    <w:rsid w:val="00224522"/>
    <w:rsid w:val="002247B9"/>
    <w:rsid w:val="002248FF"/>
    <w:rsid w:val="00224B32"/>
    <w:rsid w:val="00224DC8"/>
    <w:rsid w:val="00224FF5"/>
    <w:rsid w:val="00225275"/>
    <w:rsid w:val="0022541A"/>
    <w:rsid w:val="00226225"/>
    <w:rsid w:val="00226A73"/>
    <w:rsid w:val="00226BF6"/>
    <w:rsid w:val="00226DF3"/>
    <w:rsid w:val="00226E62"/>
    <w:rsid w:val="00227269"/>
    <w:rsid w:val="002272EE"/>
    <w:rsid w:val="002279CD"/>
    <w:rsid w:val="00230259"/>
    <w:rsid w:val="00230634"/>
    <w:rsid w:val="00230659"/>
    <w:rsid w:val="00230E05"/>
    <w:rsid w:val="00230E97"/>
    <w:rsid w:val="00230E98"/>
    <w:rsid w:val="0023112D"/>
    <w:rsid w:val="00231787"/>
    <w:rsid w:val="0023199F"/>
    <w:rsid w:val="002319A4"/>
    <w:rsid w:val="002319DA"/>
    <w:rsid w:val="00231A9F"/>
    <w:rsid w:val="00231CDD"/>
    <w:rsid w:val="00232060"/>
    <w:rsid w:val="002325E3"/>
    <w:rsid w:val="00232666"/>
    <w:rsid w:val="00232811"/>
    <w:rsid w:val="0023294F"/>
    <w:rsid w:val="00232D3E"/>
    <w:rsid w:val="002335A5"/>
    <w:rsid w:val="00233B50"/>
    <w:rsid w:val="00233E00"/>
    <w:rsid w:val="00233F84"/>
    <w:rsid w:val="00234338"/>
    <w:rsid w:val="0023469C"/>
    <w:rsid w:val="002346C9"/>
    <w:rsid w:val="002349C4"/>
    <w:rsid w:val="00234E4B"/>
    <w:rsid w:val="002353F9"/>
    <w:rsid w:val="00235455"/>
    <w:rsid w:val="00235599"/>
    <w:rsid w:val="00235C1E"/>
    <w:rsid w:val="00235EBC"/>
    <w:rsid w:val="00235F67"/>
    <w:rsid w:val="0023622A"/>
    <w:rsid w:val="0023624D"/>
    <w:rsid w:val="00236603"/>
    <w:rsid w:val="00236773"/>
    <w:rsid w:val="00236875"/>
    <w:rsid w:val="00236B98"/>
    <w:rsid w:val="00237133"/>
    <w:rsid w:val="0023778F"/>
    <w:rsid w:val="00237ED8"/>
    <w:rsid w:val="00240569"/>
    <w:rsid w:val="00240884"/>
    <w:rsid w:val="00241AE5"/>
    <w:rsid w:val="00241B5F"/>
    <w:rsid w:val="00242222"/>
    <w:rsid w:val="00242301"/>
    <w:rsid w:val="00242651"/>
    <w:rsid w:val="00242B4B"/>
    <w:rsid w:val="00242E9D"/>
    <w:rsid w:val="00242F9A"/>
    <w:rsid w:val="00243399"/>
    <w:rsid w:val="00243523"/>
    <w:rsid w:val="00243710"/>
    <w:rsid w:val="002438A6"/>
    <w:rsid w:val="002438E1"/>
    <w:rsid w:val="00243A45"/>
    <w:rsid w:val="00243AB5"/>
    <w:rsid w:val="00243ADC"/>
    <w:rsid w:val="00243D26"/>
    <w:rsid w:val="00244110"/>
    <w:rsid w:val="0024420F"/>
    <w:rsid w:val="0024432E"/>
    <w:rsid w:val="002448CB"/>
    <w:rsid w:val="00244D03"/>
    <w:rsid w:val="002450BC"/>
    <w:rsid w:val="002458B9"/>
    <w:rsid w:val="002458D7"/>
    <w:rsid w:val="00245F04"/>
    <w:rsid w:val="00246B48"/>
    <w:rsid w:val="00246CD9"/>
    <w:rsid w:val="00247121"/>
    <w:rsid w:val="0024798B"/>
    <w:rsid w:val="00247BDF"/>
    <w:rsid w:val="00247DAF"/>
    <w:rsid w:val="00247F3D"/>
    <w:rsid w:val="00250356"/>
    <w:rsid w:val="0025072F"/>
    <w:rsid w:val="002507A2"/>
    <w:rsid w:val="00250A5D"/>
    <w:rsid w:val="00250F3B"/>
    <w:rsid w:val="00251326"/>
    <w:rsid w:val="00251361"/>
    <w:rsid w:val="00251668"/>
    <w:rsid w:val="00251AD4"/>
    <w:rsid w:val="00251B5B"/>
    <w:rsid w:val="00251ED9"/>
    <w:rsid w:val="00252DEC"/>
    <w:rsid w:val="00252EA7"/>
    <w:rsid w:val="00252F95"/>
    <w:rsid w:val="00253042"/>
    <w:rsid w:val="002533C2"/>
    <w:rsid w:val="002533E6"/>
    <w:rsid w:val="00253B65"/>
    <w:rsid w:val="00253C6D"/>
    <w:rsid w:val="00253CEC"/>
    <w:rsid w:val="0025402C"/>
    <w:rsid w:val="0025414F"/>
    <w:rsid w:val="0025432C"/>
    <w:rsid w:val="00254A3D"/>
    <w:rsid w:val="00255133"/>
    <w:rsid w:val="00255476"/>
    <w:rsid w:val="0025562D"/>
    <w:rsid w:val="0025626B"/>
    <w:rsid w:val="0025626D"/>
    <w:rsid w:val="002564C9"/>
    <w:rsid w:val="00256560"/>
    <w:rsid w:val="00256624"/>
    <w:rsid w:val="00256828"/>
    <w:rsid w:val="00256949"/>
    <w:rsid w:val="002569F6"/>
    <w:rsid w:val="00257067"/>
    <w:rsid w:val="002570AD"/>
    <w:rsid w:val="00257265"/>
    <w:rsid w:val="00257339"/>
    <w:rsid w:val="002573B0"/>
    <w:rsid w:val="00257BE9"/>
    <w:rsid w:val="00257C4F"/>
    <w:rsid w:val="00257DAE"/>
    <w:rsid w:val="00257F30"/>
    <w:rsid w:val="002600A1"/>
    <w:rsid w:val="00260357"/>
    <w:rsid w:val="00260978"/>
    <w:rsid w:val="00260A5C"/>
    <w:rsid w:val="00260CB3"/>
    <w:rsid w:val="00260CE4"/>
    <w:rsid w:val="00260CED"/>
    <w:rsid w:val="00261289"/>
    <w:rsid w:val="002614D3"/>
    <w:rsid w:val="0026181D"/>
    <w:rsid w:val="00261C7F"/>
    <w:rsid w:val="0026232F"/>
    <w:rsid w:val="002624B4"/>
    <w:rsid w:val="0026258F"/>
    <w:rsid w:val="00262888"/>
    <w:rsid w:val="00262ACE"/>
    <w:rsid w:val="00262CC5"/>
    <w:rsid w:val="00262E7B"/>
    <w:rsid w:val="002630CF"/>
    <w:rsid w:val="00263A79"/>
    <w:rsid w:val="00263CF8"/>
    <w:rsid w:val="002640D3"/>
    <w:rsid w:val="0026418C"/>
    <w:rsid w:val="002642B2"/>
    <w:rsid w:val="00264DC5"/>
    <w:rsid w:val="0026550A"/>
    <w:rsid w:val="002657EE"/>
    <w:rsid w:val="00265B80"/>
    <w:rsid w:val="00265C0D"/>
    <w:rsid w:val="0026655E"/>
    <w:rsid w:val="00266860"/>
    <w:rsid w:val="00266998"/>
    <w:rsid w:val="002669F7"/>
    <w:rsid w:val="00267157"/>
    <w:rsid w:val="002671CE"/>
    <w:rsid w:val="0026756C"/>
    <w:rsid w:val="002676DE"/>
    <w:rsid w:val="00267794"/>
    <w:rsid w:val="00267B0B"/>
    <w:rsid w:val="00267EB8"/>
    <w:rsid w:val="0027011C"/>
    <w:rsid w:val="00270303"/>
    <w:rsid w:val="00270323"/>
    <w:rsid w:val="00270817"/>
    <w:rsid w:val="00270ADA"/>
    <w:rsid w:val="002715E9"/>
    <w:rsid w:val="0027194F"/>
    <w:rsid w:val="0027240B"/>
    <w:rsid w:val="0027259D"/>
    <w:rsid w:val="002725C1"/>
    <w:rsid w:val="00272932"/>
    <w:rsid w:val="00272A50"/>
    <w:rsid w:val="00272B05"/>
    <w:rsid w:val="00272C54"/>
    <w:rsid w:val="0027317D"/>
    <w:rsid w:val="00273530"/>
    <w:rsid w:val="00273810"/>
    <w:rsid w:val="0027394E"/>
    <w:rsid w:val="00274130"/>
    <w:rsid w:val="002743CC"/>
    <w:rsid w:val="00274C38"/>
    <w:rsid w:val="00274C3A"/>
    <w:rsid w:val="00274CC0"/>
    <w:rsid w:val="00274DB4"/>
    <w:rsid w:val="00274DED"/>
    <w:rsid w:val="00275582"/>
    <w:rsid w:val="002762EF"/>
    <w:rsid w:val="002774FF"/>
    <w:rsid w:val="00277537"/>
    <w:rsid w:val="0027759D"/>
    <w:rsid w:val="00277BDF"/>
    <w:rsid w:val="00277CC4"/>
    <w:rsid w:val="0028010C"/>
    <w:rsid w:val="002801C2"/>
    <w:rsid w:val="0028065E"/>
    <w:rsid w:val="00280CBA"/>
    <w:rsid w:val="00281319"/>
    <w:rsid w:val="00281720"/>
    <w:rsid w:val="00281C53"/>
    <w:rsid w:val="00281DCA"/>
    <w:rsid w:val="00281E10"/>
    <w:rsid w:val="002828C2"/>
    <w:rsid w:val="00283235"/>
    <w:rsid w:val="002835FE"/>
    <w:rsid w:val="00283610"/>
    <w:rsid w:val="00283EA9"/>
    <w:rsid w:val="00283F74"/>
    <w:rsid w:val="00284456"/>
    <w:rsid w:val="002849CA"/>
    <w:rsid w:val="00284B9E"/>
    <w:rsid w:val="00284C25"/>
    <w:rsid w:val="00284EBA"/>
    <w:rsid w:val="0028513C"/>
    <w:rsid w:val="002857C7"/>
    <w:rsid w:val="002857D1"/>
    <w:rsid w:val="00285D97"/>
    <w:rsid w:val="00286277"/>
    <w:rsid w:val="00286A2E"/>
    <w:rsid w:val="00286CD6"/>
    <w:rsid w:val="00287436"/>
    <w:rsid w:val="00287939"/>
    <w:rsid w:val="00290671"/>
    <w:rsid w:val="0029080F"/>
    <w:rsid w:val="00290A65"/>
    <w:rsid w:val="00290AE1"/>
    <w:rsid w:val="00290E0A"/>
    <w:rsid w:val="0029117F"/>
    <w:rsid w:val="002913EF"/>
    <w:rsid w:val="00291712"/>
    <w:rsid w:val="00291F4F"/>
    <w:rsid w:val="00292442"/>
    <w:rsid w:val="002924BF"/>
    <w:rsid w:val="0029368B"/>
    <w:rsid w:val="002936C2"/>
    <w:rsid w:val="00293883"/>
    <w:rsid w:val="00293A4C"/>
    <w:rsid w:val="002942C8"/>
    <w:rsid w:val="00294898"/>
    <w:rsid w:val="002949F9"/>
    <w:rsid w:val="00295371"/>
    <w:rsid w:val="002953E2"/>
    <w:rsid w:val="0029587F"/>
    <w:rsid w:val="00295AD6"/>
    <w:rsid w:val="002962A3"/>
    <w:rsid w:val="0029652E"/>
    <w:rsid w:val="00296600"/>
    <w:rsid w:val="00296ABF"/>
    <w:rsid w:val="00296AC5"/>
    <w:rsid w:val="00296C8A"/>
    <w:rsid w:val="0029743C"/>
    <w:rsid w:val="00297C2D"/>
    <w:rsid w:val="00297FDB"/>
    <w:rsid w:val="00297FEC"/>
    <w:rsid w:val="002A03BA"/>
    <w:rsid w:val="002A0A44"/>
    <w:rsid w:val="002A1088"/>
    <w:rsid w:val="002A11B8"/>
    <w:rsid w:val="002A1538"/>
    <w:rsid w:val="002A1755"/>
    <w:rsid w:val="002A175E"/>
    <w:rsid w:val="002A17DA"/>
    <w:rsid w:val="002A1801"/>
    <w:rsid w:val="002A1929"/>
    <w:rsid w:val="002A1ACC"/>
    <w:rsid w:val="002A27AE"/>
    <w:rsid w:val="002A28CD"/>
    <w:rsid w:val="002A2C59"/>
    <w:rsid w:val="002A2D89"/>
    <w:rsid w:val="002A32BD"/>
    <w:rsid w:val="002A3613"/>
    <w:rsid w:val="002A39F6"/>
    <w:rsid w:val="002A3A34"/>
    <w:rsid w:val="002A3D3F"/>
    <w:rsid w:val="002A3E70"/>
    <w:rsid w:val="002A4431"/>
    <w:rsid w:val="002A458C"/>
    <w:rsid w:val="002A48F8"/>
    <w:rsid w:val="002A4E2C"/>
    <w:rsid w:val="002A51D7"/>
    <w:rsid w:val="002A53CF"/>
    <w:rsid w:val="002A574C"/>
    <w:rsid w:val="002A5C97"/>
    <w:rsid w:val="002A6AC3"/>
    <w:rsid w:val="002A6BAF"/>
    <w:rsid w:val="002A6E12"/>
    <w:rsid w:val="002A73A1"/>
    <w:rsid w:val="002A74C3"/>
    <w:rsid w:val="002A75A2"/>
    <w:rsid w:val="002A7C22"/>
    <w:rsid w:val="002A7D81"/>
    <w:rsid w:val="002B00CF"/>
    <w:rsid w:val="002B0634"/>
    <w:rsid w:val="002B0FCE"/>
    <w:rsid w:val="002B118F"/>
    <w:rsid w:val="002B1929"/>
    <w:rsid w:val="002B1CFA"/>
    <w:rsid w:val="002B23AC"/>
    <w:rsid w:val="002B23F8"/>
    <w:rsid w:val="002B3923"/>
    <w:rsid w:val="002B4081"/>
    <w:rsid w:val="002B40E3"/>
    <w:rsid w:val="002B4938"/>
    <w:rsid w:val="002B4A7C"/>
    <w:rsid w:val="002B5000"/>
    <w:rsid w:val="002B6B22"/>
    <w:rsid w:val="002B6C06"/>
    <w:rsid w:val="002B6D2E"/>
    <w:rsid w:val="002B7185"/>
    <w:rsid w:val="002B742D"/>
    <w:rsid w:val="002B78E8"/>
    <w:rsid w:val="002B790E"/>
    <w:rsid w:val="002B7B5A"/>
    <w:rsid w:val="002C02B3"/>
    <w:rsid w:val="002C03DA"/>
    <w:rsid w:val="002C0D92"/>
    <w:rsid w:val="002C0DC6"/>
    <w:rsid w:val="002C1903"/>
    <w:rsid w:val="002C19FC"/>
    <w:rsid w:val="002C27A4"/>
    <w:rsid w:val="002C2A4D"/>
    <w:rsid w:val="002C2A75"/>
    <w:rsid w:val="002C351C"/>
    <w:rsid w:val="002C37A5"/>
    <w:rsid w:val="002C3AEC"/>
    <w:rsid w:val="002C3F26"/>
    <w:rsid w:val="002C44E1"/>
    <w:rsid w:val="002C474C"/>
    <w:rsid w:val="002C5188"/>
    <w:rsid w:val="002C55A7"/>
    <w:rsid w:val="002C5AB4"/>
    <w:rsid w:val="002C5D9A"/>
    <w:rsid w:val="002C6858"/>
    <w:rsid w:val="002C687F"/>
    <w:rsid w:val="002C6AFA"/>
    <w:rsid w:val="002C6DD3"/>
    <w:rsid w:val="002C741B"/>
    <w:rsid w:val="002C76FE"/>
    <w:rsid w:val="002C7B17"/>
    <w:rsid w:val="002D10C1"/>
    <w:rsid w:val="002D11F9"/>
    <w:rsid w:val="002D1BB5"/>
    <w:rsid w:val="002D1DC1"/>
    <w:rsid w:val="002D21C9"/>
    <w:rsid w:val="002D2577"/>
    <w:rsid w:val="002D290D"/>
    <w:rsid w:val="002D2A40"/>
    <w:rsid w:val="002D2A80"/>
    <w:rsid w:val="002D2AB4"/>
    <w:rsid w:val="002D2C5D"/>
    <w:rsid w:val="002D2D1D"/>
    <w:rsid w:val="002D3016"/>
    <w:rsid w:val="002D3307"/>
    <w:rsid w:val="002D37FA"/>
    <w:rsid w:val="002D3986"/>
    <w:rsid w:val="002D4167"/>
    <w:rsid w:val="002D471C"/>
    <w:rsid w:val="002D4B23"/>
    <w:rsid w:val="002D4C03"/>
    <w:rsid w:val="002D4E5F"/>
    <w:rsid w:val="002D502D"/>
    <w:rsid w:val="002D5303"/>
    <w:rsid w:val="002D5415"/>
    <w:rsid w:val="002D57D5"/>
    <w:rsid w:val="002D57ED"/>
    <w:rsid w:val="002D5ACA"/>
    <w:rsid w:val="002D76C6"/>
    <w:rsid w:val="002D783F"/>
    <w:rsid w:val="002D7AA5"/>
    <w:rsid w:val="002D7AF5"/>
    <w:rsid w:val="002D7BCC"/>
    <w:rsid w:val="002E0379"/>
    <w:rsid w:val="002E03B0"/>
    <w:rsid w:val="002E04A7"/>
    <w:rsid w:val="002E04BD"/>
    <w:rsid w:val="002E0ED2"/>
    <w:rsid w:val="002E1116"/>
    <w:rsid w:val="002E1651"/>
    <w:rsid w:val="002E1A4D"/>
    <w:rsid w:val="002E1DB9"/>
    <w:rsid w:val="002E22BE"/>
    <w:rsid w:val="002E240F"/>
    <w:rsid w:val="002E3000"/>
    <w:rsid w:val="002E3090"/>
    <w:rsid w:val="002E34C5"/>
    <w:rsid w:val="002E34D9"/>
    <w:rsid w:val="002E35DF"/>
    <w:rsid w:val="002E368A"/>
    <w:rsid w:val="002E37F3"/>
    <w:rsid w:val="002E3829"/>
    <w:rsid w:val="002E3B71"/>
    <w:rsid w:val="002E3E0A"/>
    <w:rsid w:val="002E41D7"/>
    <w:rsid w:val="002E473D"/>
    <w:rsid w:val="002E47FA"/>
    <w:rsid w:val="002E4B8A"/>
    <w:rsid w:val="002E4E4D"/>
    <w:rsid w:val="002E4EC7"/>
    <w:rsid w:val="002E5266"/>
    <w:rsid w:val="002E5553"/>
    <w:rsid w:val="002E5644"/>
    <w:rsid w:val="002E5D33"/>
    <w:rsid w:val="002E5D62"/>
    <w:rsid w:val="002E5D7B"/>
    <w:rsid w:val="002E5E0C"/>
    <w:rsid w:val="002E5EAB"/>
    <w:rsid w:val="002E6414"/>
    <w:rsid w:val="002E6528"/>
    <w:rsid w:val="002E66A7"/>
    <w:rsid w:val="002E6E2B"/>
    <w:rsid w:val="002E7557"/>
    <w:rsid w:val="002E7AFE"/>
    <w:rsid w:val="002F0010"/>
    <w:rsid w:val="002F0074"/>
    <w:rsid w:val="002F0469"/>
    <w:rsid w:val="002F0502"/>
    <w:rsid w:val="002F0651"/>
    <w:rsid w:val="002F07A6"/>
    <w:rsid w:val="002F1417"/>
    <w:rsid w:val="002F17A0"/>
    <w:rsid w:val="002F19F4"/>
    <w:rsid w:val="002F1DD2"/>
    <w:rsid w:val="002F1E3D"/>
    <w:rsid w:val="002F2542"/>
    <w:rsid w:val="002F2B4A"/>
    <w:rsid w:val="002F3122"/>
    <w:rsid w:val="002F3731"/>
    <w:rsid w:val="002F3C31"/>
    <w:rsid w:val="002F41ED"/>
    <w:rsid w:val="002F45E8"/>
    <w:rsid w:val="002F5413"/>
    <w:rsid w:val="002F5510"/>
    <w:rsid w:val="002F55E1"/>
    <w:rsid w:val="002F5A6D"/>
    <w:rsid w:val="002F5D7F"/>
    <w:rsid w:val="002F6081"/>
    <w:rsid w:val="002F647B"/>
    <w:rsid w:val="002F647D"/>
    <w:rsid w:val="002F6D02"/>
    <w:rsid w:val="002F77F8"/>
    <w:rsid w:val="002F78E2"/>
    <w:rsid w:val="003009BF"/>
    <w:rsid w:val="00300A07"/>
    <w:rsid w:val="00300BB3"/>
    <w:rsid w:val="00300EFD"/>
    <w:rsid w:val="0030113D"/>
    <w:rsid w:val="00301647"/>
    <w:rsid w:val="0030192B"/>
    <w:rsid w:val="00301EFE"/>
    <w:rsid w:val="0030259D"/>
    <w:rsid w:val="0030287B"/>
    <w:rsid w:val="00302A0C"/>
    <w:rsid w:val="00302BE4"/>
    <w:rsid w:val="00302FD1"/>
    <w:rsid w:val="003035A3"/>
    <w:rsid w:val="00303696"/>
    <w:rsid w:val="00303B46"/>
    <w:rsid w:val="00303CD6"/>
    <w:rsid w:val="00304230"/>
    <w:rsid w:val="0030427C"/>
    <w:rsid w:val="0030444A"/>
    <w:rsid w:val="00304504"/>
    <w:rsid w:val="003047AB"/>
    <w:rsid w:val="00304941"/>
    <w:rsid w:val="003054FE"/>
    <w:rsid w:val="003060A8"/>
    <w:rsid w:val="0030632C"/>
    <w:rsid w:val="003077CC"/>
    <w:rsid w:val="003078C0"/>
    <w:rsid w:val="003079F9"/>
    <w:rsid w:val="0031041C"/>
    <w:rsid w:val="00310795"/>
    <w:rsid w:val="00310903"/>
    <w:rsid w:val="003109AD"/>
    <w:rsid w:val="003109E9"/>
    <w:rsid w:val="00310A49"/>
    <w:rsid w:val="00310D8A"/>
    <w:rsid w:val="00311302"/>
    <w:rsid w:val="003116D0"/>
    <w:rsid w:val="0031189E"/>
    <w:rsid w:val="00311993"/>
    <w:rsid w:val="00311EA1"/>
    <w:rsid w:val="003120DA"/>
    <w:rsid w:val="0031211F"/>
    <w:rsid w:val="00312186"/>
    <w:rsid w:val="0031221C"/>
    <w:rsid w:val="00312515"/>
    <w:rsid w:val="0031260A"/>
    <w:rsid w:val="0031266F"/>
    <w:rsid w:val="003127C4"/>
    <w:rsid w:val="00312875"/>
    <w:rsid w:val="003130E1"/>
    <w:rsid w:val="003134AD"/>
    <w:rsid w:val="00314618"/>
    <w:rsid w:val="003150A1"/>
    <w:rsid w:val="00315198"/>
    <w:rsid w:val="003154FD"/>
    <w:rsid w:val="003159F0"/>
    <w:rsid w:val="00315CE6"/>
    <w:rsid w:val="00315DC5"/>
    <w:rsid w:val="00316315"/>
    <w:rsid w:val="00316334"/>
    <w:rsid w:val="00316890"/>
    <w:rsid w:val="003169A2"/>
    <w:rsid w:val="00316DFD"/>
    <w:rsid w:val="00316EE4"/>
    <w:rsid w:val="00317014"/>
    <w:rsid w:val="0031725A"/>
    <w:rsid w:val="003172A7"/>
    <w:rsid w:val="00317D2D"/>
    <w:rsid w:val="003201EB"/>
    <w:rsid w:val="0032041A"/>
    <w:rsid w:val="00320BBE"/>
    <w:rsid w:val="00320F7A"/>
    <w:rsid w:val="003213BB"/>
    <w:rsid w:val="00321783"/>
    <w:rsid w:val="00321A79"/>
    <w:rsid w:val="00321D29"/>
    <w:rsid w:val="00321EA2"/>
    <w:rsid w:val="0032203B"/>
    <w:rsid w:val="00322CE9"/>
    <w:rsid w:val="00322FA4"/>
    <w:rsid w:val="00323110"/>
    <w:rsid w:val="00324384"/>
    <w:rsid w:val="0032446E"/>
    <w:rsid w:val="00324524"/>
    <w:rsid w:val="0032455E"/>
    <w:rsid w:val="0032478B"/>
    <w:rsid w:val="00324ED5"/>
    <w:rsid w:val="00324F2D"/>
    <w:rsid w:val="00325018"/>
    <w:rsid w:val="00325069"/>
    <w:rsid w:val="003250C1"/>
    <w:rsid w:val="003251E2"/>
    <w:rsid w:val="003258FE"/>
    <w:rsid w:val="0032590F"/>
    <w:rsid w:val="0032592F"/>
    <w:rsid w:val="00325A9E"/>
    <w:rsid w:val="00325C94"/>
    <w:rsid w:val="00325E0A"/>
    <w:rsid w:val="00326703"/>
    <w:rsid w:val="00326E64"/>
    <w:rsid w:val="003279FF"/>
    <w:rsid w:val="003306A2"/>
    <w:rsid w:val="00330C1E"/>
    <w:rsid w:val="00330D46"/>
    <w:rsid w:val="00331274"/>
    <w:rsid w:val="00331560"/>
    <w:rsid w:val="003315B8"/>
    <w:rsid w:val="00331622"/>
    <w:rsid w:val="00331625"/>
    <w:rsid w:val="00331931"/>
    <w:rsid w:val="00331AFA"/>
    <w:rsid w:val="00331B3C"/>
    <w:rsid w:val="00331B78"/>
    <w:rsid w:val="00332106"/>
    <w:rsid w:val="003322A5"/>
    <w:rsid w:val="00332BE9"/>
    <w:rsid w:val="00332C82"/>
    <w:rsid w:val="00332FDD"/>
    <w:rsid w:val="00332FF1"/>
    <w:rsid w:val="0033318F"/>
    <w:rsid w:val="003337C6"/>
    <w:rsid w:val="00333A15"/>
    <w:rsid w:val="00333B92"/>
    <w:rsid w:val="00333D85"/>
    <w:rsid w:val="0033440F"/>
    <w:rsid w:val="003347F7"/>
    <w:rsid w:val="0033499D"/>
    <w:rsid w:val="00334AF5"/>
    <w:rsid w:val="00335C29"/>
    <w:rsid w:val="0033628F"/>
    <w:rsid w:val="003377DD"/>
    <w:rsid w:val="00337868"/>
    <w:rsid w:val="00337920"/>
    <w:rsid w:val="00337CF7"/>
    <w:rsid w:val="003402E9"/>
    <w:rsid w:val="0034089C"/>
    <w:rsid w:val="003408F0"/>
    <w:rsid w:val="00340F88"/>
    <w:rsid w:val="00340F9C"/>
    <w:rsid w:val="00340FE3"/>
    <w:rsid w:val="0034151B"/>
    <w:rsid w:val="00341598"/>
    <w:rsid w:val="003416B7"/>
    <w:rsid w:val="00341847"/>
    <w:rsid w:val="00341854"/>
    <w:rsid w:val="00341D4C"/>
    <w:rsid w:val="00341DD5"/>
    <w:rsid w:val="00341F59"/>
    <w:rsid w:val="0034207F"/>
    <w:rsid w:val="003421AE"/>
    <w:rsid w:val="00342297"/>
    <w:rsid w:val="003425C3"/>
    <w:rsid w:val="00342837"/>
    <w:rsid w:val="00342926"/>
    <w:rsid w:val="00342997"/>
    <w:rsid w:val="00342A15"/>
    <w:rsid w:val="00343100"/>
    <w:rsid w:val="003436EB"/>
    <w:rsid w:val="00343CAB"/>
    <w:rsid w:val="00343F93"/>
    <w:rsid w:val="003441FA"/>
    <w:rsid w:val="00344738"/>
    <w:rsid w:val="0034494D"/>
    <w:rsid w:val="00344ABB"/>
    <w:rsid w:val="00344D70"/>
    <w:rsid w:val="0034547F"/>
    <w:rsid w:val="003465AE"/>
    <w:rsid w:val="00346ADF"/>
    <w:rsid w:val="003474EC"/>
    <w:rsid w:val="00347647"/>
    <w:rsid w:val="0034765B"/>
    <w:rsid w:val="00347812"/>
    <w:rsid w:val="00347F2B"/>
    <w:rsid w:val="00350146"/>
    <w:rsid w:val="0035068B"/>
    <w:rsid w:val="0035108A"/>
    <w:rsid w:val="003512E1"/>
    <w:rsid w:val="00351483"/>
    <w:rsid w:val="00351529"/>
    <w:rsid w:val="00351996"/>
    <w:rsid w:val="00351F9B"/>
    <w:rsid w:val="0035206E"/>
    <w:rsid w:val="003520C1"/>
    <w:rsid w:val="0035211D"/>
    <w:rsid w:val="003521E6"/>
    <w:rsid w:val="0035222F"/>
    <w:rsid w:val="0035249A"/>
    <w:rsid w:val="003525ED"/>
    <w:rsid w:val="00352CB0"/>
    <w:rsid w:val="00352ECA"/>
    <w:rsid w:val="003531C9"/>
    <w:rsid w:val="003539F1"/>
    <w:rsid w:val="003543EA"/>
    <w:rsid w:val="00354A7F"/>
    <w:rsid w:val="0035515C"/>
    <w:rsid w:val="00355443"/>
    <w:rsid w:val="003556BF"/>
    <w:rsid w:val="003557E3"/>
    <w:rsid w:val="00355826"/>
    <w:rsid w:val="003558F6"/>
    <w:rsid w:val="00355973"/>
    <w:rsid w:val="00355A51"/>
    <w:rsid w:val="00355A9F"/>
    <w:rsid w:val="00355CA8"/>
    <w:rsid w:val="00356026"/>
    <w:rsid w:val="003562ED"/>
    <w:rsid w:val="00356303"/>
    <w:rsid w:val="003563B4"/>
    <w:rsid w:val="003563D3"/>
    <w:rsid w:val="00356988"/>
    <w:rsid w:val="00356A79"/>
    <w:rsid w:val="00356CAC"/>
    <w:rsid w:val="00357018"/>
    <w:rsid w:val="00357186"/>
    <w:rsid w:val="00357216"/>
    <w:rsid w:val="0035743B"/>
    <w:rsid w:val="00357F74"/>
    <w:rsid w:val="0036046E"/>
    <w:rsid w:val="00360851"/>
    <w:rsid w:val="003609C1"/>
    <w:rsid w:val="00360A33"/>
    <w:rsid w:val="00360EA3"/>
    <w:rsid w:val="003611EC"/>
    <w:rsid w:val="0036126C"/>
    <w:rsid w:val="00361304"/>
    <w:rsid w:val="0036144C"/>
    <w:rsid w:val="00361503"/>
    <w:rsid w:val="00361695"/>
    <w:rsid w:val="00361ECA"/>
    <w:rsid w:val="0036200D"/>
    <w:rsid w:val="00362387"/>
    <w:rsid w:val="0036258B"/>
    <w:rsid w:val="0036268A"/>
    <w:rsid w:val="0036276B"/>
    <w:rsid w:val="00362815"/>
    <w:rsid w:val="00362912"/>
    <w:rsid w:val="00362A66"/>
    <w:rsid w:val="00362BBC"/>
    <w:rsid w:val="00363944"/>
    <w:rsid w:val="00363F9D"/>
    <w:rsid w:val="00364340"/>
    <w:rsid w:val="00364559"/>
    <w:rsid w:val="00364B3A"/>
    <w:rsid w:val="00364E8A"/>
    <w:rsid w:val="00365124"/>
    <w:rsid w:val="0036514F"/>
    <w:rsid w:val="0036547C"/>
    <w:rsid w:val="003657E2"/>
    <w:rsid w:val="00365B35"/>
    <w:rsid w:val="00365C68"/>
    <w:rsid w:val="00366439"/>
    <w:rsid w:val="003665FF"/>
    <w:rsid w:val="0036668B"/>
    <w:rsid w:val="0036693F"/>
    <w:rsid w:val="00366975"/>
    <w:rsid w:val="00366CF1"/>
    <w:rsid w:val="00366E1B"/>
    <w:rsid w:val="0036747C"/>
    <w:rsid w:val="003674B9"/>
    <w:rsid w:val="0036B500"/>
    <w:rsid w:val="00370000"/>
    <w:rsid w:val="0037036B"/>
    <w:rsid w:val="00370758"/>
    <w:rsid w:val="00370C5B"/>
    <w:rsid w:val="00370D72"/>
    <w:rsid w:val="00371168"/>
    <w:rsid w:val="003711EF"/>
    <w:rsid w:val="00371234"/>
    <w:rsid w:val="00371A7A"/>
    <w:rsid w:val="00371D7F"/>
    <w:rsid w:val="003727CD"/>
    <w:rsid w:val="00372E5A"/>
    <w:rsid w:val="00372FDC"/>
    <w:rsid w:val="003731E8"/>
    <w:rsid w:val="00373606"/>
    <w:rsid w:val="003738D0"/>
    <w:rsid w:val="00373C8A"/>
    <w:rsid w:val="0037444F"/>
    <w:rsid w:val="00374D16"/>
    <w:rsid w:val="003753F7"/>
    <w:rsid w:val="003756A1"/>
    <w:rsid w:val="00375A74"/>
    <w:rsid w:val="00375DE3"/>
    <w:rsid w:val="003763C4"/>
    <w:rsid w:val="00376FAE"/>
    <w:rsid w:val="0037727C"/>
    <w:rsid w:val="003773CD"/>
    <w:rsid w:val="00377592"/>
    <w:rsid w:val="00377B2B"/>
    <w:rsid w:val="00377E7E"/>
    <w:rsid w:val="00380146"/>
    <w:rsid w:val="003803CA"/>
    <w:rsid w:val="00380438"/>
    <w:rsid w:val="0038051D"/>
    <w:rsid w:val="00381379"/>
    <w:rsid w:val="00381523"/>
    <w:rsid w:val="00381835"/>
    <w:rsid w:val="00381A05"/>
    <w:rsid w:val="00381BAE"/>
    <w:rsid w:val="00381D74"/>
    <w:rsid w:val="00381F4B"/>
    <w:rsid w:val="0038245C"/>
    <w:rsid w:val="003824AA"/>
    <w:rsid w:val="003826E8"/>
    <w:rsid w:val="003827D6"/>
    <w:rsid w:val="003828BA"/>
    <w:rsid w:val="00382BD6"/>
    <w:rsid w:val="00383262"/>
    <w:rsid w:val="003833C7"/>
    <w:rsid w:val="00383533"/>
    <w:rsid w:val="00383FF6"/>
    <w:rsid w:val="003840B2"/>
    <w:rsid w:val="00384364"/>
    <w:rsid w:val="00384402"/>
    <w:rsid w:val="003845D9"/>
    <w:rsid w:val="003846C6"/>
    <w:rsid w:val="003846EE"/>
    <w:rsid w:val="00384ADF"/>
    <w:rsid w:val="00384B34"/>
    <w:rsid w:val="00385333"/>
    <w:rsid w:val="0038559E"/>
    <w:rsid w:val="00385CF5"/>
    <w:rsid w:val="00385CF8"/>
    <w:rsid w:val="00385E77"/>
    <w:rsid w:val="00386185"/>
    <w:rsid w:val="00387193"/>
    <w:rsid w:val="00387610"/>
    <w:rsid w:val="00387F48"/>
    <w:rsid w:val="00390404"/>
    <w:rsid w:val="00390554"/>
    <w:rsid w:val="00391319"/>
    <w:rsid w:val="00391FB8"/>
    <w:rsid w:val="003921B7"/>
    <w:rsid w:val="00392A5B"/>
    <w:rsid w:val="00392A66"/>
    <w:rsid w:val="00392E1D"/>
    <w:rsid w:val="003931F7"/>
    <w:rsid w:val="00393799"/>
    <w:rsid w:val="00393A64"/>
    <w:rsid w:val="00393B03"/>
    <w:rsid w:val="00393D05"/>
    <w:rsid w:val="00393D83"/>
    <w:rsid w:val="00393FAA"/>
    <w:rsid w:val="0039403D"/>
    <w:rsid w:val="0039415F"/>
    <w:rsid w:val="0039477E"/>
    <w:rsid w:val="003954A4"/>
    <w:rsid w:val="003954BF"/>
    <w:rsid w:val="0039556C"/>
    <w:rsid w:val="0039630E"/>
    <w:rsid w:val="003963A6"/>
    <w:rsid w:val="003965D7"/>
    <w:rsid w:val="00396D03"/>
    <w:rsid w:val="00396E97"/>
    <w:rsid w:val="003972DF"/>
    <w:rsid w:val="003975FB"/>
    <w:rsid w:val="0039788E"/>
    <w:rsid w:val="00397986"/>
    <w:rsid w:val="00397FD6"/>
    <w:rsid w:val="003A0C5C"/>
    <w:rsid w:val="003A111C"/>
    <w:rsid w:val="003A1569"/>
    <w:rsid w:val="003A1D61"/>
    <w:rsid w:val="003A2303"/>
    <w:rsid w:val="003A2B6F"/>
    <w:rsid w:val="003A2BFF"/>
    <w:rsid w:val="003A2FE3"/>
    <w:rsid w:val="003A32C6"/>
    <w:rsid w:val="003A3301"/>
    <w:rsid w:val="003A337D"/>
    <w:rsid w:val="003A3943"/>
    <w:rsid w:val="003A3ACA"/>
    <w:rsid w:val="003A3CD6"/>
    <w:rsid w:val="003A3D87"/>
    <w:rsid w:val="003A3D8A"/>
    <w:rsid w:val="003A3E80"/>
    <w:rsid w:val="003A3F2F"/>
    <w:rsid w:val="003A414F"/>
    <w:rsid w:val="003A4172"/>
    <w:rsid w:val="003A43E1"/>
    <w:rsid w:val="003A4666"/>
    <w:rsid w:val="003A49F6"/>
    <w:rsid w:val="003A4C58"/>
    <w:rsid w:val="003A4E33"/>
    <w:rsid w:val="003A50F0"/>
    <w:rsid w:val="003A5368"/>
    <w:rsid w:val="003A538F"/>
    <w:rsid w:val="003A6048"/>
    <w:rsid w:val="003A607D"/>
    <w:rsid w:val="003A60C9"/>
    <w:rsid w:val="003A675D"/>
    <w:rsid w:val="003A67C0"/>
    <w:rsid w:val="003A6D2B"/>
    <w:rsid w:val="003A7302"/>
    <w:rsid w:val="003A74F7"/>
    <w:rsid w:val="003A7710"/>
    <w:rsid w:val="003A7AFC"/>
    <w:rsid w:val="003A7D99"/>
    <w:rsid w:val="003A7E54"/>
    <w:rsid w:val="003A7E6D"/>
    <w:rsid w:val="003B00A5"/>
    <w:rsid w:val="003B08BD"/>
    <w:rsid w:val="003B0FCB"/>
    <w:rsid w:val="003B11A6"/>
    <w:rsid w:val="003B1238"/>
    <w:rsid w:val="003B12FE"/>
    <w:rsid w:val="003B170E"/>
    <w:rsid w:val="003B1865"/>
    <w:rsid w:val="003B1D62"/>
    <w:rsid w:val="003B1F9D"/>
    <w:rsid w:val="003B2223"/>
    <w:rsid w:val="003B2478"/>
    <w:rsid w:val="003B26EC"/>
    <w:rsid w:val="003B28BA"/>
    <w:rsid w:val="003B2C1B"/>
    <w:rsid w:val="003B2E0D"/>
    <w:rsid w:val="003B2F4B"/>
    <w:rsid w:val="003B3054"/>
    <w:rsid w:val="003B34EF"/>
    <w:rsid w:val="003B3A12"/>
    <w:rsid w:val="003B3C55"/>
    <w:rsid w:val="003B4110"/>
    <w:rsid w:val="003B443D"/>
    <w:rsid w:val="003B464F"/>
    <w:rsid w:val="003B4718"/>
    <w:rsid w:val="003B4750"/>
    <w:rsid w:val="003B48EA"/>
    <w:rsid w:val="003B4CDD"/>
    <w:rsid w:val="003B4DE4"/>
    <w:rsid w:val="003B4E9D"/>
    <w:rsid w:val="003B51CA"/>
    <w:rsid w:val="003B51DD"/>
    <w:rsid w:val="003B53BD"/>
    <w:rsid w:val="003B617C"/>
    <w:rsid w:val="003B6DEB"/>
    <w:rsid w:val="003B7034"/>
    <w:rsid w:val="003B712E"/>
    <w:rsid w:val="003B7157"/>
    <w:rsid w:val="003B71A1"/>
    <w:rsid w:val="003B74BE"/>
    <w:rsid w:val="003B75ED"/>
    <w:rsid w:val="003B7771"/>
    <w:rsid w:val="003B781C"/>
    <w:rsid w:val="003C072C"/>
    <w:rsid w:val="003C0D42"/>
    <w:rsid w:val="003C1391"/>
    <w:rsid w:val="003C14C7"/>
    <w:rsid w:val="003C1C46"/>
    <w:rsid w:val="003C1F69"/>
    <w:rsid w:val="003C2486"/>
    <w:rsid w:val="003C25F9"/>
    <w:rsid w:val="003C26DB"/>
    <w:rsid w:val="003C2B0C"/>
    <w:rsid w:val="003C2BDA"/>
    <w:rsid w:val="003C2C0D"/>
    <w:rsid w:val="003C2C66"/>
    <w:rsid w:val="003C2C67"/>
    <w:rsid w:val="003C300B"/>
    <w:rsid w:val="003C32ED"/>
    <w:rsid w:val="003C3666"/>
    <w:rsid w:val="003C3B57"/>
    <w:rsid w:val="003C3B6A"/>
    <w:rsid w:val="003C45D8"/>
    <w:rsid w:val="003C4C5C"/>
    <w:rsid w:val="003C51F6"/>
    <w:rsid w:val="003C572F"/>
    <w:rsid w:val="003C58F0"/>
    <w:rsid w:val="003C5915"/>
    <w:rsid w:val="003C5B88"/>
    <w:rsid w:val="003C5CBD"/>
    <w:rsid w:val="003C636D"/>
    <w:rsid w:val="003C6872"/>
    <w:rsid w:val="003C691E"/>
    <w:rsid w:val="003C69ED"/>
    <w:rsid w:val="003C713A"/>
    <w:rsid w:val="003C71E8"/>
    <w:rsid w:val="003C7595"/>
    <w:rsid w:val="003C75D1"/>
    <w:rsid w:val="003C7D07"/>
    <w:rsid w:val="003C7D60"/>
    <w:rsid w:val="003C7F50"/>
    <w:rsid w:val="003D02BD"/>
    <w:rsid w:val="003D0350"/>
    <w:rsid w:val="003D03DD"/>
    <w:rsid w:val="003D04D1"/>
    <w:rsid w:val="003D0CD5"/>
    <w:rsid w:val="003D10C5"/>
    <w:rsid w:val="003D1B95"/>
    <w:rsid w:val="003D1C92"/>
    <w:rsid w:val="003D2474"/>
    <w:rsid w:val="003D2616"/>
    <w:rsid w:val="003D2897"/>
    <w:rsid w:val="003D2B75"/>
    <w:rsid w:val="003D35BD"/>
    <w:rsid w:val="003D380D"/>
    <w:rsid w:val="003D3DB2"/>
    <w:rsid w:val="003D4029"/>
    <w:rsid w:val="003D41A3"/>
    <w:rsid w:val="003D41BB"/>
    <w:rsid w:val="003D429E"/>
    <w:rsid w:val="003D44EC"/>
    <w:rsid w:val="003D4A57"/>
    <w:rsid w:val="003D4B80"/>
    <w:rsid w:val="003D4CA8"/>
    <w:rsid w:val="003D4D9D"/>
    <w:rsid w:val="003D4F8B"/>
    <w:rsid w:val="003D511D"/>
    <w:rsid w:val="003D5307"/>
    <w:rsid w:val="003D53DB"/>
    <w:rsid w:val="003D62D2"/>
    <w:rsid w:val="003D66C9"/>
    <w:rsid w:val="003D6AE9"/>
    <w:rsid w:val="003D6C8C"/>
    <w:rsid w:val="003D70B4"/>
    <w:rsid w:val="003D70C8"/>
    <w:rsid w:val="003D719C"/>
    <w:rsid w:val="003D766F"/>
    <w:rsid w:val="003D7EA9"/>
    <w:rsid w:val="003E07D5"/>
    <w:rsid w:val="003E119C"/>
    <w:rsid w:val="003E1294"/>
    <w:rsid w:val="003E1A36"/>
    <w:rsid w:val="003E1B1B"/>
    <w:rsid w:val="003E1BAD"/>
    <w:rsid w:val="003E210E"/>
    <w:rsid w:val="003E26E7"/>
    <w:rsid w:val="003E329B"/>
    <w:rsid w:val="003E36BE"/>
    <w:rsid w:val="003E3845"/>
    <w:rsid w:val="003E396A"/>
    <w:rsid w:val="003E3A99"/>
    <w:rsid w:val="003E3D47"/>
    <w:rsid w:val="003E3F92"/>
    <w:rsid w:val="003E413E"/>
    <w:rsid w:val="003E4523"/>
    <w:rsid w:val="003E4809"/>
    <w:rsid w:val="003E48F1"/>
    <w:rsid w:val="003E5011"/>
    <w:rsid w:val="003E55A4"/>
    <w:rsid w:val="003E5A96"/>
    <w:rsid w:val="003E64B7"/>
    <w:rsid w:val="003E665A"/>
    <w:rsid w:val="003E6CEF"/>
    <w:rsid w:val="003E6F8C"/>
    <w:rsid w:val="003E781F"/>
    <w:rsid w:val="003E7911"/>
    <w:rsid w:val="003E792D"/>
    <w:rsid w:val="003E7C17"/>
    <w:rsid w:val="003F009A"/>
    <w:rsid w:val="003F03AF"/>
    <w:rsid w:val="003F03CC"/>
    <w:rsid w:val="003F0C6C"/>
    <w:rsid w:val="003F0E33"/>
    <w:rsid w:val="003F0E6A"/>
    <w:rsid w:val="003F0FD0"/>
    <w:rsid w:val="003F15FF"/>
    <w:rsid w:val="003F1961"/>
    <w:rsid w:val="003F1A29"/>
    <w:rsid w:val="003F1A32"/>
    <w:rsid w:val="003F1DFD"/>
    <w:rsid w:val="003F1ED4"/>
    <w:rsid w:val="003F2138"/>
    <w:rsid w:val="003F3506"/>
    <w:rsid w:val="003F3572"/>
    <w:rsid w:val="003F38A2"/>
    <w:rsid w:val="003F3A15"/>
    <w:rsid w:val="003F3A86"/>
    <w:rsid w:val="003F3BD7"/>
    <w:rsid w:val="003F3E02"/>
    <w:rsid w:val="003F3E49"/>
    <w:rsid w:val="003F3FCF"/>
    <w:rsid w:val="003F4515"/>
    <w:rsid w:val="003F4BFF"/>
    <w:rsid w:val="003F513B"/>
    <w:rsid w:val="003F5238"/>
    <w:rsid w:val="003F533D"/>
    <w:rsid w:val="003F5A35"/>
    <w:rsid w:val="003F5D3C"/>
    <w:rsid w:val="003F6637"/>
    <w:rsid w:val="003F6BDD"/>
    <w:rsid w:val="003F6C54"/>
    <w:rsid w:val="003F6D8A"/>
    <w:rsid w:val="003F6D8B"/>
    <w:rsid w:val="003F7829"/>
    <w:rsid w:val="003F782D"/>
    <w:rsid w:val="003F7AEF"/>
    <w:rsid w:val="003F7C1A"/>
    <w:rsid w:val="003F7D21"/>
    <w:rsid w:val="003F7EFB"/>
    <w:rsid w:val="00400915"/>
    <w:rsid w:val="00400B3D"/>
    <w:rsid w:val="004012A4"/>
    <w:rsid w:val="004013A3"/>
    <w:rsid w:val="004016B4"/>
    <w:rsid w:val="00401D16"/>
    <w:rsid w:val="0040236F"/>
    <w:rsid w:val="004024A9"/>
    <w:rsid w:val="004028D1"/>
    <w:rsid w:val="0040292D"/>
    <w:rsid w:val="00402A47"/>
    <w:rsid w:val="00402A80"/>
    <w:rsid w:val="00402CE5"/>
    <w:rsid w:val="004030D9"/>
    <w:rsid w:val="0040337A"/>
    <w:rsid w:val="004034E3"/>
    <w:rsid w:val="004039AC"/>
    <w:rsid w:val="00403CD1"/>
    <w:rsid w:val="00403D9C"/>
    <w:rsid w:val="00404021"/>
    <w:rsid w:val="0040415F"/>
    <w:rsid w:val="00404A98"/>
    <w:rsid w:val="00404DEE"/>
    <w:rsid w:val="00405A35"/>
    <w:rsid w:val="00407149"/>
    <w:rsid w:val="0040743E"/>
    <w:rsid w:val="00407501"/>
    <w:rsid w:val="0040777B"/>
    <w:rsid w:val="00407885"/>
    <w:rsid w:val="00407DBC"/>
    <w:rsid w:val="00407FD8"/>
    <w:rsid w:val="004100F3"/>
    <w:rsid w:val="0041118A"/>
    <w:rsid w:val="004112E9"/>
    <w:rsid w:val="0041156F"/>
    <w:rsid w:val="00411977"/>
    <w:rsid w:val="00411EC2"/>
    <w:rsid w:val="004126D1"/>
    <w:rsid w:val="00412D74"/>
    <w:rsid w:val="00412E11"/>
    <w:rsid w:val="00412F78"/>
    <w:rsid w:val="004130CA"/>
    <w:rsid w:val="0041312D"/>
    <w:rsid w:val="0041315F"/>
    <w:rsid w:val="004136A1"/>
    <w:rsid w:val="00413779"/>
    <w:rsid w:val="004138B1"/>
    <w:rsid w:val="00413BB0"/>
    <w:rsid w:val="00413E5E"/>
    <w:rsid w:val="00414766"/>
    <w:rsid w:val="0041498B"/>
    <w:rsid w:val="00414BA3"/>
    <w:rsid w:val="00414C7D"/>
    <w:rsid w:val="00414F4F"/>
    <w:rsid w:val="0041510A"/>
    <w:rsid w:val="0041596A"/>
    <w:rsid w:val="00415B60"/>
    <w:rsid w:val="00415D09"/>
    <w:rsid w:val="00416180"/>
    <w:rsid w:val="0041659B"/>
    <w:rsid w:val="00417039"/>
    <w:rsid w:val="00417275"/>
    <w:rsid w:val="00417333"/>
    <w:rsid w:val="004178B0"/>
    <w:rsid w:val="00417D70"/>
    <w:rsid w:val="00417EBE"/>
    <w:rsid w:val="0042087E"/>
    <w:rsid w:val="00420898"/>
    <w:rsid w:val="00420992"/>
    <w:rsid w:val="00420E17"/>
    <w:rsid w:val="00421038"/>
    <w:rsid w:val="0042103D"/>
    <w:rsid w:val="004219D4"/>
    <w:rsid w:val="00421F1C"/>
    <w:rsid w:val="00422017"/>
    <w:rsid w:val="0042285B"/>
    <w:rsid w:val="0042287E"/>
    <w:rsid w:val="004229A9"/>
    <w:rsid w:val="00422E75"/>
    <w:rsid w:val="00422E7C"/>
    <w:rsid w:val="00422FCF"/>
    <w:rsid w:val="004232CF"/>
    <w:rsid w:val="0042330C"/>
    <w:rsid w:val="0042365C"/>
    <w:rsid w:val="00423937"/>
    <w:rsid w:val="00423BC4"/>
    <w:rsid w:val="00423F06"/>
    <w:rsid w:val="00423F1F"/>
    <w:rsid w:val="0042404A"/>
    <w:rsid w:val="0042440D"/>
    <w:rsid w:val="004244CE"/>
    <w:rsid w:val="004247A7"/>
    <w:rsid w:val="00424A02"/>
    <w:rsid w:val="00424CA0"/>
    <w:rsid w:val="00424E17"/>
    <w:rsid w:val="00425065"/>
    <w:rsid w:val="0042518A"/>
    <w:rsid w:val="004253CE"/>
    <w:rsid w:val="004256CE"/>
    <w:rsid w:val="004257FB"/>
    <w:rsid w:val="0042583F"/>
    <w:rsid w:val="0042596B"/>
    <w:rsid w:val="00425FE5"/>
    <w:rsid w:val="00426153"/>
    <w:rsid w:val="004267E8"/>
    <w:rsid w:val="0042688A"/>
    <w:rsid w:val="0042690E"/>
    <w:rsid w:val="00426998"/>
    <w:rsid w:val="00426E5F"/>
    <w:rsid w:val="004279C1"/>
    <w:rsid w:val="00427A40"/>
    <w:rsid w:val="00427BEC"/>
    <w:rsid w:val="00427BF3"/>
    <w:rsid w:val="00427BFF"/>
    <w:rsid w:val="0043028C"/>
    <w:rsid w:val="00430988"/>
    <w:rsid w:val="00430B33"/>
    <w:rsid w:val="00430B81"/>
    <w:rsid w:val="00430F1D"/>
    <w:rsid w:val="00431A62"/>
    <w:rsid w:val="00431B86"/>
    <w:rsid w:val="00431C6C"/>
    <w:rsid w:val="00431D98"/>
    <w:rsid w:val="00431DBA"/>
    <w:rsid w:val="00432294"/>
    <w:rsid w:val="0043293F"/>
    <w:rsid w:val="00432A35"/>
    <w:rsid w:val="00432FC3"/>
    <w:rsid w:val="004335DB"/>
    <w:rsid w:val="00433B90"/>
    <w:rsid w:val="00433F43"/>
    <w:rsid w:val="00434289"/>
    <w:rsid w:val="004342DF"/>
    <w:rsid w:val="004343B1"/>
    <w:rsid w:val="00434BB6"/>
    <w:rsid w:val="0043564B"/>
    <w:rsid w:val="00435865"/>
    <w:rsid w:val="00435B48"/>
    <w:rsid w:val="00435BD7"/>
    <w:rsid w:val="00435C2B"/>
    <w:rsid w:val="00436175"/>
    <w:rsid w:val="00436A4A"/>
    <w:rsid w:val="00437284"/>
    <w:rsid w:val="004375D4"/>
    <w:rsid w:val="004377F6"/>
    <w:rsid w:val="00437842"/>
    <w:rsid w:val="0043788B"/>
    <w:rsid w:val="00437C9B"/>
    <w:rsid w:val="00437D44"/>
    <w:rsid w:val="00440237"/>
    <w:rsid w:val="004406DC"/>
    <w:rsid w:val="004407E8"/>
    <w:rsid w:val="00440F07"/>
    <w:rsid w:val="0044136A"/>
    <w:rsid w:val="0044145F"/>
    <w:rsid w:val="0044148B"/>
    <w:rsid w:val="004422E4"/>
    <w:rsid w:val="00442F6D"/>
    <w:rsid w:val="00443010"/>
    <w:rsid w:val="00443287"/>
    <w:rsid w:val="004435BE"/>
    <w:rsid w:val="00443804"/>
    <w:rsid w:val="004439CE"/>
    <w:rsid w:val="004439E2"/>
    <w:rsid w:val="00444054"/>
    <w:rsid w:val="00444122"/>
    <w:rsid w:val="004441A9"/>
    <w:rsid w:val="00444232"/>
    <w:rsid w:val="00444690"/>
    <w:rsid w:val="004447FB"/>
    <w:rsid w:val="004449D5"/>
    <w:rsid w:val="00444D80"/>
    <w:rsid w:val="00444F99"/>
    <w:rsid w:val="00445079"/>
    <w:rsid w:val="00445234"/>
    <w:rsid w:val="0044580A"/>
    <w:rsid w:val="00445CC6"/>
    <w:rsid w:val="00445F32"/>
    <w:rsid w:val="00445F77"/>
    <w:rsid w:val="0044611A"/>
    <w:rsid w:val="00446127"/>
    <w:rsid w:val="00446AF9"/>
    <w:rsid w:val="00446B9A"/>
    <w:rsid w:val="00446BE2"/>
    <w:rsid w:val="00446CF5"/>
    <w:rsid w:val="00446D52"/>
    <w:rsid w:val="00447BB2"/>
    <w:rsid w:val="00450832"/>
    <w:rsid w:val="00450A2A"/>
    <w:rsid w:val="00450E78"/>
    <w:rsid w:val="00451402"/>
    <w:rsid w:val="00451635"/>
    <w:rsid w:val="004516A6"/>
    <w:rsid w:val="00451C7B"/>
    <w:rsid w:val="004521BF"/>
    <w:rsid w:val="00452294"/>
    <w:rsid w:val="00452568"/>
    <w:rsid w:val="0045277F"/>
    <w:rsid w:val="0045298B"/>
    <w:rsid w:val="00452FF3"/>
    <w:rsid w:val="00453285"/>
    <w:rsid w:val="004532FF"/>
    <w:rsid w:val="00453399"/>
    <w:rsid w:val="004534ED"/>
    <w:rsid w:val="00453552"/>
    <w:rsid w:val="0045376B"/>
    <w:rsid w:val="0045444F"/>
    <w:rsid w:val="004544F2"/>
    <w:rsid w:val="004546C8"/>
    <w:rsid w:val="004547DD"/>
    <w:rsid w:val="00454BEE"/>
    <w:rsid w:val="004551B7"/>
    <w:rsid w:val="00455646"/>
    <w:rsid w:val="004558E5"/>
    <w:rsid w:val="00455994"/>
    <w:rsid w:val="00455B4F"/>
    <w:rsid w:val="00455B85"/>
    <w:rsid w:val="00456513"/>
    <w:rsid w:val="00456618"/>
    <w:rsid w:val="004566AE"/>
    <w:rsid w:val="0045682B"/>
    <w:rsid w:val="00456CB0"/>
    <w:rsid w:val="00456E6D"/>
    <w:rsid w:val="00456F3C"/>
    <w:rsid w:val="004571D9"/>
    <w:rsid w:val="004573A3"/>
    <w:rsid w:val="004578F6"/>
    <w:rsid w:val="00457963"/>
    <w:rsid w:val="0045796F"/>
    <w:rsid w:val="004608AD"/>
    <w:rsid w:val="00460B70"/>
    <w:rsid w:val="00460DB9"/>
    <w:rsid w:val="00460EB8"/>
    <w:rsid w:val="00461991"/>
    <w:rsid w:val="004620C7"/>
    <w:rsid w:val="00463BA8"/>
    <w:rsid w:val="00463CD4"/>
    <w:rsid w:val="00463D3E"/>
    <w:rsid w:val="00463E1E"/>
    <w:rsid w:val="0046413C"/>
    <w:rsid w:val="004642C9"/>
    <w:rsid w:val="00464435"/>
    <w:rsid w:val="004646F8"/>
    <w:rsid w:val="00464A44"/>
    <w:rsid w:val="00464B9C"/>
    <w:rsid w:val="00464BFB"/>
    <w:rsid w:val="0046505F"/>
    <w:rsid w:val="004651F5"/>
    <w:rsid w:val="004657FA"/>
    <w:rsid w:val="00465844"/>
    <w:rsid w:val="00465ABE"/>
    <w:rsid w:val="00466199"/>
    <w:rsid w:val="004662A2"/>
    <w:rsid w:val="004664F8"/>
    <w:rsid w:val="00466DA6"/>
    <w:rsid w:val="00466EEF"/>
    <w:rsid w:val="0046709B"/>
    <w:rsid w:val="0046773F"/>
    <w:rsid w:val="00467742"/>
    <w:rsid w:val="00467AFB"/>
    <w:rsid w:val="00467BE8"/>
    <w:rsid w:val="00467BF7"/>
    <w:rsid w:val="00467E10"/>
    <w:rsid w:val="00470355"/>
    <w:rsid w:val="004709DD"/>
    <w:rsid w:val="00470BB2"/>
    <w:rsid w:val="00471446"/>
    <w:rsid w:val="004719F9"/>
    <w:rsid w:val="004719FE"/>
    <w:rsid w:val="00472055"/>
    <w:rsid w:val="004720BF"/>
    <w:rsid w:val="00472DF2"/>
    <w:rsid w:val="00472EC8"/>
    <w:rsid w:val="00472F53"/>
    <w:rsid w:val="00473349"/>
    <w:rsid w:val="00473E66"/>
    <w:rsid w:val="004744DC"/>
    <w:rsid w:val="00474846"/>
    <w:rsid w:val="00474ACE"/>
    <w:rsid w:val="00474D1C"/>
    <w:rsid w:val="00474EA4"/>
    <w:rsid w:val="00474FAC"/>
    <w:rsid w:val="00475145"/>
    <w:rsid w:val="00475345"/>
    <w:rsid w:val="00475624"/>
    <w:rsid w:val="00475A8F"/>
    <w:rsid w:val="00475B44"/>
    <w:rsid w:val="00475C2D"/>
    <w:rsid w:val="00475C60"/>
    <w:rsid w:val="00475F2F"/>
    <w:rsid w:val="004761CC"/>
    <w:rsid w:val="00476673"/>
    <w:rsid w:val="00476987"/>
    <w:rsid w:val="004769E9"/>
    <w:rsid w:val="00476E95"/>
    <w:rsid w:val="0047704A"/>
    <w:rsid w:val="004771C1"/>
    <w:rsid w:val="0048028C"/>
    <w:rsid w:val="004814EE"/>
    <w:rsid w:val="004815F0"/>
    <w:rsid w:val="00481819"/>
    <w:rsid w:val="00481933"/>
    <w:rsid w:val="00481A08"/>
    <w:rsid w:val="004820A4"/>
    <w:rsid w:val="00482114"/>
    <w:rsid w:val="0048211C"/>
    <w:rsid w:val="00482331"/>
    <w:rsid w:val="004824D7"/>
    <w:rsid w:val="0048263F"/>
    <w:rsid w:val="00482642"/>
    <w:rsid w:val="00482C70"/>
    <w:rsid w:val="00482D14"/>
    <w:rsid w:val="004830E6"/>
    <w:rsid w:val="004832C8"/>
    <w:rsid w:val="0048370C"/>
    <w:rsid w:val="0048393C"/>
    <w:rsid w:val="0048479B"/>
    <w:rsid w:val="004849BF"/>
    <w:rsid w:val="00484C15"/>
    <w:rsid w:val="00484D7D"/>
    <w:rsid w:val="00484DE7"/>
    <w:rsid w:val="00484F7A"/>
    <w:rsid w:val="004851A9"/>
    <w:rsid w:val="00485690"/>
    <w:rsid w:val="00485885"/>
    <w:rsid w:val="00485CDB"/>
    <w:rsid w:val="0048667B"/>
    <w:rsid w:val="0048693A"/>
    <w:rsid w:val="00486BAE"/>
    <w:rsid w:val="00487817"/>
    <w:rsid w:val="004879FE"/>
    <w:rsid w:val="004902CA"/>
    <w:rsid w:val="00490510"/>
    <w:rsid w:val="004918EE"/>
    <w:rsid w:val="0049205D"/>
    <w:rsid w:val="004923FB"/>
    <w:rsid w:val="004934D3"/>
    <w:rsid w:val="00493620"/>
    <w:rsid w:val="0049389C"/>
    <w:rsid w:val="00494097"/>
    <w:rsid w:val="00494374"/>
    <w:rsid w:val="004943CC"/>
    <w:rsid w:val="00494963"/>
    <w:rsid w:val="00494D37"/>
    <w:rsid w:val="00494F0C"/>
    <w:rsid w:val="00495941"/>
    <w:rsid w:val="00495DF8"/>
    <w:rsid w:val="004968A0"/>
    <w:rsid w:val="0049710D"/>
    <w:rsid w:val="00497CD4"/>
    <w:rsid w:val="00497E74"/>
    <w:rsid w:val="004A01BF"/>
    <w:rsid w:val="004A03EA"/>
    <w:rsid w:val="004A0561"/>
    <w:rsid w:val="004A0623"/>
    <w:rsid w:val="004A0ACF"/>
    <w:rsid w:val="004A0EB5"/>
    <w:rsid w:val="004A11EE"/>
    <w:rsid w:val="004A1875"/>
    <w:rsid w:val="004A1C1F"/>
    <w:rsid w:val="004A206B"/>
    <w:rsid w:val="004A29FA"/>
    <w:rsid w:val="004A2AD0"/>
    <w:rsid w:val="004A2B8B"/>
    <w:rsid w:val="004A3053"/>
    <w:rsid w:val="004A30B4"/>
    <w:rsid w:val="004A329F"/>
    <w:rsid w:val="004A3369"/>
    <w:rsid w:val="004A34C0"/>
    <w:rsid w:val="004A3E7F"/>
    <w:rsid w:val="004A4087"/>
    <w:rsid w:val="004A41B8"/>
    <w:rsid w:val="004A4C92"/>
    <w:rsid w:val="004A4D43"/>
    <w:rsid w:val="004A5170"/>
    <w:rsid w:val="004A5CD0"/>
    <w:rsid w:val="004A6381"/>
    <w:rsid w:val="004A63C3"/>
    <w:rsid w:val="004A6569"/>
    <w:rsid w:val="004A666B"/>
    <w:rsid w:val="004A6946"/>
    <w:rsid w:val="004A6B48"/>
    <w:rsid w:val="004A7370"/>
    <w:rsid w:val="004A7632"/>
    <w:rsid w:val="004A7E6A"/>
    <w:rsid w:val="004B08C8"/>
    <w:rsid w:val="004B0F5D"/>
    <w:rsid w:val="004B1E98"/>
    <w:rsid w:val="004B21CC"/>
    <w:rsid w:val="004B244E"/>
    <w:rsid w:val="004B257F"/>
    <w:rsid w:val="004B26FF"/>
    <w:rsid w:val="004B2721"/>
    <w:rsid w:val="004B2751"/>
    <w:rsid w:val="004B2885"/>
    <w:rsid w:val="004B293A"/>
    <w:rsid w:val="004B2B2C"/>
    <w:rsid w:val="004B2CAD"/>
    <w:rsid w:val="004B314F"/>
    <w:rsid w:val="004B3AB5"/>
    <w:rsid w:val="004B3F8C"/>
    <w:rsid w:val="004B40AB"/>
    <w:rsid w:val="004B4664"/>
    <w:rsid w:val="004B471C"/>
    <w:rsid w:val="004B4762"/>
    <w:rsid w:val="004B47FB"/>
    <w:rsid w:val="004B4982"/>
    <w:rsid w:val="004B4AD7"/>
    <w:rsid w:val="004B4C20"/>
    <w:rsid w:val="004B4CE1"/>
    <w:rsid w:val="004B4D4A"/>
    <w:rsid w:val="004B5875"/>
    <w:rsid w:val="004B5992"/>
    <w:rsid w:val="004B59A9"/>
    <w:rsid w:val="004B5B2F"/>
    <w:rsid w:val="004B6350"/>
    <w:rsid w:val="004B652A"/>
    <w:rsid w:val="004B66AE"/>
    <w:rsid w:val="004B734F"/>
    <w:rsid w:val="004B74F5"/>
    <w:rsid w:val="004B76B7"/>
    <w:rsid w:val="004B7C6B"/>
    <w:rsid w:val="004B7D28"/>
    <w:rsid w:val="004C0208"/>
    <w:rsid w:val="004C04E3"/>
    <w:rsid w:val="004C0727"/>
    <w:rsid w:val="004C074C"/>
    <w:rsid w:val="004C0846"/>
    <w:rsid w:val="004C09A0"/>
    <w:rsid w:val="004C118A"/>
    <w:rsid w:val="004C11CD"/>
    <w:rsid w:val="004C1A10"/>
    <w:rsid w:val="004C1ACD"/>
    <w:rsid w:val="004C1EA2"/>
    <w:rsid w:val="004C2263"/>
    <w:rsid w:val="004C2DF8"/>
    <w:rsid w:val="004C2EC4"/>
    <w:rsid w:val="004C2F24"/>
    <w:rsid w:val="004C300E"/>
    <w:rsid w:val="004C32BE"/>
    <w:rsid w:val="004C3596"/>
    <w:rsid w:val="004C3607"/>
    <w:rsid w:val="004C373E"/>
    <w:rsid w:val="004C4381"/>
    <w:rsid w:val="004C509D"/>
    <w:rsid w:val="004C514E"/>
    <w:rsid w:val="004C60EE"/>
    <w:rsid w:val="004C630B"/>
    <w:rsid w:val="004C6494"/>
    <w:rsid w:val="004C66EB"/>
    <w:rsid w:val="004C6781"/>
    <w:rsid w:val="004C6BD5"/>
    <w:rsid w:val="004C6E0D"/>
    <w:rsid w:val="004C72B1"/>
    <w:rsid w:val="004C72D8"/>
    <w:rsid w:val="004C72DA"/>
    <w:rsid w:val="004C790B"/>
    <w:rsid w:val="004C7E99"/>
    <w:rsid w:val="004D0362"/>
    <w:rsid w:val="004D079B"/>
    <w:rsid w:val="004D085E"/>
    <w:rsid w:val="004D09C4"/>
    <w:rsid w:val="004D0D2A"/>
    <w:rsid w:val="004D0F17"/>
    <w:rsid w:val="004D123D"/>
    <w:rsid w:val="004D1343"/>
    <w:rsid w:val="004D1702"/>
    <w:rsid w:val="004D17F8"/>
    <w:rsid w:val="004D21B8"/>
    <w:rsid w:val="004D2389"/>
    <w:rsid w:val="004D2C49"/>
    <w:rsid w:val="004D3569"/>
    <w:rsid w:val="004D3ACE"/>
    <w:rsid w:val="004D3B5F"/>
    <w:rsid w:val="004D4288"/>
    <w:rsid w:val="004D4834"/>
    <w:rsid w:val="004D4E40"/>
    <w:rsid w:val="004D4EA5"/>
    <w:rsid w:val="004D4EE6"/>
    <w:rsid w:val="004D4F3B"/>
    <w:rsid w:val="004D5367"/>
    <w:rsid w:val="004D5429"/>
    <w:rsid w:val="004D54C2"/>
    <w:rsid w:val="004D5882"/>
    <w:rsid w:val="004D5AB7"/>
    <w:rsid w:val="004D5BD8"/>
    <w:rsid w:val="004D6310"/>
    <w:rsid w:val="004D64A8"/>
    <w:rsid w:val="004D6821"/>
    <w:rsid w:val="004D694E"/>
    <w:rsid w:val="004D730B"/>
    <w:rsid w:val="004E0399"/>
    <w:rsid w:val="004E04BD"/>
    <w:rsid w:val="004E08E2"/>
    <w:rsid w:val="004E0E3E"/>
    <w:rsid w:val="004E1C0A"/>
    <w:rsid w:val="004E1C27"/>
    <w:rsid w:val="004E1D87"/>
    <w:rsid w:val="004E218C"/>
    <w:rsid w:val="004E22A8"/>
    <w:rsid w:val="004E22C2"/>
    <w:rsid w:val="004E249D"/>
    <w:rsid w:val="004E25E1"/>
    <w:rsid w:val="004E27F9"/>
    <w:rsid w:val="004E283A"/>
    <w:rsid w:val="004E2CD0"/>
    <w:rsid w:val="004E2D60"/>
    <w:rsid w:val="004E2D82"/>
    <w:rsid w:val="004E2E7E"/>
    <w:rsid w:val="004E3504"/>
    <w:rsid w:val="004E4110"/>
    <w:rsid w:val="004E446C"/>
    <w:rsid w:val="004E507C"/>
    <w:rsid w:val="004E5195"/>
    <w:rsid w:val="004E5C67"/>
    <w:rsid w:val="004E5C72"/>
    <w:rsid w:val="004E60F4"/>
    <w:rsid w:val="004E664F"/>
    <w:rsid w:val="004E66A9"/>
    <w:rsid w:val="004E6734"/>
    <w:rsid w:val="004E6886"/>
    <w:rsid w:val="004E6EDB"/>
    <w:rsid w:val="004E7564"/>
    <w:rsid w:val="004E756D"/>
    <w:rsid w:val="004E78B5"/>
    <w:rsid w:val="004E7CF9"/>
    <w:rsid w:val="004F03F3"/>
    <w:rsid w:val="004F06F8"/>
    <w:rsid w:val="004F09E0"/>
    <w:rsid w:val="004F0F95"/>
    <w:rsid w:val="004F0FB3"/>
    <w:rsid w:val="004F1291"/>
    <w:rsid w:val="004F12E9"/>
    <w:rsid w:val="004F138A"/>
    <w:rsid w:val="004F1C43"/>
    <w:rsid w:val="004F1E91"/>
    <w:rsid w:val="004F2236"/>
    <w:rsid w:val="004F22E4"/>
    <w:rsid w:val="004F231E"/>
    <w:rsid w:val="004F3056"/>
    <w:rsid w:val="004F3449"/>
    <w:rsid w:val="004F353C"/>
    <w:rsid w:val="004F37CF"/>
    <w:rsid w:val="004F3BCC"/>
    <w:rsid w:val="004F3E71"/>
    <w:rsid w:val="004F4883"/>
    <w:rsid w:val="004F4B1F"/>
    <w:rsid w:val="004F4C72"/>
    <w:rsid w:val="004F4FD5"/>
    <w:rsid w:val="004F56CB"/>
    <w:rsid w:val="004F576E"/>
    <w:rsid w:val="004F5899"/>
    <w:rsid w:val="004F591A"/>
    <w:rsid w:val="004F5A79"/>
    <w:rsid w:val="004F5C66"/>
    <w:rsid w:val="004F6123"/>
    <w:rsid w:val="004F684A"/>
    <w:rsid w:val="004F6B8D"/>
    <w:rsid w:val="004F6FF1"/>
    <w:rsid w:val="004F71BD"/>
    <w:rsid w:val="004F7334"/>
    <w:rsid w:val="004F7842"/>
    <w:rsid w:val="004F7BAE"/>
    <w:rsid w:val="00500C17"/>
    <w:rsid w:val="00500C6B"/>
    <w:rsid w:val="00500FB7"/>
    <w:rsid w:val="005013E1"/>
    <w:rsid w:val="00501686"/>
    <w:rsid w:val="00501A25"/>
    <w:rsid w:val="00501C3E"/>
    <w:rsid w:val="00501D4D"/>
    <w:rsid w:val="0050214D"/>
    <w:rsid w:val="005021BD"/>
    <w:rsid w:val="00502212"/>
    <w:rsid w:val="0050257F"/>
    <w:rsid w:val="00502702"/>
    <w:rsid w:val="00502926"/>
    <w:rsid w:val="00502C10"/>
    <w:rsid w:val="00503295"/>
    <w:rsid w:val="00503ADC"/>
    <w:rsid w:val="00503B25"/>
    <w:rsid w:val="00503C7F"/>
    <w:rsid w:val="00503F05"/>
    <w:rsid w:val="00504037"/>
    <w:rsid w:val="005040D3"/>
    <w:rsid w:val="00504748"/>
    <w:rsid w:val="005047D7"/>
    <w:rsid w:val="0050508D"/>
    <w:rsid w:val="0050517C"/>
    <w:rsid w:val="00505291"/>
    <w:rsid w:val="00505437"/>
    <w:rsid w:val="00505E4F"/>
    <w:rsid w:val="00506408"/>
    <w:rsid w:val="0050672B"/>
    <w:rsid w:val="00506AC5"/>
    <w:rsid w:val="00506B38"/>
    <w:rsid w:val="005070FD"/>
    <w:rsid w:val="00507966"/>
    <w:rsid w:val="00507B7B"/>
    <w:rsid w:val="00507F8E"/>
    <w:rsid w:val="0051089B"/>
    <w:rsid w:val="00510E09"/>
    <w:rsid w:val="00511115"/>
    <w:rsid w:val="00511140"/>
    <w:rsid w:val="00511167"/>
    <w:rsid w:val="00511507"/>
    <w:rsid w:val="005115A1"/>
    <w:rsid w:val="0051166C"/>
    <w:rsid w:val="00511794"/>
    <w:rsid w:val="005118DC"/>
    <w:rsid w:val="00511B52"/>
    <w:rsid w:val="00511BC1"/>
    <w:rsid w:val="00511DD3"/>
    <w:rsid w:val="0051225F"/>
    <w:rsid w:val="005125B3"/>
    <w:rsid w:val="005128A6"/>
    <w:rsid w:val="005138FE"/>
    <w:rsid w:val="00513D22"/>
    <w:rsid w:val="00513FD9"/>
    <w:rsid w:val="00514FEC"/>
    <w:rsid w:val="00515018"/>
    <w:rsid w:val="005152CD"/>
    <w:rsid w:val="005154AC"/>
    <w:rsid w:val="0051556E"/>
    <w:rsid w:val="00515580"/>
    <w:rsid w:val="005158A5"/>
    <w:rsid w:val="00515F7A"/>
    <w:rsid w:val="005167B8"/>
    <w:rsid w:val="00516EC1"/>
    <w:rsid w:val="00517156"/>
    <w:rsid w:val="005172CF"/>
    <w:rsid w:val="005173A5"/>
    <w:rsid w:val="005173CC"/>
    <w:rsid w:val="00517891"/>
    <w:rsid w:val="0052127C"/>
    <w:rsid w:val="00521963"/>
    <w:rsid w:val="00521D99"/>
    <w:rsid w:val="00522521"/>
    <w:rsid w:val="00522D70"/>
    <w:rsid w:val="0052325A"/>
    <w:rsid w:val="00523377"/>
    <w:rsid w:val="00523523"/>
    <w:rsid w:val="0052354D"/>
    <w:rsid w:val="00523560"/>
    <w:rsid w:val="0052383B"/>
    <w:rsid w:val="00523DE2"/>
    <w:rsid w:val="00524102"/>
    <w:rsid w:val="00524A60"/>
    <w:rsid w:val="00524EFB"/>
    <w:rsid w:val="00524F13"/>
    <w:rsid w:val="0052505C"/>
    <w:rsid w:val="0052521D"/>
    <w:rsid w:val="00525264"/>
    <w:rsid w:val="00525495"/>
    <w:rsid w:val="005254C7"/>
    <w:rsid w:val="005255E4"/>
    <w:rsid w:val="0052564C"/>
    <w:rsid w:val="00525739"/>
    <w:rsid w:val="0052586B"/>
    <w:rsid w:val="00525A89"/>
    <w:rsid w:val="00526170"/>
    <w:rsid w:val="005263C0"/>
    <w:rsid w:val="005269A1"/>
    <w:rsid w:val="00526C5F"/>
    <w:rsid w:val="00526FB4"/>
    <w:rsid w:val="00527160"/>
    <w:rsid w:val="00530240"/>
    <w:rsid w:val="00530843"/>
    <w:rsid w:val="00530ED4"/>
    <w:rsid w:val="00530FDE"/>
    <w:rsid w:val="005310D1"/>
    <w:rsid w:val="00531179"/>
    <w:rsid w:val="00531931"/>
    <w:rsid w:val="00531B89"/>
    <w:rsid w:val="00531BE4"/>
    <w:rsid w:val="00531C6F"/>
    <w:rsid w:val="005322C3"/>
    <w:rsid w:val="00532360"/>
    <w:rsid w:val="0053274D"/>
    <w:rsid w:val="005327B9"/>
    <w:rsid w:val="00532965"/>
    <w:rsid w:val="005333AF"/>
    <w:rsid w:val="005334BA"/>
    <w:rsid w:val="00533541"/>
    <w:rsid w:val="005337DC"/>
    <w:rsid w:val="005338A0"/>
    <w:rsid w:val="00533E11"/>
    <w:rsid w:val="00533F48"/>
    <w:rsid w:val="0053478C"/>
    <w:rsid w:val="00534D81"/>
    <w:rsid w:val="00534DA9"/>
    <w:rsid w:val="00534DE5"/>
    <w:rsid w:val="00535239"/>
    <w:rsid w:val="005356BA"/>
    <w:rsid w:val="00535EC5"/>
    <w:rsid w:val="00536218"/>
    <w:rsid w:val="00536755"/>
    <w:rsid w:val="0053676E"/>
    <w:rsid w:val="00536B8E"/>
    <w:rsid w:val="00536CD1"/>
    <w:rsid w:val="00536DE9"/>
    <w:rsid w:val="0053703D"/>
    <w:rsid w:val="005370D3"/>
    <w:rsid w:val="005379DA"/>
    <w:rsid w:val="00537C89"/>
    <w:rsid w:val="00540B52"/>
    <w:rsid w:val="00540C07"/>
    <w:rsid w:val="00541204"/>
    <w:rsid w:val="0054178E"/>
    <w:rsid w:val="00542301"/>
    <w:rsid w:val="005423F5"/>
    <w:rsid w:val="0054271C"/>
    <w:rsid w:val="00542878"/>
    <w:rsid w:val="00542948"/>
    <w:rsid w:val="00542A8C"/>
    <w:rsid w:val="00542F38"/>
    <w:rsid w:val="00543087"/>
    <w:rsid w:val="005431EB"/>
    <w:rsid w:val="0054375D"/>
    <w:rsid w:val="00543B46"/>
    <w:rsid w:val="00543DF9"/>
    <w:rsid w:val="00544185"/>
    <w:rsid w:val="00544730"/>
    <w:rsid w:val="00544D97"/>
    <w:rsid w:val="00545252"/>
    <w:rsid w:val="00545DB1"/>
    <w:rsid w:val="00546234"/>
    <w:rsid w:val="00546448"/>
    <w:rsid w:val="00546588"/>
    <w:rsid w:val="00546597"/>
    <w:rsid w:val="00546BB4"/>
    <w:rsid w:val="005471BC"/>
    <w:rsid w:val="005471ED"/>
    <w:rsid w:val="00547F37"/>
    <w:rsid w:val="005501B0"/>
    <w:rsid w:val="00550650"/>
    <w:rsid w:val="0055066E"/>
    <w:rsid w:val="00551040"/>
    <w:rsid w:val="005510F1"/>
    <w:rsid w:val="00551386"/>
    <w:rsid w:val="005516A4"/>
    <w:rsid w:val="00552451"/>
    <w:rsid w:val="0055296E"/>
    <w:rsid w:val="0055303C"/>
    <w:rsid w:val="00553183"/>
    <w:rsid w:val="00553A14"/>
    <w:rsid w:val="00553AD9"/>
    <w:rsid w:val="00553BE9"/>
    <w:rsid w:val="00553C1A"/>
    <w:rsid w:val="0055417A"/>
    <w:rsid w:val="005542F0"/>
    <w:rsid w:val="005542F9"/>
    <w:rsid w:val="00554821"/>
    <w:rsid w:val="00554A12"/>
    <w:rsid w:val="00554EA2"/>
    <w:rsid w:val="00555230"/>
    <w:rsid w:val="005554C4"/>
    <w:rsid w:val="005559F2"/>
    <w:rsid w:val="00555BDA"/>
    <w:rsid w:val="00555E09"/>
    <w:rsid w:val="00556110"/>
    <w:rsid w:val="005567D1"/>
    <w:rsid w:val="0055696D"/>
    <w:rsid w:val="00556971"/>
    <w:rsid w:val="005569F3"/>
    <w:rsid w:val="00556EBA"/>
    <w:rsid w:val="00557982"/>
    <w:rsid w:val="00557BFC"/>
    <w:rsid w:val="00557CF6"/>
    <w:rsid w:val="00557F9D"/>
    <w:rsid w:val="00560120"/>
    <w:rsid w:val="00560158"/>
    <w:rsid w:val="005601B8"/>
    <w:rsid w:val="00560293"/>
    <w:rsid w:val="005602D1"/>
    <w:rsid w:val="005602D3"/>
    <w:rsid w:val="005604EE"/>
    <w:rsid w:val="005608E8"/>
    <w:rsid w:val="00560B95"/>
    <w:rsid w:val="00560CDC"/>
    <w:rsid w:val="00560F86"/>
    <w:rsid w:val="005612AD"/>
    <w:rsid w:val="00561367"/>
    <w:rsid w:val="005616CC"/>
    <w:rsid w:val="00561B79"/>
    <w:rsid w:val="00561D6F"/>
    <w:rsid w:val="00561E8C"/>
    <w:rsid w:val="00562042"/>
    <w:rsid w:val="00562580"/>
    <w:rsid w:val="00562588"/>
    <w:rsid w:val="0056276F"/>
    <w:rsid w:val="00562927"/>
    <w:rsid w:val="00562C57"/>
    <w:rsid w:val="00562CA3"/>
    <w:rsid w:val="00563970"/>
    <w:rsid w:val="00563C52"/>
    <w:rsid w:val="00563CDE"/>
    <w:rsid w:val="00564630"/>
    <w:rsid w:val="0056463E"/>
    <w:rsid w:val="005646A4"/>
    <w:rsid w:val="00564918"/>
    <w:rsid w:val="00564E42"/>
    <w:rsid w:val="00565168"/>
    <w:rsid w:val="005654D3"/>
    <w:rsid w:val="00565BAA"/>
    <w:rsid w:val="005664B7"/>
    <w:rsid w:val="00566A49"/>
    <w:rsid w:val="00566D20"/>
    <w:rsid w:val="00566D32"/>
    <w:rsid w:val="00566D74"/>
    <w:rsid w:val="00566E04"/>
    <w:rsid w:val="005672E9"/>
    <w:rsid w:val="005674BF"/>
    <w:rsid w:val="00567685"/>
    <w:rsid w:val="00567A21"/>
    <w:rsid w:val="00567BA7"/>
    <w:rsid w:val="00570307"/>
    <w:rsid w:val="005704F7"/>
    <w:rsid w:val="005713B9"/>
    <w:rsid w:val="0057162B"/>
    <w:rsid w:val="00571704"/>
    <w:rsid w:val="005717AF"/>
    <w:rsid w:val="00571A97"/>
    <w:rsid w:val="0057201D"/>
    <w:rsid w:val="00572047"/>
    <w:rsid w:val="00572099"/>
    <w:rsid w:val="00572246"/>
    <w:rsid w:val="005723B9"/>
    <w:rsid w:val="00572876"/>
    <w:rsid w:val="005728A2"/>
    <w:rsid w:val="00572C0E"/>
    <w:rsid w:val="00572EB1"/>
    <w:rsid w:val="00573621"/>
    <w:rsid w:val="00573C1F"/>
    <w:rsid w:val="00573E71"/>
    <w:rsid w:val="005744E1"/>
    <w:rsid w:val="00574726"/>
    <w:rsid w:val="00574950"/>
    <w:rsid w:val="00574BF5"/>
    <w:rsid w:val="00574F53"/>
    <w:rsid w:val="00575AA6"/>
    <w:rsid w:val="00575C80"/>
    <w:rsid w:val="00575DAA"/>
    <w:rsid w:val="0057600A"/>
    <w:rsid w:val="00576899"/>
    <w:rsid w:val="005771B8"/>
    <w:rsid w:val="005774A5"/>
    <w:rsid w:val="0057785B"/>
    <w:rsid w:val="00577A46"/>
    <w:rsid w:val="00577B81"/>
    <w:rsid w:val="00577F88"/>
    <w:rsid w:val="005802F4"/>
    <w:rsid w:val="005806D0"/>
    <w:rsid w:val="005808C1"/>
    <w:rsid w:val="00580D1B"/>
    <w:rsid w:val="00581003"/>
    <w:rsid w:val="0058110F"/>
    <w:rsid w:val="005811B8"/>
    <w:rsid w:val="00581213"/>
    <w:rsid w:val="00581F12"/>
    <w:rsid w:val="00581FC9"/>
    <w:rsid w:val="00581FED"/>
    <w:rsid w:val="005820CE"/>
    <w:rsid w:val="005822D3"/>
    <w:rsid w:val="00582406"/>
    <w:rsid w:val="005824BF"/>
    <w:rsid w:val="0058271A"/>
    <w:rsid w:val="00582B69"/>
    <w:rsid w:val="00582D1E"/>
    <w:rsid w:val="00582FBA"/>
    <w:rsid w:val="00583185"/>
    <w:rsid w:val="005836D5"/>
    <w:rsid w:val="005838B1"/>
    <w:rsid w:val="005838EF"/>
    <w:rsid w:val="00584218"/>
    <w:rsid w:val="0058438D"/>
    <w:rsid w:val="005843D3"/>
    <w:rsid w:val="0058466D"/>
    <w:rsid w:val="00584B55"/>
    <w:rsid w:val="00584C06"/>
    <w:rsid w:val="005853A3"/>
    <w:rsid w:val="00585E1E"/>
    <w:rsid w:val="00586041"/>
    <w:rsid w:val="0058629F"/>
    <w:rsid w:val="00586CFD"/>
    <w:rsid w:val="00586D73"/>
    <w:rsid w:val="005872CE"/>
    <w:rsid w:val="00587BF4"/>
    <w:rsid w:val="005906E8"/>
    <w:rsid w:val="00590BC6"/>
    <w:rsid w:val="00590F2E"/>
    <w:rsid w:val="00591195"/>
    <w:rsid w:val="00591381"/>
    <w:rsid w:val="005913E0"/>
    <w:rsid w:val="005916FB"/>
    <w:rsid w:val="00591BB6"/>
    <w:rsid w:val="00591DA1"/>
    <w:rsid w:val="00592556"/>
    <w:rsid w:val="005929B8"/>
    <w:rsid w:val="00592A35"/>
    <w:rsid w:val="00592C65"/>
    <w:rsid w:val="00592FF7"/>
    <w:rsid w:val="00593128"/>
    <w:rsid w:val="00593334"/>
    <w:rsid w:val="0059333F"/>
    <w:rsid w:val="0059378B"/>
    <w:rsid w:val="005937F7"/>
    <w:rsid w:val="00593EF8"/>
    <w:rsid w:val="00593F12"/>
    <w:rsid w:val="00594723"/>
    <w:rsid w:val="0059494E"/>
    <w:rsid w:val="00594B88"/>
    <w:rsid w:val="005950A1"/>
    <w:rsid w:val="00595475"/>
    <w:rsid w:val="0059548C"/>
    <w:rsid w:val="00595673"/>
    <w:rsid w:val="00595D1D"/>
    <w:rsid w:val="005960FD"/>
    <w:rsid w:val="005961F5"/>
    <w:rsid w:val="0059634F"/>
    <w:rsid w:val="00596A03"/>
    <w:rsid w:val="00596CF7"/>
    <w:rsid w:val="00596F6F"/>
    <w:rsid w:val="0059706F"/>
    <w:rsid w:val="00597505"/>
    <w:rsid w:val="00597652"/>
    <w:rsid w:val="00597959"/>
    <w:rsid w:val="00597C60"/>
    <w:rsid w:val="00597D70"/>
    <w:rsid w:val="005A018A"/>
    <w:rsid w:val="005A09FD"/>
    <w:rsid w:val="005A0B4A"/>
    <w:rsid w:val="005A135A"/>
    <w:rsid w:val="005A187B"/>
    <w:rsid w:val="005A1F41"/>
    <w:rsid w:val="005A201C"/>
    <w:rsid w:val="005A232B"/>
    <w:rsid w:val="005A23BC"/>
    <w:rsid w:val="005A2532"/>
    <w:rsid w:val="005A2B11"/>
    <w:rsid w:val="005A2CBC"/>
    <w:rsid w:val="005A2FCF"/>
    <w:rsid w:val="005A34DA"/>
    <w:rsid w:val="005A3616"/>
    <w:rsid w:val="005A46E2"/>
    <w:rsid w:val="005A4939"/>
    <w:rsid w:val="005A4C48"/>
    <w:rsid w:val="005A601A"/>
    <w:rsid w:val="005A606B"/>
    <w:rsid w:val="005A620D"/>
    <w:rsid w:val="005A6682"/>
    <w:rsid w:val="005A67D7"/>
    <w:rsid w:val="005A6DA6"/>
    <w:rsid w:val="005A7029"/>
    <w:rsid w:val="005A73B1"/>
    <w:rsid w:val="005A7E86"/>
    <w:rsid w:val="005B042D"/>
    <w:rsid w:val="005B152E"/>
    <w:rsid w:val="005B16FF"/>
    <w:rsid w:val="005B19D3"/>
    <w:rsid w:val="005B1AC3"/>
    <w:rsid w:val="005B1B50"/>
    <w:rsid w:val="005B22DE"/>
    <w:rsid w:val="005B272D"/>
    <w:rsid w:val="005B28A3"/>
    <w:rsid w:val="005B2E63"/>
    <w:rsid w:val="005B2EE0"/>
    <w:rsid w:val="005B30D6"/>
    <w:rsid w:val="005B3937"/>
    <w:rsid w:val="005B3BD8"/>
    <w:rsid w:val="005B3D8C"/>
    <w:rsid w:val="005B3F2A"/>
    <w:rsid w:val="005B3F3D"/>
    <w:rsid w:val="005B4214"/>
    <w:rsid w:val="005B42A5"/>
    <w:rsid w:val="005B42DD"/>
    <w:rsid w:val="005B4941"/>
    <w:rsid w:val="005B4D1C"/>
    <w:rsid w:val="005B4D2B"/>
    <w:rsid w:val="005B4F58"/>
    <w:rsid w:val="005B504D"/>
    <w:rsid w:val="005B507B"/>
    <w:rsid w:val="005B587B"/>
    <w:rsid w:val="005B58A3"/>
    <w:rsid w:val="005B5DA0"/>
    <w:rsid w:val="005B5EEA"/>
    <w:rsid w:val="005B6214"/>
    <w:rsid w:val="005B6842"/>
    <w:rsid w:val="005B6A3C"/>
    <w:rsid w:val="005B6B22"/>
    <w:rsid w:val="005B6BB3"/>
    <w:rsid w:val="005B6F0A"/>
    <w:rsid w:val="005B7ADC"/>
    <w:rsid w:val="005B7DD7"/>
    <w:rsid w:val="005B7EA3"/>
    <w:rsid w:val="005C04AB"/>
    <w:rsid w:val="005C0535"/>
    <w:rsid w:val="005C069F"/>
    <w:rsid w:val="005C0DAF"/>
    <w:rsid w:val="005C0FE4"/>
    <w:rsid w:val="005C135D"/>
    <w:rsid w:val="005C1E38"/>
    <w:rsid w:val="005C2245"/>
    <w:rsid w:val="005C2246"/>
    <w:rsid w:val="005C3AFE"/>
    <w:rsid w:val="005C3EF5"/>
    <w:rsid w:val="005C4759"/>
    <w:rsid w:val="005C4776"/>
    <w:rsid w:val="005C48BC"/>
    <w:rsid w:val="005C4A6F"/>
    <w:rsid w:val="005C4B58"/>
    <w:rsid w:val="005C50DC"/>
    <w:rsid w:val="005C5662"/>
    <w:rsid w:val="005C5700"/>
    <w:rsid w:val="005C5864"/>
    <w:rsid w:val="005C58E2"/>
    <w:rsid w:val="005C58FE"/>
    <w:rsid w:val="005C5CC3"/>
    <w:rsid w:val="005C5D64"/>
    <w:rsid w:val="005C63BB"/>
    <w:rsid w:val="005C6BDE"/>
    <w:rsid w:val="005C7591"/>
    <w:rsid w:val="005C7A6D"/>
    <w:rsid w:val="005C7E14"/>
    <w:rsid w:val="005C7F05"/>
    <w:rsid w:val="005D0130"/>
    <w:rsid w:val="005D0283"/>
    <w:rsid w:val="005D031C"/>
    <w:rsid w:val="005D04A8"/>
    <w:rsid w:val="005D099F"/>
    <w:rsid w:val="005D0C9F"/>
    <w:rsid w:val="005D135D"/>
    <w:rsid w:val="005D2075"/>
    <w:rsid w:val="005D21B8"/>
    <w:rsid w:val="005D2752"/>
    <w:rsid w:val="005D2ABE"/>
    <w:rsid w:val="005D304E"/>
    <w:rsid w:val="005D33E8"/>
    <w:rsid w:val="005D3792"/>
    <w:rsid w:val="005D3BC3"/>
    <w:rsid w:val="005D3F14"/>
    <w:rsid w:val="005D3FAE"/>
    <w:rsid w:val="005D4750"/>
    <w:rsid w:val="005D4A3D"/>
    <w:rsid w:val="005D5C8B"/>
    <w:rsid w:val="005D6548"/>
    <w:rsid w:val="005D6665"/>
    <w:rsid w:val="005D6763"/>
    <w:rsid w:val="005D67E7"/>
    <w:rsid w:val="005D6C83"/>
    <w:rsid w:val="005D6CCB"/>
    <w:rsid w:val="005D72DA"/>
    <w:rsid w:val="005D7540"/>
    <w:rsid w:val="005D7706"/>
    <w:rsid w:val="005D780C"/>
    <w:rsid w:val="005D7910"/>
    <w:rsid w:val="005D799C"/>
    <w:rsid w:val="005D7BB6"/>
    <w:rsid w:val="005D7E55"/>
    <w:rsid w:val="005D7E89"/>
    <w:rsid w:val="005D7F05"/>
    <w:rsid w:val="005E0869"/>
    <w:rsid w:val="005E1087"/>
    <w:rsid w:val="005E1294"/>
    <w:rsid w:val="005E1753"/>
    <w:rsid w:val="005E1872"/>
    <w:rsid w:val="005E1C62"/>
    <w:rsid w:val="005E22F3"/>
    <w:rsid w:val="005E329E"/>
    <w:rsid w:val="005E38E1"/>
    <w:rsid w:val="005E39CD"/>
    <w:rsid w:val="005E3C28"/>
    <w:rsid w:val="005E3CC6"/>
    <w:rsid w:val="005E3F3A"/>
    <w:rsid w:val="005E4104"/>
    <w:rsid w:val="005E44D7"/>
    <w:rsid w:val="005E4888"/>
    <w:rsid w:val="005E4BB5"/>
    <w:rsid w:val="005E4CD3"/>
    <w:rsid w:val="005E4FE3"/>
    <w:rsid w:val="005E50B1"/>
    <w:rsid w:val="005E5436"/>
    <w:rsid w:val="005E5475"/>
    <w:rsid w:val="005E5902"/>
    <w:rsid w:val="005E5BD9"/>
    <w:rsid w:val="005E5D54"/>
    <w:rsid w:val="005E651D"/>
    <w:rsid w:val="005E69D4"/>
    <w:rsid w:val="005E77EA"/>
    <w:rsid w:val="005E7C56"/>
    <w:rsid w:val="005F0266"/>
    <w:rsid w:val="005F0288"/>
    <w:rsid w:val="005F05C1"/>
    <w:rsid w:val="005F07BF"/>
    <w:rsid w:val="005F07FF"/>
    <w:rsid w:val="005F0941"/>
    <w:rsid w:val="005F1279"/>
    <w:rsid w:val="005F15E0"/>
    <w:rsid w:val="005F1870"/>
    <w:rsid w:val="005F205D"/>
    <w:rsid w:val="005F277D"/>
    <w:rsid w:val="005F27D3"/>
    <w:rsid w:val="005F2E07"/>
    <w:rsid w:val="005F2FD2"/>
    <w:rsid w:val="005F34BD"/>
    <w:rsid w:val="005F3BB8"/>
    <w:rsid w:val="005F3BFD"/>
    <w:rsid w:val="005F4442"/>
    <w:rsid w:val="005F468E"/>
    <w:rsid w:val="005F4DFA"/>
    <w:rsid w:val="005F4F76"/>
    <w:rsid w:val="005F5068"/>
    <w:rsid w:val="005F5667"/>
    <w:rsid w:val="005F586B"/>
    <w:rsid w:val="005F5F58"/>
    <w:rsid w:val="005F647F"/>
    <w:rsid w:val="005F679A"/>
    <w:rsid w:val="005F70A7"/>
    <w:rsid w:val="005F720D"/>
    <w:rsid w:val="005F750B"/>
    <w:rsid w:val="00600136"/>
    <w:rsid w:val="0060049E"/>
    <w:rsid w:val="00600724"/>
    <w:rsid w:val="006007AB"/>
    <w:rsid w:val="0060089B"/>
    <w:rsid w:val="00600A79"/>
    <w:rsid w:val="00601341"/>
    <w:rsid w:val="006015AA"/>
    <w:rsid w:val="0060185C"/>
    <w:rsid w:val="006024C1"/>
    <w:rsid w:val="00602C4C"/>
    <w:rsid w:val="00602C5D"/>
    <w:rsid w:val="006032BE"/>
    <w:rsid w:val="0060346A"/>
    <w:rsid w:val="006035AB"/>
    <w:rsid w:val="0060377B"/>
    <w:rsid w:val="006039A7"/>
    <w:rsid w:val="006039DD"/>
    <w:rsid w:val="00603A16"/>
    <w:rsid w:val="00603AFA"/>
    <w:rsid w:val="00603CE8"/>
    <w:rsid w:val="00603FBC"/>
    <w:rsid w:val="00604413"/>
    <w:rsid w:val="00604602"/>
    <w:rsid w:val="00604765"/>
    <w:rsid w:val="006049A5"/>
    <w:rsid w:val="00604B4C"/>
    <w:rsid w:val="006050FC"/>
    <w:rsid w:val="006053E5"/>
    <w:rsid w:val="00605481"/>
    <w:rsid w:val="00605561"/>
    <w:rsid w:val="00605820"/>
    <w:rsid w:val="00605DB0"/>
    <w:rsid w:val="00605EB6"/>
    <w:rsid w:val="00605ECF"/>
    <w:rsid w:val="00606660"/>
    <w:rsid w:val="0060668A"/>
    <w:rsid w:val="006068B3"/>
    <w:rsid w:val="006068E8"/>
    <w:rsid w:val="00606C12"/>
    <w:rsid w:val="00607053"/>
    <w:rsid w:val="00607178"/>
    <w:rsid w:val="006077BA"/>
    <w:rsid w:val="00610636"/>
    <w:rsid w:val="006107E1"/>
    <w:rsid w:val="00611030"/>
    <w:rsid w:val="00611162"/>
    <w:rsid w:val="006111DF"/>
    <w:rsid w:val="006112EA"/>
    <w:rsid w:val="006116F7"/>
    <w:rsid w:val="00611DEC"/>
    <w:rsid w:val="00612034"/>
    <w:rsid w:val="00612169"/>
    <w:rsid w:val="00612414"/>
    <w:rsid w:val="00612519"/>
    <w:rsid w:val="006127D9"/>
    <w:rsid w:val="00612966"/>
    <w:rsid w:val="006131BC"/>
    <w:rsid w:val="006131F9"/>
    <w:rsid w:val="006138DC"/>
    <w:rsid w:val="0061394B"/>
    <w:rsid w:val="00613D32"/>
    <w:rsid w:val="00613DA4"/>
    <w:rsid w:val="006143DD"/>
    <w:rsid w:val="0061458A"/>
    <w:rsid w:val="00614DDB"/>
    <w:rsid w:val="0061535D"/>
    <w:rsid w:val="00615413"/>
    <w:rsid w:val="00615673"/>
    <w:rsid w:val="006156DE"/>
    <w:rsid w:val="00615A13"/>
    <w:rsid w:val="00615C2D"/>
    <w:rsid w:val="006163E5"/>
    <w:rsid w:val="00616561"/>
    <w:rsid w:val="006167EF"/>
    <w:rsid w:val="00616D97"/>
    <w:rsid w:val="00616E1E"/>
    <w:rsid w:val="00617A64"/>
    <w:rsid w:val="00617E0F"/>
    <w:rsid w:val="00620776"/>
    <w:rsid w:val="00620867"/>
    <w:rsid w:val="00620AA0"/>
    <w:rsid w:val="00620CEE"/>
    <w:rsid w:val="00620F75"/>
    <w:rsid w:val="00621EB5"/>
    <w:rsid w:val="00622186"/>
    <w:rsid w:val="00622261"/>
    <w:rsid w:val="00622CE8"/>
    <w:rsid w:val="00623492"/>
    <w:rsid w:val="00623A7E"/>
    <w:rsid w:val="00623E0F"/>
    <w:rsid w:val="00624360"/>
    <w:rsid w:val="00625EEA"/>
    <w:rsid w:val="00625EF4"/>
    <w:rsid w:val="00625F4C"/>
    <w:rsid w:val="00626F6B"/>
    <w:rsid w:val="00626F9A"/>
    <w:rsid w:val="00627529"/>
    <w:rsid w:val="006279BB"/>
    <w:rsid w:val="0063015E"/>
    <w:rsid w:val="006306D5"/>
    <w:rsid w:val="00630783"/>
    <w:rsid w:val="006307BB"/>
    <w:rsid w:val="00630F49"/>
    <w:rsid w:val="006310C1"/>
    <w:rsid w:val="006311C4"/>
    <w:rsid w:val="00631A71"/>
    <w:rsid w:val="00631C43"/>
    <w:rsid w:val="00631E3B"/>
    <w:rsid w:val="00632211"/>
    <w:rsid w:val="006323C5"/>
    <w:rsid w:val="006328E5"/>
    <w:rsid w:val="0063294A"/>
    <w:rsid w:val="00632996"/>
    <w:rsid w:val="00632F36"/>
    <w:rsid w:val="0063349E"/>
    <w:rsid w:val="0063381E"/>
    <w:rsid w:val="00634814"/>
    <w:rsid w:val="00634C97"/>
    <w:rsid w:val="00634DC0"/>
    <w:rsid w:val="00634DE0"/>
    <w:rsid w:val="00634FB3"/>
    <w:rsid w:val="006351EE"/>
    <w:rsid w:val="0063564B"/>
    <w:rsid w:val="00635B94"/>
    <w:rsid w:val="00635DC5"/>
    <w:rsid w:val="006364F7"/>
    <w:rsid w:val="00636C1C"/>
    <w:rsid w:val="00636CF2"/>
    <w:rsid w:val="0063799B"/>
    <w:rsid w:val="00637B53"/>
    <w:rsid w:val="00637C68"/>
    <w:rsid w:val="00637E93"/>
    <w:rsid w:val="00637EC5"/>
    <w:rsid w:val="00637F17"/>
    <w:rsid w:val="00640157"/>
    <w:rsid w:val="00640A2F"/>
    <w:rsid w:val="0064141B"/>
    <w:rsid w:val="00641C2C"/>
    <w:rsid w:val="00641C91"/>
    <w:rsid w:val="00641D60"/>
    <w:rsid w:val="00641ED0"/>
    <w:rsid w:val="0064251E"/>
    <w:rsid w:val="00642B1C"/>
    <w:rsid w:val="00642CAB"/>
    <w:rsid w:val="00642D4E"/>
    <w:rsid w:val="00642D93"/>
    <w:rsid w:val="0064309E"/>
    <w:rsid w:val="00643284"/>
    <w:rsid w:val="006434B6"/>
    <w:rsid w:val="0064367B"/>
    <w:rsid w:val="00644857"/>
    <w:rsid w:val="00644896"/>
    <w:rsid w:val="00644A84"/>
    <w:rsid w:val="00644C01"/>
    <w:rsid w:val="00644F09"/>
    <w:rsid w:val="006451D0"/>
    <w:rsid w:val="00646329"/>
    <w:rsid w:val="0064652F"/>
    <w:rsid w:val="00646615"/>
    <w:rsid w:val="006466FC"/>
    <w:rsid w:val="00646F37"/>
    <w:rsid w:val="00647093"/>
    <w:rsid w:val="0064713A"/>
    <w:rsid w:val="006471EC"/>
    <w:rsid w:val="006473C2"/>
    <w:rsid w:val="0064760A"/>
    <w:rsid w:val="006478AF"/>
    <w:rsid w:val="00647C16"/>
    <w:rsid w:val="00647F32"/>
    <w:rsid w:val="006502C2"/>
    <w:rsid w:val="00650535"/>
    <w:rsid w:val="00650748"/>
    <w:rsid w:val="00650AEC"/>
    <w:rsid w:val="00650D86"/>
    <w:rsid w:val="00650F8A"/>
    <w:rsid w:val="006510E4"/>
    <w:rsid w:val="006511B0"/>
    <w:rsid w:val="00651B88"/>
    <w:rsid w:val="0065203B"/>
    <w:rsid w:val="00652916"/>
    <w:rsid w:val="00652B82"/>
    <w:rsid w:val="006545BD"/>
    <w:rsid w:val="006549AD"/>
    <w:rsid w:val="00654BFF"/>
    <w:rsid w:val="00654F67"/>
    <w:rsid w:val="006550D9"/>
    <w:rsid w:val="0065534C"/>
    <w:rsid w:val="006563DD"/>
    <w:rsid w:val="0065663D"/>
    <w:rsid w:val="00656CEB"/>
    <w:rsid w:val="00656DDA"/>
    <w:rsid w:val="006572F0"/>
    <w:rsid w:val="0065751D"/>
    <w:rsid w:val="0065773F"/>
    <w:rsid w:val="006578A1"/>
    <w:rsid w:val="006578D2"/>
    <w:rsid w:val="006578FE"/>
    <w:rsid w:val="0066034F"/>
    <w:rsid w:val="0066072A"/>
    <w:rsid w:val="006607C0"/>
    <w:rsid w:val="00660A05"/>
    <w:rsid w:val="00660A9E"/>
    <w:rsid w:val="00661124"/>
    <w:rsid w:val="0066126A"/>
    <w:rsid w:val="006613EA"/>
    <w:rsid w:val="00661504"/>
    <w:rsid w:val="0066170B"/>
    <w:rsid w:val="006624D0"/>
    <w:rsid w:val="00662846"/>
    <w:rsid w:val="006628A3"/>
    <w:rsid w:val="00662B75"/>
    <w:rsid w:val="00663073"/>
    <w:rsid w:val="006633AC"/>
    <w:rsid w:val="006633D6"/>
    <w:rsid w:val="006639B1"/>
    <w:rsid w:val="00663CDF"/>
    <w:rsid w:val="00663F50"/>
    <w:rsid w:val="00664075"/>
    <w:rsid w:val="006641F7"/>
    <w:rsid w:val="006644EF"/>
    <w:rsid w:val="00664787"/>
    <w:rsid w:val="00664991"/>
    <w:rsid w:val="0066548B"/>
    <w:rsid w:val="006657AE"/>
    <w:rsid w:val="00665B44"/>
    <w:rsid w:val="00666255"/>
    <w:rsid w:val="00666286"/>
    <w:rsid w:val="00666339"/>
    <w:rsid w:val="00666A7A"/>
    <w:rsid w:val="00666B30"/>
    <w:rsid w:val="00666DE2"/>
    <w:rsid w:val="00666FF5"/>
    <w:rsid w:val="00667632"/>
    <w:rsid w:val="00667850"/>
    <w:rsid w:val="00667922"/>
    <w:rsid w:val="00667CA0"/>
    <w:rsid w:val="00667E86"/>
    <w:rsid w:val="00667F44"/>
    <w:rsid w:val="006707FA"/>
    <w:rsid w:val="0067085C"/>
    <w:rsid w:val="00670AA5"/>
    <w:rsid w:val="00670D92"/>
    <w:rsid w:val="00670E53"/>
    <w:rsid w:val="0067207F"/>
    <w:rsid w:val="00672177"/>
    <w:rsid w:val="00672F1B"/>
    <w:rsid w:val="006730D3"/>
    <w:rsid w:val="006739B3"/>
    <w:rsid w:val="0067478C"/>
    <w:rsid w:val="00675393"/>
    <w:rsid w:val="0067560C"/>
    <w:rsid w:val="006757AD"/>
    <w:rsid w:val="00676256"/>
    <w:rsid w:val="0067625F"/>
    <w:rsid w:val="00676744"/>
    <w:rsid w:val="00676908"/>
    <w:rsid w:val="00676A71"/>
    <w:rsid w:val="00676EA3"/>
    <w:rsid w:val="0067714B"/>
    <w:rsid w:val="00677476"/>
    <w:rsid w:val="00677923"/>
    <w:rsid w:val="00677A93"/>
    <w:rsid w:val="00677CF9"/>
    <w:rsid w:val="006806F9"/>
    <w:rsid w:val="006809A7"/>
    <w:rsid w:val="00680CE9"/>
    <w:rsid w:val="0068119E"/>
    <w:rsid w:val="006811C6"/>
    <w:rsid w:val="006827DC"/>
    <w:rsid w:val="006828B9"/>
    <w:rsid w:val="00682AA7"/>
    <w:rsid w:val="00682E6A"/>
    <w:rsid w:val="0068329C"/>
    <w:rsid w:val="006836F1"/>
    <w:rsid w:val="00683784"/>
    <w:rsid w:val="00683890"/>
    <w:rsid w:val="006838F2"/>
    <w:rsid w:val="00684083"/>
    <w:rsid w:val="006842DD"/>
    <w:rsid w:val="00684665"/>
    <w:rsid w:val="00684906"/>
    <w:rsid w:val="00684FE3"/>
    <w:rsid w:val="006850CA"/>
    <w:rsid w:val="006850F8"/>
    <w:rsid w:val="00685325"/>
    <w:rsid w:val="0068571F"/>
    <w:rsid w:val="00685AE7"/>
    <w:rsid w:val="00685CEE"/>
    <w:rsid w:val="0068618A"/>
    <w:rsid w:val="006864F5"/>
    <w:rsid w:val="00686B1A"/>
    <w:rsid w:val="00686B9F"/>
    <w:rsid w:val="00686C70"/>
    <w:rsid w:val="00686E00"/>
    <w:rsid w:val="00686F1E"/>
    <w:rsid w:val="00687355"/>
    <w:rsid w:val="0068740C"/>
    <w:rsid w:val="006875E8"/>
    <w:rsid w:val="00687BFC"/>
    <w:rsid w:val="006903A1"/>
    <w:rsid w:val="006905D1"/>
    <w:rsid w:val="006907DD"/>
    <w:rsid w:val="00690C08"/>
    <w:rsid w:val="006910D8"/>
    <w:rsid w:val="00691348"/>
    <w:rsid w:val="006913E3"/>
    <w:rsid w:val="00691667"/>
    <w:rsid w:val="0069172E"/>
    <w:rsid w:val="00691BD6"/>
    <w:rsid w:val="00691C90"/>
    <w:rsid w:val="00691E31"/>
    <w:rsid w:val="00691F19"/>
    <w:rsid w:val="00691F77"/>
    <w:rsid w:val="006920A9"/>
    <w:rsid w:val="006922F3"/>
    <w:rsid w:val="006923CA"/>
    <w:rsid w:val="00692CC5"/>
    <w:rsid w:val="006933DC"/>
    <w:rsid w:val="006936CB"/>
    <w:rsid w:val="00693E3E"/>
    <w:rsid w:val="00694937"/>
    <w:rsid w:val="00694D4B"/>
    <w:rsid w:val="00694F35"/>
    <w:rsid w:val="00695295"/>
    <w:rsid w:val="00695B15"/>
    <w:rsid w:val="00696076"/>
    <w:rsid w:val="00696822"/>
    <w:rsid w:val="00696AC9"/>
    <w:rsid w:val="00696AE7"/>
    <w:rsid w:val="00697CF8"/>
    <w:rsid w:val="006A014A"/>
    <w:rsid w:val="006A09EE"/>
    <w:rsid w:val="006A0A3A"/>
    <w:rsid w:val="006A0EE1"/>
    <w:rsid w:val="006A1775"/>
    <w:rsid w:val="006A1BF9"/>
    <w:rsid w:val="006A20BA"/>
    <w:rsid w:val="006A2255"/>
    <w:rsid w:val="006A23DE"/>
    <w:rsid w:val="006A24C5"/>
    <w:rsid w:val="006A298C"/>
    <w:rsid w:val="006A30ED"/>
    <w:rsid w:val="006A3567"/>
    <w:rsid w:val="006A381E"/>
    <w:rsid w:val="006A384C"/>
    <w:rsid w:val="006A3A95"/>
    <w:rsid w:val="006A3B0F"/>
    <w:rsid w:val="006A3CDC"/>
    <w:rsid w:val="006A3D28"/>
    <w:rsid w:val="006A403D"/>
    <w:rsid w:val="006A40CD"/>
    <w:rsid w:val="006A4460"/>
    <w:rsid w:val="006A4841"/>
    <w:rsid w:val="006A4918"/>
    <w:rsid w:val="006A4981"/>
    <w:rsid w:val="006A4A0C"/>
    <w:rsid w:val="006A4D47"/>
    <w:rsid w:val="006A51FE"/>
    <w:rsid w:val="006A5944"/>
    <w:rsid w:val="006A6008"/>
    <w:rsid w:val="006A60EE"/>
    <w:rsid w:val="006A626E"/>
    <w:rsid w:val="006A64E5"/>
    <w:rsid w:val="006A69CB"/>
    <w:rsid w:val="006A741E"/>
    <w:rsid w:val="006A7E8F"/>
    <w:rsid w:val="006B02A5"/>
    <w:rsid w:val="006B03A5"/>
    <w:rsid w:val="006B0408"/>
    <w:rsid w:val="006B133B"/>
    <w:rsid w:val="006B17C7"/>
    <w:rsid w:val="006B1823"/>
    <w:rsid w:val="006B190F"/>
    <w:rsid w:val="006B1A7A"/>
    <w:rsid w:val="006B1E47"/>
    <w:rsid w:val="006B22EA"/>
    <w:rsid w:val="006B23F6"/>
    <w:rsid w:val="006B286A"/>
    <w:rsid w:val="006B2DF4"/>
    <w:rsid w:val="006B315B"/>
    <w:rsid w:val="006B36BE"/>
    <w:rsid w:val="006B3B16"/>
    <w:rsid w:val="006B3BC6"/>
    <w:rsid w:val="006B3E79"/>
    <w:rsid w:val="006B3F05"/>
    <w:rsid w:val="006B45FE"/>
    <w:rsid w:val="006B4727"/>
    <w:rsid w:val="006B4CED"/>
    <w:rsid w:val="006B511E"/>
    <w:rsid w:val="006B5643"/>
    <w:rsid w:val="006B5A5D"/>
    <w:rsid w:val="006B5E90"/>
    <w:rsid w:val="006B6419"/>
    <w:rsid w:val="006B67BD"/>
    <w:rsid w:val="006B6A6F"/>
    <w:rsid w:val="006B7125"/>
    <w:rsid w:val="006B7346"/>
    <w:rsid w:val="006B7594"/>
    <w:rsid w:val="006B76E9"/>
    <w:rsid w:val="006B7715"/>
    <w:rsid w:val="006B772C"/>
    <w:rsid w:val="006B7B25"/>
    <w:rsid w:val="006B7CA8"/>
    <w:rsid w:val="006C039F"/>
    <w:rsid w:val="006C03D9"/>
    <w:rsid w:val="006C063B"/>
    <w:rsid w:val="006C08EA"/>
    <w:rsid w:val="006C1105"/>
    <w:rsid w:val="006C1409"/>
    <w:rsid w:val="006C1639"/>
    <w:rsid w:val="006C1693"/>
    <w:rsid w:val="006C16F4"/>
    <w:rsid w:val="006C1BA5"/>
    <w:rsid w:val="006C287F"/>
    <w:rsid w:val="006C2A94"/>
    <w:rsid w:val="006C2BF4"/>
    <w:rsid w:val="006C2E2A"/>
    <w:rsid w:val="006C3143"/>
    <w:rsid w:val="006C3287"/>
    <w:rsid w:val="006C44D4"/>
    <w:rsid w:val="006C45B1"/>
    <w:rsid w:val="006C45E0"/>
    <w:rsid w:val="006C49F9"/>
    <w:rsid w:val="006C4A1A"/>
    <w:rsid w:val="006C520D"/>
    <w:rsid w:val="006C5426"/>
    <w:rsid w:val="006C5545"/>
    <w:rsid w:val="006C5656"/>
    <w:rsid w:val="006C5FC0"/>
    <w:rsid w:val="006C6767"/>
    <w:rsid w:val="006C6793"/>
    <w:rsid w:val="006C6F24"/>
    <w:rsid w:val="006C7559"/>
    <w:rsid w:val="006C75A7"/>
    <w:rsid w:val="006C778A"/>
    <w:rsid w:val="006C7948"/>
    <w:rsid w:val="006C7BA6"/>
    <w:rsid w:val="006C7D3F"/>
    <w:rsid w:val="006D08FE"/>
    <w:rsid w:val="006D0E10"/>
    <w:rsid w:val="006D1319"/>
    <w:rsid w:val="006D13CE"/>
    <w:rsid w:val="006D147C"/>
    <w:rsid w:val="006D1554"/>
    <w:rsid w:val="006D2893"/>
    <w:rsid w:val="006D2896"/>
    <w:rsid w:val="006D29F5"/>
    <w:rsid w:val="006D2A04"/>
    <w:rsid w:val="006D2DED"/>
    <w:rsid w:val="006D2F39"/>
    <w:rsid w:val="006D2F5C"/>
    <w:rsid w:val="006D35DB"/>
    <w:rsid w:val="006D37F6"/>
    <w:rsid w:val="006D4091"/>
    <w:rsid w:val="006D40D9"/>
    <w:rsid w:val="006D46A3"/>
    <w:rsid w:val="006D4C64"/>
    <w:rsid w:val="006D50E3"/>
    <w:rsid w:val="006D51BE"/>
    <w:rsid w:val="006D55E7"/>
    <w:rsid w:val="006D57D0"/>
    <w:rsid w:val="006D597A"/>
    <w:rsid w:val="006D5AC3"/>
    <w:rsid w:val="006D61F6"/>
    <w:rsid w:val="006D620F"/>
    <w:rsid w:val="006D6EA3"/>
    <w:rsid w:val="006D7ABD"/>
    <w:rsid w:val="006E045E"/>
    <w:rsid w:val="006E0E39"/>
    <w:rsid w:val="006E0FAB"/>
    <w:rsid w:val="006E2091"/>
    <w:rsid w:val="006E2399"/>
    <w:rsid w:val="006E2929"/>
    <w:rsid w:val="006E310B"/>
    <w:rsid w:val="006E3850"/>
    <w:rsid w:val="006E3C36"/>
    <w:rsid w:val="006E3E8F"/>
    <w:rsid w:val="006E3EA4"/>
    <w:rsid w:val="006E4B8B"/>
    <w:rsid w:val="006E5D83"/>
    <w:rsid w:val="006E6411"/>
    <w:rsid w:val="006E6B04"/>
    <w:rsid w:val="006E6D63"/>
    <w:rsid w:val="006E6E33"/>
    <w:rsid w:val="006E6E7C"/>
    <w:rsid w:val="006E6F55"/>
    <w:rsid w:val="006F02CD"/>
    <w:rsid w:val="006F04BD"/>
    <w:rsid w:val="006F07E3"/>
    <w:rsid w:val="006F0906"/>
    <w:rsid w:val="006F0E6D"/>
    <w:rsid w:val="006F17EB"/>
    <w:rsid w:val="006F1A19"/>
    <w:rsid w:val="006F1C59"/>
    <w:rsid w:val="006F1DED"/>
    <w:rsid w:val="006F2241"/>
    <w:rsid w:val="006F25E5"/>
    <w:rsid w:val="006F2759"/>
    <w:rsid w:val="006F2A51"/>
    <w:rsid w:val="006F2D33"/>
    <w:rsid w:val="006F2D7A"/>
    <w:rsid w:val="006F2D86"/>
    <w:rsid w:val="006F2EB3"/>
    <w:rsid w:val="006F30AF"/>
    <w:rsid w:val="006F31D0"/>
    <w:rsid w:val="006F3561"/>
    <w:rsid w:val="006F3C69"/>
    <w:rsid w:val="006F3DF5"/>
    <w:rsid w:val="006F40C0"/>
    <w:rsid w:val="006F4220"/>
    <w:rsid w:val="006F42EE"/>
    <w:rsid w:val="006F4D8C"/>
    <w:rsid w:val="006F5212"/>
    <w:rsid w:val="006F5A97"/>
    <w:rsid w:val="006F5F2A"/>
    <w:rsid w:val="006F60E0"/>
    <w:rsid w:val="006F64C5"/>
    <w:rsid w:val="006F64F6"/>
    <w:rsid w:val="006F6898"/>
    <w:rsid w:val="006F6A10"/>
    <w:rsid w:val="006F6A58"/>
    <w:rsid w:val="006F6AF2"/>
    <w:rsid w:val="006F6B00"/>
    <w:rsid w:val="006F7104"/>
    <w:rsid w:val="00700046"/>
    <w:rsid w:val="00700810"/>
    <w:rsid w:val="0070088C"/>
    <w:rsid w:val="007009F8"/>
    <w:rsid w:val="00700DAB"/>
    <w:rsid w:val="00700EEC"/>
    <w:rsid w:val="00701020"/>
    <w:rsid w:val="007011CA"/>
    <w:rsid w:val="00701265"/>
    <w:rsid w:val="007017B3"/>
    <w:rsid w:val="0070191A"/>
    <w:rsid w:val="00701AFC"/>
    <w:rsid w:val="00701C3D"/>
    <w:rsid w:val="0070236D"/>
    <w:rsid w:val="0070256F"/>
    <w:rsid w:val="0070270D"/>
    <w:rsid w:val="00702FDF"/>
    <w:rsid w:val="0070303E"/>
    <w:rsid w:val="007039E6"/>
    <w:rsid w:val="00703CB5"/>
    <w:rsid w:val="00703CE8"/>
    <w:rsid w:val="00703D24"/>
    <w:rsid w:val="00704145"/>
    <w:rsid w:val="00704485"/>
    <w:rsid w:val="00704737"/>
    <w:rsid w:val="00704C1B"/>
    <w:rsid w:val="00704DFB"/>
    <w:rsid w:val="0070510C"/>
    <w:rsid w:val="007059EA"/>
    <w:rsid w:val="00705D34"/>
    <w:rsid w:val="00705E40"/>
    <w:rsid w:val="00706148"/>
    <w:rsid w:val="0070638A"/>
    <w:rsid w:val="0070642D"/>
    <w:rsid w:val="007066EA"/>
    <w:rsid w:val="0070687C"/>
    <w:rsid w:val="00706A1D"/>
    <w:rsid w:val="00706B36"/>
    <w:rsid w:val="007071E9"/>
    <w:rsid w:val="00707425"/>
    <w:rsid w:val="00707BDE"/>
    <w:rsid w:val="00707DDA"/>
    <w:rsid w:val="00707EBF"/>
    <w:rsid w:val="0071015D"/>
    <w:rsid w:val="00710906"/>
    <w:rsid w:val="00710BBE"/>
    <w:rsid w:val="007110DE"/>
    <w:rsid w:val="007111F4"/>
    <w:rsid w:val="007112CE"/>
    <w:rsid w:val="007113ED"/>
    <w:rsid w:val="00711780"/>
    <w:rsid w:val="00711D78"/>
    <w:rsid w:val="0071211E"/>
    <w:rsid w:val="00712157"/>
    <w:rsid w:val="0071236D"/>
    <w:rsid w:val="00712433"/>
    <w:rsid w:val="00712993"/>
    <w:rsid w:val="00712E01"/>
    <w:rsid w:val="00712E37"/>
    <w:rsid w:val="00712ECE"/>
    <w:rsid w:val="007132B8"/>
    <w:rsid w:val="007134E9"/>
    <w:rsid w:val="007136B0"/>
    <w:rsid w:val="0071398B"/>
    <w:rsid w:val="00713AB4"/>
    <w:rsid w:val="00713CC0"/>
    <w:rsid w:val="00713DAB"/>
    <w:rsid w:val="00713FEF"/>
    <w:rsid w:val="007143BD"/>
    <w:rsid w:val="0071479C"/>
    <w:rsid w:val="00714BF5"/>
    <w:rsid w:val="007152DB"/>
    <w:rsid w:val="00715639"/>
    <w:rsid w:val="0071564C"/>
    <w:rsid w:val="00715DC0"/>
    <w:rsid w:val="007162C3"/>
    <w:rsid w:val="00716316"/>
    <w:rsid w:val="00717135"/>
    <w:rsid w:val="00717478"/>
    <w:rsid w:val="0071757A"/>
    <w:rsid w:val="007177DD"/>
    <w:rsid w:val="0071780C"/>
    <w:rsid w:val="00717DC7"/>
    <w:rsid w:val="007200F0"/>
    <w:rsid w:val="00720881"/>
    <w:rsid w:val="007209A3"/>
    <w:rsid w:val="00720B6D"/>
    <w:rsid w:val="00720BF9"/>
    <w:rsid w:val="00720DA0"/>
    <w:rsid w:val="00720DF1"/>
    <w:rsid w:val="00721109"/>
    <w:rsid w:val="007215EB"/>
    <w:rsid w:val="007220ED"/>
    <w:rsid w:val="00722328"/>
    <w:rsid w:val="00722827"/>
    <w:rsid w:val="00722B49"/>
    <w:rsid w:val="007233EF"/>
    <w:rsid w:val="007236C0"/>
    <w:rsid w:val="00723C4E"/>
    <w:rsid w:val="00723CB3"/>
    <w:rsid w:val="00724241"/>
    <w:rsid w:val="0072483E"/>
    <w:rsid w:val="00724AF7"/>
    <w:rsid w:val="00724DCD"/>
    <w:rsid w:val="00724E16"/>
    <w:rsid w:val="00724E6E"/>
    <w:rsid w:val="00725099"/>
    <w:rsid w:val="007257E3"/>
    <w:rsid w:val="00725819"/>
    <w:rsid w:val="0072598A"/>
    <w:rsid w:val="007264CA"/>
    <w:rsid w:val="007265D8"/>
    <w:rsid w:val="00726673"/>
    <w:rsid w:val="007272EE"/>
    <w:rsid w:val="007272F6"/>
    <w:rsid w:val="00727458"/>
    <w:rsid w:val="00727575"/>
    <w:rsid w:val="007276E5"/>
    <w:rsid w:val="0072776A"/>
    <w:rsid w:val="007278FE"/>
    <w:rsid w:val="00727A01"/>
    <w:rsid w:val="00727D16"/>
    <w:rsid w:val="00727E59"/>
    <w:rsid w:val="00727F09"/>
    <w:rsid w:val="00727F2C"/>
    <w:rsid w:val="007305AF"/>
    <w:rsid w:val="00730A73"/>
    <w:rsid w:val="00730C4A"/>
    <w:rsid w:val="00730E3D"/>
    <w:rsid w:val="0073108A"/>
    <w:rsid w:val="00731712"/>
    <w:rsid w:val="007318B7"/>
    <w:rsid w:val="00731937"/>
    <w:rsid w:val="00732288"/>
    <w:rsid w:val="00732488"/>
    <w:rsid w:val="00732771"/>
    <w:rsid w:val="00732AD8"/>
    <w:rsid w:val="007332BE"/>
    <w:rsid w:val="00733537"/>
    <w:rsid w:val="00733826"/>
    <w:rsid w:val="00733A78"/>
    <w:rsid w:val="0073454D"/>
    <w:rsid w:val="00734551"/>
    <w:rsid w:val="0073467F"/>
    <w:rsid w:val="00734E3B"/>
    <w:rsid w:val="00735018"/>
    <w:rsid w:val="00735185"/>
    <w:rsid w:val="0073591B"/>
    <w:rsid w:val="00735CFB"/>
    <w:rsid w:val="00735DDB"/>
    <w:rsid w:val="00735F43"/>
    <w:rsid w:val="0073663C"/>
    <w:rsid w:val="0073687A"/>
    <w:rsid w:val="007368EB"/>
    <w:rsid w:val="007369EC"/>
    <w:rsid w:val="0073711D"/>
    <w:rsid w:val="0073784F"/>
    <w:rsid w:val="00737F14"/>
    <w:rsid w:val="0074048B"/>
    <w:rsid w:val="007404EF"/>
    <w:rsid w:val="007406A5"/>
    <w:rsid w:val="00741442"/>
    <w:rsid w:val="00741524"/>
    <w:rsid w:val="007416F3"/>
    <w:rsid w:val="00742267"/>
    <w:rsid w:val="0074262A"/>
    <w:rsid w:val="00742707"/>
    <w:rsid w:val="00742775"/>
    <w:rsid w:val="007428E5"/>
    <w:rsid w:val="00742EC9"/>
    <w:rsid w:val="00742F79"/>
    <w:rsid w:val="0074308F"/>
    <w:rsid w:val="00743198"/>
    <w:rsid w:val="00744138"/>
    <w:rsid w:val="007441ED"/>
    <w:rsid w:val="007442D9"/>
    <w:rsid w:val="0074435F"/>
    <w:rsid w:val="007444CB"/>
    <w:rsid w:val="0074477F"/>
    <w:rsid w:val="00744814"/>
    <w:rsid w:val="007451B6"/>
    <w:rsid w:val="0074542F"/>
    <w:rsid w:val="00745468"/>
    <w:rsid w:val="00745894"/>
    <w:rsid w:val="007458C5"/>
    <w:rsid w:val="00745CB1"/>
    <w:rsid w:val="00745D10"/>
    <w:rsid w:val="00746698"/>
    <w:rsid w:val="00746887"/>
    <w:rsid w:val="00746AF1"/>
    <w:rsid w:val="00746CC6"/>
    <w:rsid w:val="007475B7"/>
    <w:rsid w:val="00747643"/>
    <w:rsid w:val="007477CD"/>
    <w:rsid w:val="00747AC6"/>
    <w:rsid w:val="00747E96"/>
    <w:rsid w:val="00750090"/>
    <w:rsid w:val="00750150"/>
    <w:rsid w:val="007503C3"/>
    <w:rsid w:val="007505BB"/>
    <w:rsid w:val="007506B3"/>
    <w:rsid w:val="00750A68"/>
    <w:rsid w:val="00750DC6"/>
    <w:rsid w:val="007510EB"/>
    <w:rsid w:val="00751412"/>
    <w:rsid w:val="007514DF"/>
    <w:rsid w:val="00751956"/>
    <w:rsid w:val="0075196C"/>
    <w:rsid w:val="007519A9"/>
    <w:rsid w:val="00751AE8"/>
    <w:rsid w:val="0075267F"/>
    <w:rsid w:val="007530A3"/>
    <w:rsid w:val="007531CF"/>
    <w:rsid w:val="0075376D"/>
    <w:rsid w:val="00753CBF"/>
    <w:rsid w:val="00753E3C"/>
    <w:rsid w:val="00754124"/>
    <w:rsid w:val="007556AF"/>
    <w:rsid w:val="00755BF3"/>
    <w:rsid w:val="00755F84"/>
    <w:rsid w:val="0075649A"/>
    <w:rsid w:val="00756682"/>
    <w:rsid w:val="00756864"/>
    <w:rsid w:val="00756987"/>
    <w:rsid w:val="007609DE"/>
    <w:rsid w:val="00760C03"/>
    <w:rsid w:val="00760D0A"/>
    <w:rsid w:val="0076106D"/>
    <w:rsid w:val="0076150D"/>
    <w:rsid w:val="007617F5"/>
    <w:rsid w:val="00761FA5"/>
    <w:rsid w:val="00762184"/>
    <w:rsid w:val="00762550"/>
    <w:rsid w:val="0076259D"/>
    <w:rsid w:val="007635D1"/>
    <w:rsid w:val="007636C9"/>
    <w:rsid w:val="00763822"/>
    <w:rsid w:val="007638BE"/>
    <w:rsid w:val="00763D5D"/>
    <w:rsid w:val="007640A7"/>
    <w:rsid w:val="0076410A"/>
    <w:rsid w:val="007641E4"/>
    <w:rsid w:val="00764316"/>
    <w:rsid w:val="0076495E"/>
    <w:rsid w:val="00764D97"/>
    <w:rsid w:val="00764EDB"/>
    <w:rsid w:val="00765219"/>
    <w:rsid w:val="007655E4"/>
    <w:rsid w:val="00765D54"/>
    <w:rsid w:val="00765EBD"/>
    <w:rsid w:val="007660C7"/>
    <w:rsid w:val="007661B9"/>
    <w:rsid w:val="007663EC"/>
    <w:rsid w:val="007664ED"/>
    <w:rsid w:val="0076667F"/>
    <w:rsid w:val="00766A06"/>
    <w:rsid w:val="00766D74"/>
    <w:rsid w:val="00766DFD"/>
    <w:rsid w:val="00767BFB"/>
    <w:rsid w:val="00767E79"/>
    <w:rsid w:val="00767E97"/>
    <w:rsid w:val="00770583"/>
    <w:rsid w:val="0077060A"/>
    <w:rsid w:val="007706BC"/>
    <w:rsid w:val="00770C42"/>
    <w:rsid w:val="00770D3F"/>
    <w:rsid w:val="00770E2E"/>
    <w:rsid w:val="0077107F"/>
    <w:rsid w:val="007722C9"/>
    <w:rsid w:val="007722EB"/>
    <w:rsid w:val="00772795"/>
    <w:rsid w:val="00772D0E"/>
    <w:rsid w:val="00772DF7"/>
    <w:rsid w:val="00772F18"/>
    <w:rsid w:val="00773E0A"/>
    <w:rsid w:val="0077410B"/>
    <w:rsid w:val="00774803"/>
    <w:rsid w:val="00774B0A"/>
    <w:rsid w:val="00774B53"/>
    <w:rsid w:val="00774FFE"/>
    <w:rsid w:val="00775B73"/>
    <w:rsid w:val="00775BAF"/>
    <w:rsid w:val="00775E5B"/>
    <w:rsid w:val="0077612A"/>
    <w:rsid w:val="007762C4"/>
    <w:rsid w:val="0077637A"/>
    <w:rsid w:val="0077690B"/>
    <w:rsid w:val="00776FF6"/>
    <w:rsid w:val="00777355"/>
    <w:rsid w:val="00777F2F"/>
    <w:rsid w:val="007800F4"/>
    <w:rsid w:val="0078016E"/>
    <w:rsid w:val="007802ED"/>
    <w:rsid w:val="007803D8"/>
    <w:rsid w:val="0078085E"/>
    <w:rsid w:val="00780ADB"/>
    <w:rsid w:val="00781088"/>
    <w:rsid w:val="00781102"/>
    <w:rsid w:val="007813AB"/>
    <w:rsid w:val="00781783"/>
    <w:rsid w:val="0078194F"/>
    <w:rsid w:val="00781974"/>
    <w:rsid w:val="00781B63"/>
    <w:rsid w:val="00781C00"/>
    <w:rsid w:val="00782182"/>
    <w:rsid w:val="007822B2"/>
    <w:rsid w:val="0078239F"/>
    <w:rsid w:val="00782A2E"/>
    <w:rsid w:val="00782A81"/>
    <w:rsid w:val="00782AA7"/>
    <w:rsid w:val="00782E31"/>
    <w:rsid w:val="00782E98"/>
    <w:rsid w:val="007830F5"/>
    <w:rsid w:val="007837DE"/>
    <w:rsid w:val="007837E1"/>
    <w:rsid w:val="00783FF2"/>
    <w:rsid w:val="00784C03"/>
    <w:rsid w:val="007859CF"/>
    <w:rsid w:val="00785A7C"/>
    <w:rsid w:val="00786954"/>
    <w:rsid w:val="00786A3A"/>
    <w:rsid w:val="00786F34"/>
    <w:rsid w:val="007870E2"/>
    <w:rsid w:val="00787135"/>
    <w:rsid w:val="00787561"/>
    <w:rsid w:val="0078786A"/>
    <w:rsid w:val="007878A2"/>
    <w:rsid w:val="00787BEB"/>
    <w:rsid w:val="00787D27"/>
    <w:rsid w:val="00787F56"/>
    <w:rsid w:val="007907D3"/>
    <w:rsid w:val="007909A5"/>
    <w:rsid w:val="00790B6E"/>
    <w:rsid w:val="00791214"/>
    <w:rsid w:val="007914CA"/>
    <w:rsid w:val="00791762"/>
    <w:rsid w:val="00791833"/>
    <w:rsid w:val="00791A12"/>
    <w:rsid w:val="00791E8A"/>
    <w:rsid w:val="00791FC7"/>
    <w:rsid w:val="00791FF8"/>
    <w:rsid w:val="0079208F"/>
    <w:rsid w:val="007924B8"/>
    <w:rsid w:val="007926EF"/>
    <w:rsid w:val="0079277E"/>
    <w:rsid w:val="007928DD"/>
    <w:rsid w:val="00792D28"/>
    <w:rsid w:val="0079305A"/>
    <w:rsid w:val="00793391"/>
    <w:rsid w:val="007934ED"/>
    <w:rsid w:val="00793901"/>
    <w:rsid w:val="00793A73"/>
    <w:rsid w:val="007948EC"/>
    <w:rsid w:val="00794B45"/>
    <w:rsid w:val="00794BBE"/>
    <w:rsid w:val="007952A0"/>
    <w:rsid w:val="007957EC"/>
    <w:rsid w:val="0079602D"/>
    <w:rsid w:val="00796131"/>
    <w:rsid w:val="007963B2"/>
    <w:rsid w:val="007964EF"/>
    <w:rsid w:val="0079675E"/>
    <w:rsid w:val="007967C5"/>
    <w:rsid w:val="007968E2"/>
    <w:rsid w:val="00796958"/>
    <w:rsid w:val="00796CA2"/>
    <w:rsid w:val="00797186"/>
    <w:rsid w:val="00797622"/>
    <w:rsid w:val="0079792C"/>
    <w:rsid w:val="00797FE3"/>
    <w:rsid w:val="007A0290"/>
    <w:rsid w:val="007A04D5"/>
    <w:rsid w:val="007A1009"/>
    <w:rsid w:val="007A1CD9"/>
    <w:rsid w:val="007A1E54"/>
    <w:rsid w:val="007A23D8"/>
    <w:rsid w:val="007A2523"/>
    <w:rsid w:val="007A26FB"/>
    <w:rsid w:val="007A3156"/>
    <w:rsid w:val="007A3426"/>
    <w:rsid w:val="007A3938"/>
    <w:rsid w:val="007A3A03"/>
    <w:rsid w:val="007A3B92"/>
    <w:rsid w:val="007A3EB2"/>
    <w:rsid w:val="007A4099"/>
    <w:rsid w:val="007A40BC"/>
    <w:rsid w:val="007A42F5"/>
    <w:rsid w:val="007A437D"/>
    <w:rsid w:val="007A4942"/>
    <w:rsid w:val="007A4A24"/>
    <w:rsid w:val="007A52E9"/>
    <w:rsid w:val="007A5338"/>
    <w:rsid w:val="007A54AC"/>
    <w:rsid w:val="007A55C4"/>
    <w:rsid w:val="007A56AC"/>
    <w:rsid w:val="007A5F04"/>
    <w:rsid w:val="007A629E"/>
    <w:rsid w:val="007A643D"/>
    <w:rsid w:val="007A65D8"/>
    <w:rsid w:val="007A69E1"/>
    <w:rsid w:val="007A6B4E"/>
    <w:rsid w:val="007A74BE"/>
    <w:rsid w:val="007A7648"/>
    <w:rsid w:val="007A786B"/>
    <w:rsid w:val="007A791C"/>
    <w:rsid w:val="007A79A1"/>
    <w:rsid w:val="007B0592"/>
    <w:rsid w:val="007B1032"/>
    <w:rsid w:val="007B17C8"/>
    <w:rsid w:val="007B17DB"/>
    <w:rsid w:val="007B183F"/>
    <w:rsid w:val="007B1BEE"/>
    <w:rsid w:val="007B2048"/>
    <w:rsid w:val="007B2268"/>
    <w:rsid w:val="007B24B3"/>
    <w:rsid w:val="007B3276"/>
    <w:rsid w:val="007B34AE"/>
    <w:rsid w:val="007B368B"/>
    <w:rsid w:val="007B3D99"/>
    <w:rsid w:val="007B3FC3"/>
    <w:rsid w:val="007B442B"/>
    <w:rsid w:val="007B47D3"/>
    <w:rsid w:val="007B48F3"/>
    <w:rsid w:val="007B4EAA"/>
    <w:rsid w:val="007B5265"/>
    <w:rsid w:val="007B557D"/>
    <w:rsid w:val="007B55E2"/>
    <w:rsid w:val="007B5E9A"/>
    <w:rsid w:val="007B6258"/>
    <w:rsid w:val="007B66FB"/>
    <w:rsid w:val="007B6704"/>
    <w:rsid w:val="007B6990"/>
    <w:rsid w:val="007B71B3"/>
    <w:rsid w:val="007B724E"/>
    <w:rsid w:val="007B727E"/>
    <w:rsid w:val="007B74F8"/>
    <w:rsid w:val="007B767C"/>
    <w:rsid w:val="007C046E"/>
    <w:rsid w:val="007C0539"/>
    <w:rsid w:val="007C079C"/>
    <w:rsid w:val="007C18E9"/>
    <w:rsid w:val="007C1E51"/>
    <w:rsid w:val="007C1ED1"/>
    <w:rsid w:val="007C22E7"/>
    <w:rsid w:val="007C24BD"/>
    <w:rsid w:val="007C25BF"/>
    <w:rsid w:val="007C32DC"/>
    <w:rsid w:val="007C3CBE"/>
    <w:rsid w:val="007C42C1"/>
    <w:rsid w:val="007C461B"/>
    <w:rsid w:val="007C5053"/>
    <w:rsid w:val="007C5214"/>
    <w:rsid w:val="007C61D0"/>
    <w:rsid w:val="007C6725"/>
    <w:rsid w:val="007C6C03"/>
    <w:rsid w:val="007C6C3A"/>
    <w:rsid w:val="007C6D10"/>
    <w:rsid w:val="007C71CA"/>
    <w:rsid w:val="007C725F"/>
    <w:rsid w:val="007C7B75"/>
    <w:rsid w:val="007C7CD2"/>
    <w:rsid w:val="007D0A5A"/>
    <w:rsid w:val="007D0B9D"/>
    <w:rsid w:val="007D178B"/>
    <w:rsid w:val="007D220E"/>
    <w:rsid w:val="007D230D"/>
    <w:rsid w:val="007D279B"/>
    <w:rsid w:val="007D33B9"/>
    <w:rsid w:val="007D3A77"/>
    <w:rsid w:val="007D3E13"/>
    <w:rsid w:val="007D4463"/>
    <w:rsid w:val="007D4801"/>
    <w:rsid w:val="007D48DC"/>
    <w:rsid w:val="007D49A4"/>
    <w:rsid w:val="007D4D48"/>
    <w:rsid w:val="007D4E15"/>
    <w:rsid w:val="007D521E"/>
    <w:rsid w:val="007D556F"/>
    <w:rsid w:val="007D562F"/>
    <w:rsid w:val="007D5753"/>
    <w:rsid w:val="007D57D9"/>
    <w:rsid w:val="007D5954"/>
    <w:rsid w:val="007D59C9"/>
    <w:rsid w:val="007D59F2"/>
    <w:rsid w:val="007D6168"/>
    <w:rsid w:val="007D617D"/>
    <w:rsid w:val="007D622D"/>
    <w:rsid w:val="007D655A"/>
    <w:rsid w:val="007D6A8D"/>
    <w:rsid w:val="007D6AEB"/>
    <w:rsid w:val="007D6B92"/>
    <w:rsid w:val="007D7407"/>
    <w:rsid w:val="007D7501"/>
    <w:rsid w:val="007D7BA9"/>
    <w:rsid w:val="007D7E09"/>
    <w:rsid w:val="007E02FA"/>
    <w:rsid w:val="007E06EA"/>
    <w:rsid w:val="007E07D9"/>
    <w:rsid w:val="007E07DB"/>
    <w:rsid w:val="007E0A23"/>
    <w:rsid w:val="007E0BEA"/>
    <w:rsid w:val="007E0CF1"/>
    <w:rsid w:val="007E0D2F"/>
    <w:rsid w:val="007E0F4A"/>
    <w:rsid w:val="007E161B"/>
    <w:rsid w:val="007E16A7"/>
    <w:rsid w:val="007E16E5"/>
    <w:rsid w:val="007E19A6"/>
    <w:rsid w:val="007E1B17"/>
    <w:rsid w:val="007E21D6"/>
    <w:rsid w:val="007E25BD"/>
    <w:rsid w:val="007E2AD0"/>
    <w:rsid w:val="007E2CBF"/>
    <w:rsid w:val="007E36DA"/>
    <w:rsid w:val="007E375A"/>
    <w:rsid w:val="007E37C0"/>
    <w:rsid w:val="007E3D4B"/>
    <w:rsid w:val="007E3F57"/>
    <w:rsid w:val="007E4AB5"/>
    <w:rsid w:val="007E4AED"/>
    <w:rsid w:val="007E4AF8"/>
    <w:rsid w:val="007E4BC6"/>
    <w:rsid w:val="007E4C67"/>
    <w:rsid w:val="007E4EA9"/>
    <w:rsid w:val="007E5366"/>
    <w:rsid w:val="007E562F"/>
    <w:rsid w:val="007E5654"/>
    <w:rsid w:val="007E5872"/>
    <w:rsid w:val="007E5B72"/>
    <w:rsid w:val="007E5FE5"/>
    <w:rsid w:val="007E6462"/>
    <w:rsid w:val="007E6808"/>
    <w:rsid w:val="007E694C"/>
    <w:rsid w:val="007E6B8A"/>
    <w:rsid w:val="007E728B"/>
    <w:rsid w:val="007E751B"/>
    <w:rsid w:val="007E76AC"/>
    <w:rsid w:val="007E7CD2"/>
    <w:rsid w:val="007E7D9B"/>
    <w:rsid w:val="007F02B3"/>
    <w:rsid w:val="007F02BF"/>
    <w:rsid w:val="007F0606"/>
    <w:rsid w:val="007F12FF"/>
    <w:rsid w:val="007F1526"/>
    <w:rsid w:val="007F1571"/>
    <w:rsid w:val="007F17D1"/>
    <w:rsid w:val="007F1893"/>
    <w:rsid w:val="007F1A74"/>
    <w:rsid w:val="007F1B69"/>
    <w:rsid w:val="007F1FE2"/>
    <w:rsid w:val="007F21F9"/>
    <w:rsid w:val="007F22B6"/>
    <w:rsid w:val="007F237A"/>
    <w:rsid w:val="007F2A32"/>
    <w:rsid w:val="007F2AD9"/>
    <w:rsid w:val="007F2F62"/>
    <w:rsid w:val="007F2FD7"/>
    <w:rsid w:val="007F31AD"/>
    <w:rsid w:val="007F31F7"/>
    <w:rsid w:val="007F360E"/>
    <w:rsid w:val="007F3B5C"/>
    <w:rsid w:val="007F4214"/>
    <w:rsid w:val="007F4322"/>
    <w:rsid w:val="007F440C"/>
    <w:rsid w:val="007F46E0"/>
    <w:rsid w:val="007F483E"/>
    <w:rsid w:val="007F4C8C"/>
    <w:rsid w:val="007F4EC4"/>
    <w:rsid w:val="007F57D3"/>
    <w:rsid w:val="007F58A3"/>
    <w:rsid w:val="007F58B0"/>
    <w:rsid w:val="007F5FAD"/>
    <w:rsid w:val="007F62CF"/>
    <w:rsid w:val="007F6922"/>
    <w:rsid w:val="007F6B20"/>
    <w:rsid w:val="007F6CD4"/>
    <w:rsid w:val="007F7562"/>
    <w:rsid w:val="007F7677"/>
    <w:rsid w:val="007F7A90"/>
    <w:rsid w:val="00800F66"/>
    <w:rsid w:val="00801064"/>
    <w:rsid w:val="0080185C"/>
    <w:rsid w:val="00801BE2"/>
    <w:rsid w:val="00801DBE"/>
    <w:rsid w:val="00802238"/>
    <w:rsid w:val="00802638"/>
    <w:rsid w:val="0080306D"/>
    <w:rsid w:val="00803778"/>
    <w:rsid w:val="00803792"/>
    <w:rsid w:val="00803817"/>
    <w:rsid w:val="00803CD7"/>
    <w:rsid w:val="00804158"/>
    <w:rsid w:val="008048A2"/>
    <w:rsid w:val="00804A54"/>
    <w:rsid w:val="00804C3D"/>
    <w:rsid w:val="00804E32"/>
    <w:rsid w:val="00804F45"/>
    <w:rsid w:val="00805043"/>
    <w:rsid w:val="008053A1"/>
    <w:rsid w:val="00805BCE"/>
    <w:rsid w:val="00805E09"/>
    <w:rsid w:val="008060A1"/>
    <w:rsid w:val="00806560"/>
    <w:rsid w:val="00806790"/>
    <w:rsid w:val="008069D0"/>
    <w:rsid w:val="00806BE3"/>
    <w:rsid w:val="00807535"/>
    <w:rsid w:val="008078A9"/>
    <w:rsid w:val="008078D0"/>
    <w:rsid w:val="00807939"/>
    <w:rsid w:val="00807FF2"/>
    <w:rsid w:val="00810265"/>
    <w:rsid w:val="0081055C"/>
    <w:rsid w:val="00810747"/>
    <w:rsid w:val="0081092C"/>
    <w:rsid w:val="0081100D"/>
    <w:rsid w:val="0081135E"/>
    <w:rsid w:val="00811926"/>
    <w:rsid w:val="00811CF7"/>
    <w:rsid w:val="00811E79"/>
    <w:rsid w:val="00811E84"/>
    <w:rsid w:val="008120A4"/>
    <w:rsid w:val="00812114"/>
    <w:rsid w:val="008122A0"/>
    <w:rsid w:val="00812B14"/>
    <w:rsid w:val="008130F1"/>
    <w:rsid w:val="0081312C"/>
    <w:rsid w:val="00813230"/>
    <w:rsid w:val="0081324A"/>
    <w:rsid w:val="008134B5"/>
    <w:rsid w:val="008136E2"/>
    <w:rsid w:val="00813AC1"/>
    <w:rsid w:val="00813FF6"/>
    <w:rsid w:val="00814015"/>
    <w:rsid w:val="00814045"/>
    <w:rsid w:val="00814308"/>
    <w:rsid w:val="00814349"/>
    <w:rsid w:val="008145A3"/>
    <w:rsid w:val="008145DD"/>
    <w:rsid w:val="008147AE"/>
    <w:rsid w:val="008148D7"/>
    <w:rsid w:val="00814930"/>
    <w:rsid w:val="0081508A"/>
    <w:rsid w:val="008154A5"/>
    <w:rsid w:val="0081573A"/>
    <w:rsid w:val="00815C5D"/>
    <w:rsid w:val="00815CDD"/>
    <w:rsid w:val="0081618C"/>
    <w:rsid w:val="00816756"/>
    <w:rsid w:val="00816821"/>
    <w:rsid w:val="00816A55"/>
    <w:rsid w:val="008172C2"/>
    <w:rsid w:val="008177C6"/>
    <w:rsid w:val="00817A48"/>
    <w:rsid w:val="00817B01"/>
    <w:rsid w:val="00817C08"/>
    <w:rsid w:val="00817EAF"/>
    <w:rsid w:val="0082047E"/>
    <w:rsid w:val="0082050D"/>
    <w:rsid w:val="00820805"/>
    <w:rsid w:val="00820F46"/>
    <w:rsid w:val="008212BA"/>
    <w:rsid w:val="008213C5"/>
    <w:rsid w:val="008217D2"/>
    <w:rsid w:val="0082198A"/>
    <w:rsid w:val="00821C4C"/>
    <w:rsid w:val="00821F31"/>
    <w:rsid w:val="008224B5"/>
    <w:rsid w:val="00823058"/>
    <w:rsid w:val="00823592"/>
    <w:rsid w:val="008236B3"/>
    <w:rsid w:val="00823DA6"/>
    <w:rsid w:val="0082411F"/>
    <w:rsid w:val="008242F9"/>
    <w:rsid w:val="00824338"/>
    <w:rsid w:val="00824B95"/>
    <w:rsid w:val="00824C66"/>
    <w:rsid w:val="00824E09"/>
    <w:rsid w:val="0082501F"/>
    <w:rsid w:val="008250C2"/>
    <w:rsid w:val="0082519A"/>
    <w:rsid w:val="0082556C"/>
    <w:rsid w:val="0082565B"/>
    <w:rsid w:val="00825B98"/>
    <w:rsid w:val="00825FF2"/>
    <w:rsid w:val="008263F2"/>
    <w:rsid w:val="00826680"/>
    <w:rsid w:val="00826825"/>
    <w:rsid w:val="00826A21"/>
    <w:rsid w:val="00826CE9"/>
    <w:rsid w:val="00826DDE"/>
    <w:rsid w:val="00827D99"/>
    <w:rsid w:val="0083060D"/>
    <w:rsid w:val="00830702"/>
    <w:rsid w:val="00830892"/>
    <w:rsid w:val="00830A76"/>
    <w:rsid w:val="008310EA"/>
    <w:rsid w:val="00831389"/>
    <w:rsid w:val="008316C3"/>
    <w:rsid w:val="00831BDD"/>
    <w:rsid w:val="00831C65"/>
    <w:rsid w:val="00831F2C"/>
    <w:rsid w:val="00832876"/>
    <w:rsid w:val="00832C15"/>
    <w:rsid w:val="008332B5"/>
    <w:rsid w:val="00833666"/>
    <w:rsid w:val="00833E68"/>
    <w:rsid w:val="00833F28"/>
    <w:rsid w:val="008343EF"/>
    <w:rsid w:val="008346EA"/>
    <w:rsid w:val="0083488F"/>
    <w:rsid w:val="00834C61"/>
    <w:rsid w:val="00834C64"/>
    <w:rsid w:val="00834D78"/>
    <w:rsid w:val="00834EE1"/>
    <w:rsid w:val="00835513"/>
    <w:rsid w:val="00835590"/>
    <w:rsid w:val="00835718"/>
    <w:rsid w:val="0083594E"/>
    <w:rsid w:val="00835C56"/>
    <w:rsid w:val="00835C6A"/>
    <w:rsid w:val="00835F46"/>
    <w:rsid w:val="00836163"/>
    <w:rsid w:val="008369AA"/>
    <w:rsid w:val="00836E5B"/>
    <w:rsid w:val="00836F73"/>
    <w:rsid w:val="008378DC"/>
    <w:rsid w:val="00837F11"/>
    <w:rsid w:val="00840319"/>
    <w:rsid w:val="008407D7"/>
    <w:rsid w:val="00840BEC"/>
    <w:rsid w:val="00840F2D"/>
    <w:rsid w:val="00840F38"/>
    <w:rsid w:val="00840FE2"/>
    <w:rsid w:val="00841135"/>
    <w:rsid w:val="00841356"/>
    <w:rsid w:val="00841426"/>
    <w:rsid w:val="00841635"/>
    <w:rsid w:val="008416F6"/>
    <w:rsid w:val="00841DA2"/>
    <w:rsid w:val="00841EF0"/>
    <w:rsid w:val="00841F05"/>
    <w:rsid w:val="00842AE9"/>
    <w:rsid w:val="00842CF3"/>
    <w:rsid w:val="0084301A"/>
    <w:rsid w:val="008431C0"/>
    <w:rsid w:val="00843310"/>
    <w:rsid w:val="00843B46"/>
    <w:rsid w:val="00843C6D"/>
    <w:rsid w:val="0084473D"/>
    <w:rsid w:val="00844993"/>
    <w:rsid w:val="00844F33"/>
    <w:rsid w:val="00845085"/>
    <w:rsid w:val="008457E9"/>
    <w:rsid w:val="00845CA4"/>
    <w:rsid w:val="008462FE"/>
    <w:rsid w:val="008466A4"/>
    <w:rsid w:val="008468B6"/>
    <w:rsid w:val="0084693A"/>
    <w:rsid w:val="00846A64"/>
    <w:rsid w:val="00846D49"/>
    <w:rsid w:val="008470C9"/>
    <w:rsid w:val="008473E4"/>
    <w:rsid w:val="00847A3C"/>
    <w:rsid w:val="00847E28"/>
    <w:rsid w:val="0085106B"/>
    <w:rsid w:val="0085124B"/>
    <w:rsid w:val="008516A6"/>
    <w:rsid w:val="00852074"/>
    <w:rsid w:val="008520E1"/>
    <w:rsid w:val="00852497"/>
    <w:rsid w:val="008524C1"/>
    <w:rsid w:val="008525D4"/>
    <w:rsid w:val="008529D5"/>
    <w:rsid w:val="00852D2C"/>
    <w:rsid w:val="00852F32"/>
    <w:rsid w:val="008531A4"/>
    <w:rsid w:val="008531CF"/>
    <w:rsid w:val="00853678"/>
    <w:rsid w:val="00853873"/>
    <w:rsid w:val="00853B75"/>
    <w:rsid w:val="00853D1B"/>
    <w:rsid w:val="00853F2C"/>
    <w:rsid w:val="00854173"/>
    <w:rsid w:val="00855305"/>
    <w:rsid w:val="0085591D"/>
    <w:rsid w:val="00855CBA"/>
    <w:rsid w:val="00855CCD"/>
    <w:rsid w:val="00856977"/>
    <w:rsid w:val="00856BFD"/>
    <w:rsid w:val="00856E3E"/>
    <w:rsid w:val="00857C2A"/>
    <w:rsid w:val="00860401"/>
    <w:rsid w:val="0086079C"/>
    <w:rsid w:val="00860DDF"/>
    <w:rsid w:val="00860EA1"/>
    <w:rsid w:val="0086121A"/>
    <w:rsid w:val="008612CB"/>
    <w:rsid w:val="0086172F"/>
    <w:rsid w:val="00861EFF"/>
    <w:rsid w:val="008624E7"/>
    <w:rsid w:val="00862553"/>
    <w:rsid w:val="008625C9"/>
    <w:rsid w:val="00862D2C"/>
    <w:rsid w:val="00862EDC"/>
    <w:rsid w:val="0086307E"/>
    <w:rsid w:val="00863461"/>
    <w:rsid w:val="00863BAD"/>
    <w:rsid w:val="00863D4A"/>
    <w:rsid w:val="00863F9B"/>
    <w:rsid w:val="00864506"/>
    <w:rsid w:val="008647F6"/>
    <w:rsid w:val="00864807"/>
    <w:rsid w:val="00864874"/>
    <w:rsid w:val="0086499C"/>
    <w:rsid w:val="00864D16"/>
    <w:rsid w:val="00864E29"/>
    <w:rsid w:val="00864EF0"/>
    <w:rsid w:val="0086520A"/>
    <w:rsid w:val="00865D0F"/>
    <w:rsid w:val="00865D11"/>
    <w:rsid w:val="00866590"/>
    <w:rsid w:val="00866665"/>
    <w:rsid w:val="00866EC1"/>
    <w:rsid w:val="0086785A"/>
    <w:rsid w:val="00867C57"/>
    <w:rsid w:val="00867D73"/>
    <w:rsid w:val="00870214"/>
    <w:rsid w:val="0087039A"/>
    <w:rsid w:val="008703CC"/>
    <w:rsid w:val="008703E8"/>
    <w:rsid w:val="00870403"/>
    <w:rsid w:val="00870A00"/>
    <w:rsid w:val="00870A20"/>
    <w:rsid w:val="00870A4E"/>
    <w:rsid w:val="00870BA4"/>
    <w:rsid w:val="00871467"/>
    <w:rsid w:val="008717B4"/>
    <w:rsid w:val="008717E0"/>
    <w:rsid w:val="008719A5"/>
    <w:rsid w:val="00871EA2"/>
    <w:rsid w:val="00872376"/>
    <w:rsid w:val="00872546"/>
    <w:rsid w:val="008725FE"/>
    <w:rsid w:val="00872845"/>
    <w:rsid w:val="00872AC7"/>
    <w:rsid w:val="00872B88"/>
    <w:rsid w:val="00873815"/>
    <w:rsid w:val="008739C8"/>
    <w:rsid w:val="00873FA6"/>
    <w:rsid w:val="008740BF"/>
    <w:rsid w:val="00874E07"/>
    <w:rsid w:val="00874F18"/>
    <w:rsid w:val="0087552D"/>
    <w:rsid w:val="00875A25"/>
    <w:rsid w:val="00875B97"/>
    <w:rsid w:val="00875FB2"/>
    <w:rsid w:val="0087633E"/>
    <w:rsid w:val="00876557"/>
    <w:rsid w:val="008767EB"/>
    <w:rsid w:val="008769E1"/>
    <w:rsid w:val="00876D05"/>
    <w:rsid w:val="00876F15"/>
    <w:rsid w:val="008774D9"/>
    <w:rsid w:val="0087784B"/>
    <w:rsid w:val="00877E93"/>
    <w:rsid w:val="008802B7"/>
    <w:rsid w:val="008806CE"/>
    <w:rsid w:val="00880B10"/>
    <w:rsid w:val="00880C64"/>
    <w:rsid w:val="00880E76"/>
    <w:rsid w:val="00881145"/>
    <w:rsid w:val="00881249"/>
    <w:rsid w:val="00881290"/>
    <w:rsid w:val="00881B71"/>
    <w:rsid w:val="00881BEE"/>
    <w:rsid w:val="00881C78"/>
    <w:rsid w:val="00881C7F"/>
    <w:rsid w:val="008828B3"/>
    <w:rsid w:val="008828F1"/>
    <w:rsid w:val="0088291B"/>
    <w:rsid w:val="00883159"/>
    <w:rsid w:val="00883352"/>
    <w:rsid w:val="00883375"/>
    <w:rsid w:val="008833B6"/>
    <w:rsid w:val="0088379A"/>
    <w:rsid w:val="00883EEE"/>
    <w:rsid w:val="008840F9"/>
    <w:rsid w:val="008841F4"/>
    <w:rsid w:val="0088424C"/>
    <w:rsid w:val="00884822"/>
    <w:rsid w:val="00885302"/>
    <w:rsid w:val="0088579C"/>
    <w:rsid w:val="008857B7"/>
    <w:rsid w:val="00885CA1"/>
    <w:rsid w:val="008862EE"/>
    <w:rsid w:val="00886971"/>
    <w:rsid w:val="00886BF6"/>
    <w:rsid w:val="00886CC6"/>
    <w:rsid w:val="00886EF6"/>
    <w:rsid w:val="00887120"/>
    <w:rsid w:val="0088731B"/>
    <w:rsid w:val="008875EB"/>
    <w:rsid w:val="00887805"/>
    <w:rsid w:val="0088791E"/>
    <w:rsid w:val="00887A10"/>
    <w:rsid w:val="00887D4B"/>
    <w:rsid w:val="00890263"/>
    <w:rsid w:val="008907AE"/>
    <w:rsid w:val="008908C9"/>
    <w:rsid w:val="00890C39"/>
    <w:rsid w:val="00890D18"/>
    <w:rsid w:val="00890E37"/>
    <w:rsid w:val="0089110B"/>
    <w:rsid w:val="008911B0"/>
    <w:rsid w:val="00891D6F"/>
    <w:rsid w:val="00892153"/>
    <w:rsid w:val="008921F8"/>
    <w:rsid w:val="0089228B"/>
    <w:rsid w:val="008922D3"/>
    <w:rsid w:val="00892490"/>
    <w:rsid w:val="008924A8"/>
    <w:rsid w:val="0089274C"/>
    <w:rsid w:val="00892D90"/>
    <w:rsid w:val="00892E73"/>
    <w:rsid w:val="00892F83"/>
    <w:rsid w:val="00893404"/>
    <w:rsid w:val="0089363D"/>
    <w:rsid w:val="00894671"/>
    <w:rsid w:val="008946D7"/>
    <w:rsid w:val="00894AE0"/>
    <w:rsid w:val="00894DB9"/>
    <w:rsid w:val="008955C7"/>
    <w:rsid w:val="0089594C"/>
    <w:rsid w:val="00895F07"/>
    <w:rsid w:val="008962C6"/>
    <w:rsid w:val="008962F8"/>
    <w:rsid w:val="00896425"/>
    <w:rsid w:val="0089654C"/>
    <w:rsid w:val="008965DC"/>
    <w:rsid w:val="0089666D"/>
    <w:rsid w:val="00896D16"/>
    <w:rsid w:val="00896F84"/>
    <w:rsid w:val="00897017"/>
    <w:rsid w:val="00897154"/>
    <w:rsid w:val="0089732D"/>
    <w:rsid w:val="0089760C"/>
    <w:rsid w:val="00897D8C"/>
    <w:rsid w:val="008A0108"/>
    <w:rsid w:val="008A0667"/>
    <w:rsid w:val="008A0727"/>
    <w:rsid w:val="008A0876"/>
    <w:rsid w:val="008A0940"/>
    <w:rsid w:val="008A0D56"/>
    <w:rsid w:val="008A0DED"/>
    <w:rsid w:val="008A0E04"/>
    <w:rsid w:val="008A15D4"/>
    <w:rsid w:val="008A17C5"/>
    <w:rsid w:val="008A18A0"/>
    <w:rsid w:val="008A19B9"/>
    <w:rsid w:val="008A263B"/>
    <w:rsid w:val="008A2A93"/>
    <w:rsid w:val="008A2DB7"/>
    <w:rsid w:val="008A344E"/>
    <w:rsid w:val="008A39F2"/>
    <w:rsid w:val="008A3B29"/>
    <w:rsid w:val="008A3C99"/>
    <w:rsid w:val="008A4267"/>
    <w:rsid w:val="008A4B37"/>
    <w:rsid w:val="008A50EA"/>
    <w:rsid w:val="008A55FC"/>
    <w:rsid w:val="008A561C"/>
    <w:rsid w:val="008A5965"/>
    <w:rsid w:val="008A67A7"/>
    <w:rsid w:val="008A6B90"/>
    <w:rsid w:val="008A78B6"/>
    <w:rsid w:val="008A7EC1"/>
    <w:rsid w:val="008B018D"/>
    <w:rsid w:val="008B0657"/>
    <w:rsid w:val="008B06BA"/>
    <w:rsid w:val="008B092E"/>
    <w:rsid w:val="008B0A37"/>
    <w:rsid w:val="008B10A3"/>
    <w:rsid w:val="008B221D"/>
    <w:rsid w:val="008B2235"/>
    <w:rsid w:val="008B2380"/>
    <w:rsid w:val="008B26A7"/>
    <w:rsid w:val="008B2855"/>
    <w:rsid w:val="008B2FE7"/>
    <w:rsid w:val="008B368D"/>
    <w:rsid w:val="008B3CDA"/>
    <w:rsid w:val="008B45AE"/>
    <w:rsid w:val="008B48C3"/>
    <w:rsid w:val="008B4EB6"/>
    <w:rsid w:val="008B5612"/>
    <w:rsid w:val="008B58DD"/>
    <w:rsid w:val="008B5D26"/>
    <w:rsid w:val="008B5E6E"/>
    <w:rsid w:val="008B603B"/>
    <w:rsid w:val="008B637E"/>
    <w:rsid w:val="008B6856"/>
    <w:rsid w:val="008B6A9C"/>
    <w:rsid w:val="008B6AEA"/>
    <w:rsid w:val="008B6B50"/>
    <w:rsid w:val="008B6CF0"/>
    <w:rsid w:val="008B702D"/>
    <w:rsid w:val="008B70AF"/>
    <w:rsid w:val="008B7414"/>
    <w:rsid w:val="008B79F0"/>
    <w:rsid w:val="008B7DC2"/>
    <w:rsid w:val="008C0ADB"/>
    <w:rsid w:val="008C0C80"/>
    <w:rsid w:val="008C10A2"/>
    <w:rsid w:val="008C126C"/>
    <w:rsid w:val="008C12D3"/>
    <w:rsid w:val="008C136A"/>
    <w:rsid w:val="008C19DB"/>
    <w:rsid w:val="008C1D2E"/>
    <w:rsid w:val="008C1F19"/>
    <w:rsid w:val="008C1F4B"/>
    <w:rsid w:val="008C1F5F"/>
    <w:rsid w:val="008C2435"/>
    <w:rsid w:val="008C2509"/>
    <w:rsid w:val="008C2659"/>
    <w:rsid w:val="008C2873"/>
    <w:rsid w:val="008C28A9"/>
    <w:rsid w:val="008C2929"/>
    <w:rsid w:val="008C29E4"/>
    <w:rsid w:val="008C378C"/>
    <w:rsid w:val="008C3FF3"/>
    <w:rsid w:val="008C4270"/>
    <w:rsid w:val="008C45DB"/>
    <w:rsid w:val="008C4985"/>
    <w:rsid w:val="008C49E2"/>
    <w:rsid w:val="008C4D7E"/>
    <w:rsid w:val="008C4EDA"/>
    <w:rsid w:val="008C5268"/>
    <w:rsid w:val="008C54F4"/>
    <w:rsid w:val="008C5ABC"/>
    <w:rsid w:val="008C5BFE"/>
    <w:rsid w:val="008C5CAF"/>
    <w:rsid w:val="008C677A"/>
    <w:rsid w:val="008C6CBE"/>
    <w:rsid w:val="008C6D20"/>
    <w:rsid w:val="008C7202"/>
    <w:rsid w:val="008C735D"/>
    <w:rsid w:val="008D047A"/>
    <w:rsid w:val="008D080C"/>
    <w:rsid w:val="008D0B5B"/>
    <w:rsid w:val="008D118E"/>
    <w:rsid w:val="008D2077"/>
    <w:rsid w:val="008D20BD"/>
    <w:rsid w:val="008D2192"/>
    <w:rsid w:val="008D2A7D"/>
    <w:rsid w:val="008D2B7D"/>
    <w:rsid w:val="008D2D24"/>
    <w:rsid w:val="008D3863"/>
    <w:rsid w:val="008D3A0F"/>
    <w:rsid w:val="008D3D22"/>
    <w:rsid w:val="008D401C"/>
    <w:rsid w:val="008D40FF"/>
    <w:rsid w:val="008D41D3"/>
    <w:rsid w:val="008D4B26"/>
    <w:rsid w:val="008D53CB"/>
    <w:rsid w:val="008D5403"/>
    <w:rsid w:val="008D54CC"/>
    <w:rsid w:val="008D5739"/>
    <w:rsid w:val="008D57BF"/>
    <w:rsid w:val="008D5D50"/>
    <w:rsid w:val="008D6784"/>
    <w:rsid w:val="008D6CEE"/>
    <w:rsid w:val="008D6DC7"/>
    <w:rsid w:val="008D710C"/>
    <w:rsid w:val="008D75B7"/>
    <w:rsid w:val="008D78A8"/>
    <w:rsid w:val="008D79AA"/>
    <w:rsid w:val="008D7CAB"/>
    <w:rsid w:val="008E0114"/>
    <w:rsid w:val="008E048E"/>
    <w:rsid w:val="008E04A3"/>
    <w:rsid w:val="008E051A"/>
    <w:rsid w:val="008E0AAD"/>
    <w:rsid w:val="008E0ADE"/>
    <w:rsid w:val="008E0BE5"/>
    <w:rsid w:val="008E12F6"/>
    <w:rsid w:val="008E1424"/>
    <w:rsid w:val="008E1426"/>
    <w:rsid w:val="008E14C9"/>
    <w:rsid w:val="008E170E"/>
    <w:rsid w:val="008E1714"/>
    <w:rsid w:val="008E17AD"/>
    <w:rsid w:val="008E1807"/>
    <w:rsid w:val="008E18DC"/>
    <w:rsid w:val="008E192F"/>
    <w:rsid w:val="008E1A05"/>
    <w:rsid w:val="008E1D87"/>
    <w:rsid w:val="008E1F74"/>
    <w:rsid w:val="008E254E"/>
    <w:rsid w:val="008E272D"/>
    <w:rsid w:val="008E3041"/>
    <w:rsid w:val="008E3493"/>
    <w:rsid w:val="008E3B77"/>
    <w:rsid w:val="008E3CC9"/>
    <w:rsid w:val="008E3F7E"/>
    <w:rsid w:val="008E452A"/>
    <w:rsid w:val="008E4978"/>
    <w:rsid w:val="008E4A1D"/>
    <w:rsid w:val="008E4A9B"/>
    <w:rsid w:val="008E4B5F"/>
    <w:rsid w:val="008E4BCA"/>
    <w:rsid w:val="008E4D67"/>
    <w:rsid w:val="008E58B0"/>
    <w:rsid w:val="008E5C6F"/>
    <w:rsid w:val="008E607B"/>
    <w:rsid w:val="008E6682"/>
    <w:rsid w:val="008E6700"/>
    <w:rsid w:val="008E6956"/>
    <w:rsid w:val="008E72D0"/>
    <w:rsid w:val="008E769D"/>
    <w:rsid w:val="008E7E01"/>
    <w:rsid w:val="008E7E66"/>
    <w:rsid w:val="008F0038"/>
    <w:rsid w:val="008F0459"/>
    <w:rsid w:val="008F172E"/>
    <w:rsid w:val="008F18D4"/>
    <w:rsid w:val="008F193A"/>
    <w:rsid w:val="008F21DD"/>
    <w:rsid w:val="008F251F"/>
    <w:rsid w:val="008F2693"/>
    <w:rsid w:val="008F26B4"/>
    <w:rsid w:val="008F27B7"/>
    <w:rsid w:val="008F29BB"/>
    <w:rsid w:val="008F2B26"/>
    <w:rsid w:val="008F2E89"/>
    <w:rsid w:val="008F2EF1"/>
    <w:rsid w:val="008F3178"/>
    <w:rsid w:val="008F3664"/>
    <w:rsid w:val="008F37F3"/>
    <w:rsid w:val="008F385F"/>
    <w:rsid w:val="008F3A21"/>
    <w:rsid w:val="008F3FC3"/>
    <w:rsid w:val="008F4011"/>
    <w:rsid w:val="008F43AD"/>
    <w:rsid w:val="008F49B7"/>
    <w:rsid w:val="008F4B88"/>
    <w:rsid w:val="008F4FD7"/>
    <w:rsid w:val="008F50C1"/>
    <w:rsid w:val="008F5155"/>
    <w:rsid w:val="008F52E8"/>
    <w:rsid w:val="008F5637"/>
    <w:rsid w:val="008F5DBA"/>
    <w:rsid w:val="008F6573"/>
    <w:rsid w:val="008F6B7F"/>
    <w:rsid w:val="008F6C01"/>
    <w:rsid w:val="008F744E"/>
    <w:rsid w:val="008F7FFC"/>
    <w:rsid w:val="00900097"/>
    <w:rsid w:val="009006D6"/>
    <w:rsid w:val="00900C0C"/>
    <w:rsid w:val="00900DE9"/>
    <w:rsid w:val="00900E8B"/>
    <w:rsid w:val="00900FA2"/>
    <w:rsid w:val="00901028"/>
    <w:rsid w:val="00901ED6"/>
    <w:rsid w:val="00901FA3"/>
    <w:rsid w:val="00902095"/>
    <w:rsid w:val="00902428"/>
    <w:rsid w:val="009028C5"/>
    <w:rsid w:val="00903222"/>
    <w:rsid w:val="00903528"/>
    <w:rsid w:val="009036CC"/>
    <w:rsid w:val="009037A2"/>
    <w:rsid w:val="0090386F"/>
    <w:rsid w:val="009039C0"/>
    <w:rsid w:val="009040C8"/>
    <w:rsid w:val="0090471F"/>
    <w:rsid w:val="00904A63"/>
    <w:rsid w:val="00904AA7"/>
    <w:rsid w:val="00905117"/>
    <w:rsid w:val="00905518"/>
    <w:rsid w:val="009056A0"/>
    <w:rsid w:val="009056A4"/>
    <w:rsid w:val="009056FE"/>
    <w:rsid w:val="00905B7C"/>
    <w:rsid w:val="00905C30"/>
    <w:rsid w:val="0090645D"/>
    <w:rsid w:val="00906463"/>
    <w:rsid w:val="009064A0"/>
    <w:rsid w:val="0090652F"/>
    <w:rsid w:val="00906DA2"/>
    <w:rsid w:val="009071C5"/>
    <w:rsid w:val="0090743A"/>
    <w:rsid w:val="0090745E"/>
    <w:rsid w:val="00907B04"/>
    <w:rsid w:val="00907C1F"/>
    <w:rsid w:val="0091072A"/>
    <w:rsid w:val="0091073A"/>
    <w:rsid w:val="00910879"/>
    <w:rsid w:val="00910927"/>
    <w:rsid w:val="00910C50"/>
    <w:rsid w:val="0091141A"/>
    <w:rsid w:val="00911B12"/>
    <w:rsid w:val="00911B91"/>
    <w:rsid w:val="0091239F"/>
    <w:rsid w:val="00912521"/>
    <w:rsid w:val="009128A3"/>
    <w:rsid w:val="00913802"/>
    <w:rsid w:val="00913A3A"/>
    <w:rsid w:val="00913B24"/>
    <w:rsid w:val="0091463D"/>
    <w:rsid w:val="009146CC"/>
    <w:rsid w:val="00915810"/>
    <w:rsid w:val="00915945"/>
    <w:rsid w:val="00915C8B"/>
    <w:rsid w:val="00915D99"/>
    <w:rsid w:val="00915EDB"/>
    <w:rsid w:val="0091662A"/>
    <w:rsid w:val="00916E49"/>
    <w:rsid w:val="0091742F"/>
    <w:rsid w:val="009177CC"/>
    <w:rsid w:val="009178B4"/>
    <w:rsid w:val="00917A48"/>
    <w:rsid w:val="00920056"/>
    <w:rsid w:val="0092007E"/>
    <w:rsid w:val="009200FC"/>
    <w:rsid w:val="0092032D"/>
    <w:rsid w:val="00920485"/>
    <w:rsid w:val="0092074B"/>
    <w:rsid w:val="009207FE"/>
    <w:rsid w:val="00921438"/>
    <w:rsid w:val="00921619"/>
    <w:rsid w:val="0092187C"/>
    <w:rsid w:val="00921DFC"/>
    <w:rsid w:val="00922402"/>
    <w:rsid w:val="00922885"/>
    <w:rsid w:val="00922896"/>
    <w:rsid w:val="009231C7"/>
    <w:rsid w:val="009232A6"/>
    <w:rsid w:val="009239B2"/>
    <w:rsid w:val="00924250"/>
    <w:rsid w:val="009249A3"/>
    <w:rsid w:val="00924D35"/>
    <w:rsid w:val="00924D7F"/>
    <w:rsid w:val="00924D87"/>
    <w:rsid w:val="00924DDD"/>
    <w:rsid w:val="00925104"/>
    <w:rsid w:val="0092525A"/>
    <w:rsid w:val="00925347"/>
    <w:rsid w:val="00925548"/>
    <w:rsid w:val="00925562"/>
    <w:rsid w:val="0092562A"/>
    <w:rsid w:val="0092574E"/>
    <w:rsid w:val="00925851"/>
    <w:rsid w:val="00925B99"/>
    <w:rsid w:val="00926666"/>
    <w:rsid w:val="00926892"/>
    <w:rsid w:val="00926BB6"/>
    <w:rsid w:val="00926EFD"/>
    <w:rsid w:val="009270E5"/>
    <w:rsid w:val="0092722C"/>
    <w:rsid w:val="009302CE"/>
    <w:rsid w:val="009306A3"/>
    <w:rsid w:val="009306EE"/>
    <w:rsid w:val="00930791"/>
    <w:rsid w:val="00930AAD"/>
    <w:rsid w:val="00930BE0"/>
    <w:rsid w:val="00931250"/>
    <w:rsid w:val="0093130B"/>
    <w:rsid w:val="009319C8"/>
    <w:rsid w:val="00931B7E"/>
    <w:rsid w:val="00932498"/>
    <w:rsid w:val="0093292E"/>
    <w:rsid w:val="00932AF7"/>
    <w:rsid w:val="00933023"/>
    <w:rsid w:val="009330C2"/>
    <w:rsid w:val="009333EE"/>
    <w:rsid w:val="009335D4"/>
    <w:rsid w:val="009337AC"/>
    <w:rsid w:val="00933B87"/>
    <w:rsid w:val="00934688"/>
    <w:rsid w:val="009346A1"/>
    <w:rsid w:val="00934AB6"/>
    <w:rsid w:val="009356DE"/>
    <w:rsid w:val="0093598D"/>
    <w:rsid w:val="00935A3E"/>
    <w:rsid w:val="00935CA9"/>
    <w:rsid w:val="00936109"/>
    <w:rsid w:val="00936186"/>
    <w:rsid w:val="00936561"/>
    <w:rsid w:val="00936AC0"/>
    <w:rsid w:val="00936AF9"/>
    <w:rsid w:val="00936FEA"/>
    <w:rsid w:val="00937487"/>
    <w:rsid w:val="00937AAD"/>
    <w:rsid w:val="00940A90"/>
    <w:rsid w:val="00940C29"/>
    <w:rsid w:val="00941143"/>
    <w:rsid w:val="00941561"/>
    <w:rsid w:val="009416FC"/>
    <w:rsid w:val="00941E14"/>
    <w:rsid w:val="00942134"/>
    <w:rsid w:val="0094253F"/>
    <w:rsid w:val="0094277C"/>
    <w:rsid w:val="009427EE"/>
    <w:rsid w:val="00942B36"/>
    <w:rsid w:val="00942DB7"/>
    <w:rsid w:val="009430CA"/>
    <w:rsid w:val="009435EC"/>
    <w:rsid w:val="00943A82"/>
    <w:rsid w:val="00943D1A"/>
    <w:rsid w:val="00943D93"/>
    <w:rsid w:val="009441C8"/>
    <w:rsid w:val="00944579"/>
    <w:rsid w:val="009445B6"/>
    <w:rsid w:val="009446B4"/>
    <w:rsid w:val="00944B93"/>
    <w:rsid w:val="00944BCC"/>
    <w:rsid w:val="00944CF7"/>
    <w:rsid w:val="00944FC6"/>
    <w:rsid w:val="00945317"/>
    <w:rsid w:val="00945957"/>
    <w:rsid w:val="00945CD2"/>
    <w:rsid w:val="00945EB7"/>
    <w:rsid w:val="0094623F"/>
    <w:rsid w:val="0094658C"/>
    <w:rsid w:val="00946664"/>
    <w:rsid w:val="0094698A"/>
    <w:rsid w:val="00946A43"/>
    <w:rsid w:val="009507E1"/>
    <w:rsid w:val="009507FC"/>
    <w:rsid w:val="00950FCB"/>
    <w:rsid w:val="00951692"/>
    <w:rsid w:val="00951DD5"/>
    <w:rsid w:val="00952061"/>
    <w:rsid w:val="009525C0"/>
    <w:rsid w:val="009525D7"/>
    <w:rsid w:val="0095276B"/>
    <w:rsid w:val="00952E11"/>
    <w:rsid w:val="00953003"/>
    <w:rsid w:val="00953333"/>
    <w:rsid w:val="00953A35"/>
    <w:rsid w:val="00953C37"/>
    <w:rsid w:val="00954256"/>
    <w:rsid w:val="009542BA"/>
    <w:rsid w:val="00954A17"/>
    <w:rsid w:val="0095504A"/>
    <w:rsid w:val="009550CA"/>
    <w:rsid w:val="0095510E"/>
    <w:rsid w:val="0095551B"/>
    <w:rsid w:val="009556A4"/>
    <w:rsid w:val="00955D14"/>
    <w:rsid w:val="00955D69"/>
    <w:rsid w:val="00956099"/>
    <w:rsid w:val="00956F65"/>
    <w:rsid w:val="0095727D"/>
    <w:rsid w:val="009577C7"/>
    <w:rsid w:val="00957E5D"/>
    <w:rsid w:val="0096007E"/>
    <w:rsid w:val="00960535"/>
    <w:rsid w:val="00960A9F"/>
    <w:rsid w:val="00960E54"/>
    <w:rsid w:val="00961779"/>
    <w:rsid w:val="00961EB2"/>
    <w:rsid w:val="009620C5"/>
    <w:rsid w:val="00963178"/>
    <w:rsid w:val="0096325B"/>
    <w:rsid w:val="009635B1"/>
    <w:rsid w:val="009638BC"/>
    <w:rsid w:val="00964159"/>
    <w:rsid w:val="00964245"/>
    <w:rsid w:val="0096446E"/>
    <w:rsid w:val="00964726"/>
    <w:rsid w:val="00964840"/>
    <w:rsid w:val="009648D8"/>
    <w:rsid w:val="00964BBF"/>
    <w:rsid w:val="00965148"/>
    <w:rsid w:val="00965839"/>
    <w:rsid w:val="00965DE7"/>
    <w:rsid w:val="00965F68"/>
    <w:rsid w:val="00966D6F"/>
    <w:rsid w:val="0096705F"/>
    <w:rsid w:val="00967367"/>
    <w:rsid w:val="00967408"/>
    <w:rsid w:val="009675C9"/>
    <w:rsid w:val="00967651"/>
    <w:rsid w:val="009676A9"/>
    <w:rsid w:val="00967746"/>
    <w:rsid w:val="009678CF"/>
    <w:rsid w:val="00967D49"/>
    <w:rsid w:val="00967D9C"/>
    <w:rsid w:val="00967F08"/>
    <w:rsid w:val="00970009"/>
    <w:rsid w:val="00970331"/>
    <w:rsid w:val="0097097C"/>
    <w:rsid w:val="009711D6"/>
    <w:rsid w:val="0097144C"/>
    <w:rsid w:val="0097150E"/>
    <w:rsid w:val="00971624"/>
    <w:rsid w:val="00971890"/>
    <w:rsid w:val="009718D0"/>
    <w:rsid w:val="00971A88"/>
    <w:rsid w:val="0097248E"/>
    <w:rsid w:val="00972BAF"/>
    <w:rsid w:val="00972E87"/>
    <w:rsid w:val="00972F47"/>
    <w:rsid w:val="00973101"/>
    <w:rsid w:val="00973626"/>
    <w:rsid w:val="0097389F"/>
    <w:rsid w:val="009738DB"/>
    <w:rsid w:val="00973A54"/>
    <w:rsid w:val="00973EB7"/>
    <w:rsid w:val="009748F1"/>
    <w:rsid w:val="00974A49"/>
    <w:rsid w:val="00974B41"/>
    <w:rsid w:val="0097535C"/>
    <w:rsid w:val="00975693"/>
    <w:rsid w:val="00975A93"/>
    <w:rsid w:val="00975E4B"/>
    <w:rsid w:val="00976218"/>
    <w:rsid w:val="0097651A"/>
    <w:rsid w:val="00976AF7"/>
    <w:rsid w:val="00976D00"/>
    <w:rsid w:val="0097737A"/>
    <w:rsid w:val="009773C9"/>
    <w:rsid w:val="00977AB7"/>
    <w:rsid w:val="00977E69"/>
    <w:rsid w:val="00980347"/>
    <w:rsid w:val="009804FE"/>
    <w:rsid w:val="00980559"/>
    <w:rsid w:val="00980B72"/>
    <w:rsid w:val="009810C4"/>
    <w:rsid w:val="00981530"/>
    <w:rsid w:val="00981984"/>
    <w:rsid w:val="009827D8"/>
    <w:rsid w:val="00982C0E"/>
    <w:rsid w:val="009831BE"/>
    <w:rsid w:val="00983248"/>
    <w:rsid w:val="009832DC"/>
    <w:rsid w:val="00983791"/>
    <w:rsid w:val="00983A3E"/>
    <w:rsid w:val="00983A78"/>
    <w:rsid w:val="00983CE2"/>
    <w:rsid w:val="00983CF3"/>
    <w:rsid w:val="009840C0"/>
    <w:rsid w:val="00984322"/>
    <w:rsid w:val="009848DE"/>
    <w:rsid w:val="00984AD7"/>
    <w:rsid w:val="009858C3"/>
    <w:rsid w:val="00985C5E"/>
    <w:rsid w:val="00985C60"/>
    <w:rsid w:val="00986098"/>
    <w:rsid w:val="0098655A"/>
    <w:rsid w:val="00986BE0"/>
    <w:rsid w:val="00986C0D"/>
    <w:rsid w:val="00986E2A"/>
    <w:rsid w:val="00987068"/>
    <w:rsid w:val="0098753F"/>
    <w:rsid w:val="0099025C"/>
    <w:rsid w:val="00990AA1"/>
    <w:rsid w:val="00990D01"/>
    <w:rsid w:val="00990E99"/>
    <w:rsid w:val="00990EE2"/>
    <w:rsid w:val="0099124E"/>
    <w:rsid w:val="009912F3"/>
    <w:rsid w:val="00991D43"/>
    <w:rsid w:val="0099266C"/>
    <w:rsid w:val="00992A55"/>
    <w:rsid w:val="00992AF8"/>
    <w:rsid w:val="00992C63"/>
    <w:rsid w:val="009930F7"/>
    <w:rsid w:val="00993A2B"/>
    <w:rsid w:val="00993EF6"/>
    <w:rsid w:val="0099409A"/>
    <w:rsid w:val="009943F0"/>
    <w:rsid w:val="00994863"/>
    <w:rsid w:val="009949FE"/>
    <w:rsid w:val="00994AAA"/>
    <w:rsid w:val="00994C49"/>
    <w:rsid w:val="00994E74"/>
    <w:rsid w:val="0099503E"/>
    <w:rsid w:val="00995BE1"/>
    <w:rsid w:val="00996470"/>
    <w:rsid w:val="009965FB"/>
    <w:rsid w:val="009966AB"/>
    <w:rsid w:val="00996825"/>
    <w:rsid w:val="00997105"/>
    <w:rsid w:val="00997467"/>
    <w:rsid w:val="00997D8C"/>
    <w:rsid w:val="00997FDA"/>
    <w:rsid w:val="009A075F"/>
    <w:rsid w:val="009A083C"/>
    <w:rsid w:val="009A152A"/>
    <w:rsid w:val="009A174E"/>
    <w:rsid w:val="009A1B1D"/>
    <w:rsid w:val="009A1C97"/>
    <w:rsid w:val="009A1D60"/>
    <w:rsid w:val="009A1F4F"/>
    <w:rsid w:val="009A261D"/>
    <w:rsid w:val="009A2795"/>
    <w:rsid w:val="009A2C7E"/>
    <w:rsid w:val="009A2F43"/>
    <w:rsid w:val="009A32BD"/>
    <w:rsid w:val="009A370B"/>
    <w:rsid w:val="009A38F9"/>
    <w:rsid w:val="009A4256"/>
    <w:rsid w:val="009A4954"/>
    <w:rsid w:val="009A5077"/>
    <w:rsid w:val="009A5086"/>
    <w:rsid w:val="009A5206"/>
    <w:rsid w:val="009A591E"/>
    <w:rsid w:val="009A5A0E"/>
    <w:rsid w:val="009A5B38"/>
    <w:rsid w:val="009A5E0B"/>
    <w:rsid w:val="009A670D"/>
    <w:rsid w:val="009A69BB"/>
    <w:rsid w:val="009A6A5F"/>
    <w:rsid w:val="009A6D16"/>
    <w:rsid w:val="009A6DAA"/>
    <w:rsid w:val="009A6DB7"/>
    <w:rsid w:val="009A757C"/>
    <w:rsid w:val="009A75B9"/>
    <w:rsid w:val="009A7701"/>
    <w:rsid w:val="009A78D4"/>
    <w:rsid w:val="009A7F56"/>
    <w:rsid w:val="009B004B"/>
    <w:rsid w:val="009B0FBD"/>
    <w:rsid w:val="009B105F"/>
    <w:rsid w:val="009B11C0"/>
    <w:rsid w:val="009B1397"/>
    <w:rsid w:val="009B1702"/>
    <w:rsid w:val="009B17F0"/>
    <w:rsid w:val="009B1D9D"/>
    <w:rsid w:val="009B1F6F"/>
    <w:rsid w:val="009B22D1"/>
    <w:rsid w:val="009B235C"/>
    <w:rsid w:val="009B25D0"/>
    <w:rsid w:val="009B26E0"/>
    <w:rsid w:val="009B29B2"/>
    <w:rsid w:val="009B3192"/>
    <w:rsid w:val="009B3539"/>
    <w:rsid w:val="009B3540"/>
    <w:rsid w:val="009B39B7"/>
    <w:rsid w:val="009B3B6E"/>
    <w:rsid w:val="009B43B2"/>
    <w:rsid w:val="009B44AB"/>
    <w:rsid w:val="009B44F8"/>
    <w:rsid w:val="009B4786"/>
    <w:rsid w:val="009B4801"/>
    <w:rsid w:val="009B492D"/>
    <w:rsid w:val="009B4A56"/>
    <w:rsid w:val="009B4EB5"/>
    <w:rsid w:val="009B4FBA"/>
    <w:rsid w:val="009B51F6"/>
    <w:rsid w:val="009B5233"/>
    <w:rsid w:val="009B5BAC"/>
    <w:rsid w:val="009B6063"/>
    <w:rsid w:val="009B6813"/>
    <w:rsid w:val="009B70DD"/>
    <w:rsid w:val="009B7A9C"/>
    <w:rsid w:val="009B7B1C"/>
    <w:rsid w:val="009B7CDD"/>
    <w:rsid w:val="009C004A"/>
    <w:rsid w:val="009C00D2"/>
    <w:rsid w:val="009C016A"/>
    <w:rsid w:val="009C0365"/>
    <w:rsid w:val="009C058E"/>
    <w:rsid w:val="009C0B48"/>
    <w:rsid w:val="009C0B6E"/>
    <w:rsid w:val="009C0BBE"/>
    <w:rsid w:val="009C0BFB"/>
    <w:rsid w:val="009C1135"/>
    <w:rsid w:val="009C1220"/>
    <w:rsid w:val="009C18B3"/>
    <w:rsid w:val="009C27D3"/>
    <w:rsid w:val="009C2B22"/>
    <w:rsid w:val="009C33A3"/>
    <w:rsid w:val="009C43EF"/>
    <w:rsid w:val="009C45E6"/>
    <w:rsid w:val="009C4885"/>
    <w:rsid w:val="009C4A5A"/>
    <w:rsid w:val="009C4BA7"/>
    <w:rsid w:val="009C4C60"/>
    <w:rsid w:val="009C4CDE"/>
    <w:rsid w:val="009C5108"/>
    <w:rsid w:val="009C519F"/>
    <w:rsid w:val="009C5ABD"/>
    <w:rsid w:val="009C5ADC"/>
    <w:rsid w:val="009C6937"/>
    <w:rsid w:val="009C6B5A"/>
    <w:rsid w:val="009C70A0"/>
    <w:rsid w:val="009C74B1"/>
    <w:rsid w:val="009C76BC"/>
    <w:rsid w:val="009C79FA"/>
    <w:rsid w:val="009C7BFA"/>
    <w:rsid w:val="009D0038"/>
    <w:rsid w:val="009D01DD"/>
    <w:rsid w:val="009D04CF"/>
    <w:rsid w:val="009D09EA"/>
    <w:rsid w:val="009D0ACF"/>
    <w:rsid w:val="009D0FD4"/>
    <w:rsid w:val="009D11B3"/>
    <w:rsid w:val="009D1ACC"/>
    <w:rsid w:val="009D1D13"/>
    <w:rsid w:val="009D1D76"/>
    <w:rsid w:val="009D21FE"/>
    <w:rsid w:val="009D2281"/>
    <w:rsid w:val="009D23FE"/>
    <w:rsid w:val="009D246B"/>
    <w:rsid w:val="009D27C0"/>
    <w:rsid w:val="009D2CCE"/>
    <w:rsid w:val="009D2F85"/>
    <w:rsid w:val="009D3268"/>
    <w:rsid w:val="009D32E8"/>
    <w:rsid w:val="009D3777"/>
    <w:rsid w:val="009D3BB7"/>
    <w:rsid w:val="009D3FE4"/>
    <w:rsid w:val="009D4706"/>
    <w:rsid w:val="009D47E2"/>
    <w:rsid w:val="009D4E5A"/>
    <w:rsid w:val="009D5092"/>
    <w:rsid w:val="009D51E3"/>
    <w:rsid w:val="009D571F"/>
    <w:rsid w:val="009D5846"/>
    <w:rsid w:val="009D6025"/>
    <w:rsid w:val="009D6250"/>
    <w:rsid w:val="009D64AC"/>
    <w:rsid w:val="009D66C9"/>
    <w:rsid w:val="009D6823"/>
    <w:rsid w:val="009D72EE"/>
    <w:rsid w:val="009D7596"/>
    <w:rsid w:val="009D78A1"/>
    <w:rsid w:val="009D7B07"/>
    <w:rsid w:val="009D7B8C"/>
    <w:rsid w:val="009D7BB9"/>
    <w:rsid w:val="009E0460"/>
    <w:rsid w:val="009E06D3"/>
    <w:rsid w:val="009E06E9"/>
    <w:rsid w:val="009E0BFC"/>
    <w:rsid w:val="009E0F66"/>
    <w:rsid w:val="009E1416"/>
    <w:rsid w:val="009E1A8E"/>
    <w:rsid w:val="009E248A"/>
    <w:rsid w:val="009E26C8"/>
    <w:rsid w:val="009E2D0B"/>
    <w:rsid w:val="009E2EA2"/>
    <w:rsid w:val="009E2EF9"/>
    <w:rsid w:val="009E32AD"/>
    <w:rsid w:val="009E3419"/>
    <w:rsid w:val="009E37A8"/>
    <w:rsid w:val="009E4719"/>
    <w:rsid w:val="009E4F55"/>
    <w:rsid w:val="009E51E9"/>
    <w:rsid w:val="009E560A"/>
    <w:rsid w:val="009E6553"/>
    <w:rsid w:val="009E66F5"/>
    <w:rsid w:val="009E6837"/>
    <w:rsid w:val="009E6F06"/>
    <w:rsid w:val="009E6F31"/>
    <w:rsid w:val="009E7113"/>
    <w:rsid w:val="009E7257"/>
    <w:rsid w:val="009E7348"/>
    <w:rsid w:val="009E745F"/>
    <w:rsid w:val="009E74BE"/>
    <w:rsid w:val="009E7786"/>
    <w:rsid w:val="009E7DB8"/>
    <w:rsid w:val="009E7F58"/>
    <w:rsid w:val="009F083B"/>
    <w:rsid w:val="009F12F5"/>
    <w:rsid w:val="009F14BB"/>
    <w:rsid w:val="009F156F"/>
    <w:rsid w:val="009F15FD"/>
    <w:rsid w:val="009F1791"/>
    <w:rsid w:val="009F1991"/>
    <w:rsid w:val="009F20FB"/>
    <w:rsid w:val="009F21A3"/>
    <w:rsid w:val="009F2537"/>
    <w:rsid w:val="009F28C7"/>
    <w:rsid w:val="009F2DCF"/>
    <w:rsid w:val="009F4297"/>
    <w:rsid w:val="009F4636"/>
    <w:rsid w:val="009F4DDB"/>
    <w:rsid w:val="009F5438"/>
    <w:rsid w:val="009F54AE"/>
    <w:rsid w:val="009F57B1"/>
    <w:rsid w:val="009F595E"/>
    <w:rsid w:val="009F5E66"/>
    <w:rsid w:val="009F6066"/>
    <w:rsid w:val="009F7353"/>
    <w:rsid w:val="009F77A7"/>
    <w:rsid w:val="009F7C3B"/>
    <w:rsid w:val="009F7F4D"/>
    <w:rsid w:val="009F7F58"/>
    <w:rsid w:val="00A00D6C"/>
    <w:rsid w:val="00A00EF7"/>
    <w:rsid w:val="00A010A7"/>
    <w:rsid w:val="00A01422"/>
    <w:rsid w:val="00A014F3"/>
    <w:rsid w:val="00A01740"/>
    <w:rsid w:val="00A01762"/>
    <w:rsid w:val="00A0191B"/>
    <w:rsid w:val="00A01D63"/>
    <w:rsid w:val="00A01E8E"/>
    <w:rsid w:val="00A0275E"/>
    <w:rsid w:val="00A02DCC"/>
    <w:rsid w:val="00A03232"/>
    <w:rsid w:val="00A0376D"/>
    <w:rsid w:val="00A037E2"/>
    <w:rsid w:val="00A039E0"/>
    <w:rsid w:val="00A04040"/>
    <w:rsid w:val="00A0469F"/>
    <w:rsid w:val="00A04738"/>
    <w:rsid w:val="00A049CA"/>
    <w:rsid w:val="00A04CC5"/>
    <w:rsid w:val="00A0505B"/>
    <w:rsid w:val="00A05215"/>
    <w:rsid w:val="00A05575"/>
    <w:rsid w:val="00A057CE"/>
    <w:rsid w:val="00A05B0B"/>
    <w:rsid w:val="00A05E82"/>
    <w:rsid w:val="00A0688C"/>
    <w:rsid w:val="00A06E65"/>
    <w:rsid w:val="00A070F0"/>
    <w:rsid w:val="00A0746B"/>
    <w:rsid w:val="00A07477"/>
    <w:rsid w:val="00A07479"/>
    <w:rsid w:val="00A0760F"/>
    <w:rsid w:val="00A07647"/>
    <w:rsid w:val="00A076CE"/>
    <w:rsid w:val="00A07CED"/>
    <w:rsid w:val="00A10499"/>
    <w:rsid w:val="00A110F3"/>
    <w:rsid w:val="00A111C5"/>
    <w:rsid w:val="00A11323"/>
    <w:rsid w:val="00A115FA"/>
    <w:rsid w:val="00A1181B"/>
    <w:rsid w:val="00A11836"/>
    <w:rsid w:val="00A118C1"/>
    <w:rsid w:val="00A118E5"/>
    <w:rsid w:val="00A11BA0"/>
    <w:rsid w:val="00A12774"/>
    <w:rsid w:val="00A12858"/>
    <w:rsid w:val="00A1290A"/>
    <w:rsid w:val="00A12994"/>
    <w:rsid w:val="00A12E40"/>
    <w:rsid w:val="00A1303C"/>
    <w:rsid w:val="00A1325D"/>
    <w:rsid w:val="00A13994"/>
    <w:rsid w:val="00A13BA1"/>
    <w:rsid w:val="00A13FF9"/>
    <w:rsid w:val="00A1473C"/>
    <w:rsid w:val="00A14E45"/>
    <w:rsid w:val="00A15404"/>
    <w:rsid w:val="00A15521"/>
    <w:rsid w:val="00A1583A"/>
    <w:rsid w:val="00A1588E"/>
    <w:rsid w:val="00A158EC"/>
    <w:rsid w:val="00A15961"/>
    <w:rsid w:val="00A15C97"/>
    <w:rsid w:val="00A1635E"/>
    <w:rsid w:val="00A163FA"/>
    <w:rsid w:val="00A16947"/>
    <w:rsid w:val="00A16974"/>
    <w:rsid w:val="00A16B5C"/>
    <w:rsid w:val="00A1732A"/>
    <w:rsid w:val="00A1740E"/>
    <w:rsid w:val="00A17613"/>
    <w:rsid w:val="00A2033F"/>
    <w:rsid w:val="00A20378"/>
    <w:rsid w:val="00A203B0"/>
    <w:rsid w:val="00A2042F"/>
    <w:rsid w:val="00A20D7A"/>
    <w:rsid w:val="00A211C8"/>
    <w:rsid w:val="00A2129A"/>
    <w:rsid w:val="00A215CB"/>
    <w:rsid w:val="00A21A58"/>
    <w:rsid w:val="00A21B47"/>
    <w:rsid w:val="00A228C8"/>
    <w:rsid w:val="00A22AE9"/>
    <w:rsid w:val="00A22B60"/>
    <w:rsid w:val="00A23594"/>
    <w:rsid w:val="00A237D9"/>
    <w:rsid w:val="00A23A5B"/>
    <w:rsid w:val="00A23AF5"/>
    <w:rsid w:val="00A240A7"/>
    <w:rsid w:val="00A24116"/>
    <w:rsid w:val="00A246B1"/>
    <w:rsid w:val="00A24CED"/>
    <w:rsid w:val="00A24E8A"/>
    <w:rsid w:val="00A25097"/>
    <w:rsid w:val="00A2529F"/>
    <w:rsid w:val="00A252F5"/>
    <w:rsid w:val="00A255E4"/>
    <w:rsid w:val="00A2568B"/>
    <w:rsid w:val="00A25D57"/>
    <w:rsid w:val="00A261A0"/>
    <w:rsid w:val="00A262C3"/>
    <w:rsid w:val="00A26491"/>
    <w:rsid w:val="00A26585"/>
    <w:rsid w:val="00A2712F"/>
    <w:rsid w:val="00A27277"/>
    <w:rsid w:val="00A272A7"/>
    <w:rsid w:val="00A27AC4"/>
    <w:rsid w:val="00A30154"/>
    <w:rsid w:val="00A3015D"/>
    <w:rsid w:val="00A30443"/>
    <w:rsid w:val="00A3055F"/>
    <w:rsid w:val="00A30619"/>
    <w:rsid w:val="00A30A3B"/>
    <w:rsid w:val="00A30C5B"/>
    <w:rsid w:val="00A30EE8"/>
    <w:rsid w:val="00A314FD"/>
    <w:rsid w:val="00A31564"/>
    <w:rsid w:val="00A316A1"/>
    <w:rsid w:val="00A316F7"/>
    <w:rsid w:val="00A31FDC"/>
    <w:rsid w:val="00A32323"/>
    <w:rsid w:val="00A32440"/>
    <w:rsid w:val="00A32C09"/>
    <w:rsid w:val="00A330E7"/>
    <w:rsid w:val="00A33520"/>
    <w:rsid w:val="00A336D0"/>
    <w:rsid w:val="00A337AC"/>
    <w:rsid w:val="00A33AD6"/>
    <w:rsid w:val="00A33D33"/>
    <w:rsid w:val="00A33D51"/>
    <w:rsid w:val="00A340D6"/>
    <w:rsid w:val="00A34325"/>
    <w:rsid w:val="00A3491A"/>
    <w:rsid w:val="00A35183"/>
    <w:rsid w:val="00A354EF"/>
    <w:rsid w:val="00A357F8"/>
    <w:rsid w:val="00A358D6"/>
    <w:rsid w:val="00A35D0A"/>
    <w:rsid w:val="00A3606E"/>
    <w:rsid w:val="00A368AC"/>
    <w:rsid w:val="00A37194"/>
    <w:rsid w:val="00A37A7B"/>
    <w:rsid w:val="00A4003F"/>
    <w:rsid w:val="00A404AF"/>
    <w:rsid w:val="00A40E1E"/>
    <w:rsid w:val="00A40FCA"/>
    <w:rsid w:val="00A41381"/>
    <w:rsid w:val="00A414A1"/>
    <w:rsid w:val="00A41533"/>
    <w:rsid w:val="00A41C48"/>
    <w:rsid w:val="00A41D3E"/>
    <w:rsid w:val="00A41E69"/>
    <w:rsid w:val="00A420EA"/>
    <w:rsid w:val="00A4217E"/>
    <w:rsid w:val="00A42A19"/>
    <w:rsid w:val="00A42B29"/>
    <w:rsid w:val="00A42C23"/>
    <w:rsid w:val="00A43022"/>
    <w:rsid w:val="00A43BE4"/>
    <w:rsid w:val="00A4414B"/>
    <w:rsid w:val="00A447DF"/>
    <w:rsid w:val="00A44A44"/>
    <w:rsid w:val="00A44D99"/>
    <w:rsid w:val="00A451A2"/>
    <w:rsid w:val="00A4521D"/>
    <w:rsid w:val="00A4524A"/>
    <w:rsid w:val="00A4525B"/>
    <w:rsid w:val="00A45385"/>
    <w:rsid w:val="00A454AA"/>
    <w:rsid w:val="00A45760"/>
    <w:rsid w:val="00A457D1"/>
    <w:rsid w:val="00A457FB"/>
    <w:rsid w:val="00A45B50"/>
    <w:rsid w:val="00A45CC5"/>
    <w:rsid w:val="00A45DB5"/>
    <w:rsid w:val="00A4654E"/>
    <w:rsid w:val="00A46F16"/>
    <w:rsid w:val="00A46F6D"/>
    <w:rsid w:val="00A46FFA"/>
    <w:rsid w:val="00A473E4"/>
    <w:rsid w:val="00A4786E"/>
    <w:rsid w:val="00A47B05"/>
    <w:rsid w:val="00A47CB6"/>
    <w:rsid w:val="00A50BE0"/>
    <w:rsid w:val="00A50CEF"/>
    <w:rsid w:val="00A51063"/>
    <w:rsid w:val="00A516B8"/>
    <w:rsid w:val="00A51966"/>
    <w:rsid w:val="00A51A13"/>
    <w:rsid w:val="00A51E51"/>
    <w:rsid w:val="00A52537"/>
    <w:rsid w:val="00A526F5"/>
    <w:rsid w:val="00A527A7"/>
    <w:rsid w:val="00A529BD"/>
    <w:rsid w:val="00A52BEB"/>
    <w:rsid w:val="00A52EBD"/>
    <w:rsid w:val="00A5367E"/>
    <w:rsid w:val="00A53DD1"/>
    <w:rsid w:val="00A53DFA"/>
    <w:rsid w:val="00A53E0D"/>
    <w:rsid w:val="00A5415E"/>
    <w:rsid w:val="00A546F7"/>
    <w:rsid w:val="00A54719"/>
    <w:rsid w:val="00A547B3"/>
    <w:rsid w:val="00A54FA5"/>
    <w:rsid w:val="00A55AF8"/>
    <w:rsid w:val="00A56133"/>
    <w:rsid w:val="00A56596"/>
    <w:rsid w:val="00A56AA4"/>
    <w:rsid w:val="00A56B42"/>
    <w:rsid w:val="00A56BFB"/>
    <w:rsid w:val="00A57356"/>
    <w:rsid w:val="00A574E6"/>
    <w:rsid w:val="00A576FF"/>
    <w:rsid w:val="00A577A7"/>
    <w:rsid w:val="00A57D87"/>
    <w:rsid w:val="00A60667"/>
    <w:rsid w:val="00A60E14"/>
    <w:rsid w:val="00A61169"/>
    <w:rsid w:val="00A616CC"/>
    <w:rsid w:val="00A61A2B"/>
    <w:rsid w:val="00A61B22"/>
    <w:rsid w:val="00A61DB3"/>
    <w:rsid w:val="00A61E50"/>
    <w:rsid w:val="00A6211F"/>
    <w:rsid w:val="00A6260E"/>
    <w:rsid w:val="00A62740"/>
    <w:rsid w:val="00A62989"/>
    <w:rsid w:val="00A63094"/>
    <w:rsid w:val="00A6309D"/>
    <w:rsid w:val="00A6316D"/>
    <w:rsid w:val="00A63275"/>
    <w:rsid w:val="00A636E9"/>
    <w:rsid w:val="00A642F0"/>
    <w:rsid w:val="00A6462D"/>
    <w:rsid w:val="00A64748"/>
    <w:rsid w:val="00A647E4"/>
    <w:rsid w:val="00A648A0"/>
    <w:rsid w:val="00A64A53"/>
    <w:rsid w:val="00A65232"/>
    <w:rsid w:val="00A6554F"/>
    <w:rsid w:val="00A655A4"/>
    <w:rsid w:val="00A65B67"/>
    <w:rsid w:val="00A65C5B"/>
    <w:rsid w:val="00A666E0"/>
    <w:rsid w:val="00A66CD1"/>
    <w:rsid w:val="00A67258"/>
    <w:rsid w:val="00A672C5"/>
    <w:rsid w:val="00A677D1"/>
    <w:rsid w:val="00A67A2C"/>
    <w:rsid w:val="00A70304"/>
    <w:rsid w:val="00A705C4"/>
    <w:rsid w:val="00A70AE6"/>
    <w:rsid w:val="00A70E75"/>
    <w:rsid w:val="00A70E9D"/>
    <w:rsid w:val="00A71354"/>
    <w:rsid w:val="00A71AB6"/>
    <w:rsid w:val="00A71BE6"/>
    <w:rsid w:val="00A71D1D"/>
    <w:rsid w:val="00A71D40"/>
    <w:rsid w:val="00A7218E"/>
    <w:rsid w:val="00A7257B"/>
    <w:rsid w:val="00A72692"/>
    <w:rsid w:val="00A72B48"/>
    <w:rsid w:val="00A72EFC"/>
    <w:rsid w:val="00A738EC"/>
    <w:rsid w:val="00A73A1B"/>
    <w:rsid w:val="00A73D14"/>
    <w:rsid w:val="00A73F7E"/>
    <w:rsid w:val="00A741E7"/>
    <w:rsid w:val="00A743F2"/>
    <w:rsid w:val="00A745E3"/>
    <w:rsid w:val="00A7514B"/>
    <w:rsid w:val="00A75851"/>
    <w:rsid w:val="00A7585A"/>
    <w:rsid w:val="00A75E13"/>
    <w:rsid w:val="00A76776"/>
    <w:rsid w:val="00A76911"/>
    <w:rsid w:val="00A769E9"/>
    <w:rsid w:val="00A770B5"/>
    <w:rsid w:val="00A770F0"/>
    <w:rsid w:val="00A77194"/>
    <w:rsid w:val="00A77202"/>
    <w:rsid w:val="00A77B14"/>
    <w:rsid w:val="00A7FC8C"/>
    <w:rsid w:val="00A800CC"/>
    <w:rsid w:val="00A8038B"/>
    <w:rsid w:val="00A80661"/>
    <w:rsid w:val="00A8174F"/>
    <w:rsid w:val="00A8198A"/>
    <w:rsid w:val="00A81D84"/>
    <w:rsid w:val="00A820E4"/>
    <w:rsid w:val="00A8245C"/>
    <w:rsid w:val="00A82495"/>
    <w:rsid w:val="00A82567"/>
    <w:rsid w:val="00A82DC0"/>
    <w:rsid w:val="00A82DD6"/>
    <w:rsid w:val="00A830C2"/>
    <w:rsid w:val="00A83280"/>
    <w:rsid w:val="00A834BF"/>
    <w:rsid w:val="00A83C68"/>
    <w:rsid w:val="00A83C70"/>
    <w:rsid w:val="00A83D5C"/>
    <w:rsid w:val="00A83EF6"/>
    <w:rsid w:val="00A84683"/>
    <w:rsid w:val="00A846D2"/>
    <w:rsid w:val="00A84948"/>
    <w:rsid w:val="00A84CE5"/>
    <w:rsid w:val="00A853B0"/>
    <w:rsid w:val="00A85731"/>
    <w:rsid w:val="00A85A4B"/>
    <w:rsid w:val="00A85B4C"/>
    <w:rsid w:val="00A85B84"/>
    <w:rsid w:val="00A85DBA"/>
    <w:rsid w:val="00A85E06"/>
    <w:rsid w:val="00A85E4F"/>
    <w:rsid w:val="00A863B4"/>
    <w:rsid w:val="00A865CF"/>
    <w:rsid w:val="00A8679F"/>
    <w:rsid w:val="00A867B3"/>
    <w:rsid w:val="00A8693F"/>
    <w:rsid w:val="00A86E2B"/>
    <w:rsid w:val="00A87073"/>
    <w:rsid w:val="00A872A6"/>
    <w:rsid w:val="00A872DB"/>
    <w:rsid w:val="00A87F2E"/>
    <w:rsid w:val="00A9049A"/>
    <w:rsid w:val="00A90568"/>
    <w:rsid w:val="00A90EEC"/>
    <w:rsid w:val="00A90F92"/>
    <w:rsid w:val="00A91086"/>
    <w:rsid w:val="00A91763"/>
    <w:rsid w:val="00A91DE9"/>
    <w:rsid w:val="00A91DF9"/>
    <w:rsid w:val="00A9202A"/>
    <w:rsid w:val="00A92165"/>
    <w:rsid w:val="00A922FF"/>
    <w:rsid w:val="00A92647"/>
    <w:rsid w:val="00A92767"/>
    <w:rsid w:val="00A92ED8"/>
    <w:rsid w:val="00A9321F"/>
    <w:rsid w:val="00A932F0"/>
    <w:rsid w:val="00A93360"/>
    <w:rsid w:val="00A934BA"/>
    <w:rsid w:val="00A934E5"/>
    <w:rsid w:val="00A934FE"/>
    <w:rsid w:val="00A935BE"/>
    <w:rsid w:val="00A937DC"/>
    <w:rsid w:val="00A94064"/>
    <w:rsid w:val="00A94089"/>
    <w:rsid w:val="00A9410C"/>
    <w:rsid w:val="00A94789"/>
    <w:rsid w:val="00A95179"/>
    <w:rsid w:val="00A952E2"/>
    <w:rsid w:val="00A9578B"/>
    <w:rsid w:val="00A957C2"/>
    <w:rsid w:val="00A95A92"/>
    <w:rsid w:val="00A95E8E"/>
    <w:rsid w:val="00A95F86"/>
    <w:rsid w:val="00A9679B"/>
    <w:rsid w:val="00A96867"/>
    <w:rsid w:val="00A96887"/>
    <w:rsid w:val="00A96F02"/>
    <w:rsid w:val="00A97437"/>
    <w:rsid w:val="00A978F3"/>
    <w:rsid w:val="00A978FE"/>
    <w:rsid w:val="00A97EF3"/>
    <w:rsid w:val="00AA00EF"/>
    <w:rsid w:val="00AA0559"/>
    <w:rsid w:val="00AA0DB0"/>
    <w:rsid w:val="00AA0F40"/>
    <w:rsid w:val="00AA158C"/>
    <w:rsid w:val="00AA173B"/>
    <w:rsid w:val="00AA1A97"/>
    <w:rsid w:val="00AA1BD0"/>
    <w:rsid w:val="00AA1D23"/>
    <w:rsid w:val="00AA1D4A"/>
    <w:rsid w:val="00AA1F6F"/>
    <w:rsid w:val="00AA20FA"/>
    <w:rsid w:val="00AA2106"/>
    <w:rsid w:val="00AA24B8"/>
    <w:rsid w:val="00AA252D"/>
    <w:rsid w:val="00AA2855"/>
    <w:rsid w:val="00AA2B47"/>
    <w:rsid w:val="00AA318A"/>
    <w:rsid w:val="00AA33C5"/>
    <w:rsid w:val="00AA378F"/>
    <w:rsid w:val="00AA3909"/>
    <w:rsid w:val="00AA418B"/>
    <w:rsid w:val="00AA446D"/>
    <w:rsid w:val="00AA4724"/>
    <w:rsid w:val="00AA48BD"/>
    <w:rsid w:val="00AA5059"/>
    <w:rsid w:val="00AA60F4"/>
    <w:rsid w:val="00AA616C"/>
    <w:rsid w:val="00AA670E"/>
    <w:rsid w:val="00AA676A"/>
    <w:rsid w:val="00AA6B57"/>
    <w:rsid w:val="00AA6C43"/>
    <w:rsid w:val="00AA6E4E"/>
    <w:rsid w:val="00AA772C"/>
    <w:rsid w:val="00AA7895"/>
    <w:rsid w:val="00AA7A7E"/>
    <w:rsid w:val="00AA7BCB"/>
    <w:rsid w:val="00AA7E80"/>
    <w:rsid w:val="00AA7FC0"/>
    <w:rsid w:val="00AB010D"/>
    <w:rsid w:val="00AB0312"/>
    <w:rsid w:val="00AB03F9"/>
    <w:rsid w:val="00AB0680"/>
    <w:rsid w:val="00AB14BF"/>
    <w:rsid w:val="00AB16B0"/>
    <w:rsid w:val="00AB17E8"/>
    <w:rsid w:val="00AB1BA0"/>
    <w:rsid w:val="00AB1EC7"/>
    <w:rsid w:val="00AB2548"/>
    <w:rsid w:val="00AB3199"/>
    <w:rsid w:val="00AB36A1"/>
    <w:rsid w:val="00AB401A"/>
    <w:rsid w:val="00AB40B1"/>
    <w:rsid w:val="00AB40D4"/>
    <w:rsid w:val="00AB43B2"/>
    <w:rsid w:val="00AB4652"/>
    <w:rsid w:val="00AB488B"/>
    <w:rsid w:val="00AB4A5A"/>
    <w:rsid w:val="00AB4E50"/>
    <w:rsid w:val="00AB4FDB"/>
    <w:rsid w:val="00AB520E"/>
    <w:rsid w:val="00AB5218"/>
    <w:rsid w:val="00AB5709"/>
    <w:rsid w:val="00AB5A08"/>
    <w:rsid w:val="00AB5C87"/>
    <w:rsid w:val="00AB5FF7"/>
    <w:rsid w:val="00AB63CF"/>
    <w:rsid w:val="00AB64C1"/>
    <w:rsid w:val="00AB6578"/>
    <w:rsid w:val="00AB6CB2"/>
    <w:rsid w:val="00AB7272"/>
    <w:rsid w:val="00AB7DB3"/>
    <w:rsid w:val="00AB7FBD"/>
    <w:rsid w:val="00AC001C"/>
    <w:rsid w:val="00AC02FA"/>
    <w:rsid w:val="00AC0340"/>
    <w:rsid w:val="00AC1162"/>
    <w:rsid w:val="00AC1460"/>
    <w:rsid w:val="00AC183A"/>
    <w:rsid w:val="00AC1D49"/>
    <w:rsid w:val="00AC2338"/>
    <w:rsid w:val="00AC25E4"/>
    <w:rsid w:val="00AC2667"/>
    <w:rsid w:val="00AC277F"/>
    <w:rsid w:val="00AC27ED"/>
    <w:rsid w:val="00AC28A9"/>
    <w:rsid w:val="00AC28DF"/>
    <w:rsid w:val="00AC2936"/>
    <w:rsid w:val="00AC2BD6"/>
    <w:rsid w:val="00AC2DE5"/>
    <w:rsid w:val="00AC3680"/>
    <w:rsid w:val="00AC3873"/>
    <w:rsid w:val="00AC38A6"/>
    <w:rsid w:val="00AC39FC"/>
    <w:rsid w:val="00AC473B"/>
    <w:rsid w:val="00AC4B57"/>
    <w:rsid w:val="00AC4B62"/>
    <w:rsid w:val="00AC5307"/>
    <w:rsid w:val="00AC5C8E"/>
    <w:rsid w:val="00AC5D35"/>
    <w:rsid w:val="00AC6A9B"/>
    <w:rsid w:val="00AC6ED0"/>
    <w:rsid w:val="00AC7138"/>
    <w:rsid w:val="00AC7261"/>
    <w:rsid w:val="00AC79FC"/>
    <w:rsid w:val="00AC7EF3"/>
    <w:rsid w:val="00AC7F6F"/>
    <w:rsid w:val="00AD0FE4"/>
    <w:rsid w:val="00AD1186"/>
    <w:rsid w:val="00AD1B5F"/>
    <w:rsid w:val="00AD1BEF"/>
    <w:rsid w:val="00AD1EE4"/>
    <w:rsid w:val="00AD28F7"/>
    <w:rsid w:val="00AD2CD6"/>
    <w:rsid w:val="00AD2D35"/>
    <w:rsid w:val="00AD2D7F"/>
    <w:rsid w:val="00AD3168"/>
    <w:rsid w:val="00AD3C50"/>
    <w:rsid w:val="00AD3CD9"/>
    <w:rsid w:val="00AD4070"/>
    <w:rsid w:val="00AD41CD"/>
    <w:rsid w:val="00AD43D6"/>
    <w:rsid w:val="00AD453A"/>
    <w:rsid w:val="00AD468E"/>
    <w:rsid w:val="00AD4B9C"/>
    <w:rsid w:val="00AD4BB7"/>
    <w:rsid w:val="00AD4C11"/>
    <w:rsid w:val="00AD4D06"/>
    <w:rsid w:val="00AD5316"/>
    <w:rsid w:val="00AD57A8"/>
    <w:rsid w:val="00AD5953"/>
    <w:rsid w:val="00AD5C58"/>
    <w:rsid w:val="00AD5CEB"/>
    <w:rsid w:val="00AD6122"/>
    <w:rsid w:val="00AD6438"/>
    <w:rsid w:val="00AD6C11"/>
    <w:rsid w:val="00AD6EC3"/>
    <w:rsid w:val="00AD6FDF"/>
    <w:rsid w:val="00AD7026"/>
    <w:rsid w:val="00AD7223"/>
    <w:rsid w:val="00AD7359"/>
    <w:rsid w:val="00AD73A1"/>
    <w:rsid w:val="00AD7B8D"/>
    <w:rsid w:val="00AD7F25"/>
    <w:rsid w:val="00AE00D6"/>
    <w:rsid w:val="00AE028E"/>
    <w:rsid w:val="00AE03C1"/>
    <w:rsid w:val="00AE0466"/>
    <w:rsid w:val="00AE06DA"/>
    <w:rsid w:val="00AE0775"/>
    <w:rsid w:val="00AE0E5B"/>
    <w:rsid w:val="00AE1158"/>
    <w:rsid w:val="00AE11FA"/>
    <w:rsid w:val="00AE14B1"/>
    <w:rsid w:val="00AE1566"/>
    <w:rsid w:val="00AE1838"/>
    <w:rsid w:val="00AE1DAD"/>
    <w:rsid w:val="00AE2A84"/>
    <w:rsid w:val="00AE2AD3"/>
    <w:rsid w:val="00AE2BB3"/>
    <w:rsid w:val="00AE2BF9"/>
    <w:rsid w:val="00AE3C51"/>
    <w:rsid w:val="00AE3F56"/>
    <w:rsid w:val="00AE4231"/>
    <w:rsid w:val="00AE45AE"/>
    <w:rsid w:val="00AE4ABE"/>
    <w:rsid w:val="00AE4C9B"/>
    <w:rsid w:val="00AE4D23"/>
    <w:rsid w:val="00AE5129"/>
    <w:rsid w:val="00AE5136"/>
    <w:rsid w:val="00AE5647"/>
    <w:rsid w:val="00AE5749"/>
    <w:rsid w:val="00AE599C"/>
    <w:rsid w:val="00AE5BC7"/>
    <w:rsid w:val="00AE5BE7"/>
    <w:rsid w:val="00AE6075"/>
    <w:rsid w:val="00AE6449"/>
    <w:rsid w:val="00AE6576"/>
    <w:rsid w:val="00AE6FD4"/>
    <w:rsid w:val="00AE6FDF"/>
    <w:rsid w:val="00AE752E"/>
    <w:rsid w:val="00AE7F55"/>
    <w:rsid w:val="00AF030C"/>
    <w:rsid w:val="00AF079C"/>
    <w:rsid w:val="00AF0BCD"/>
    <w:rsid w:val="00AF14D8"/>
    <w:rsid w:val="00AF1E3A"/>
    <w:rsid w:val="00AF1F43"/>
    <w:rsid w:val="00AF21CC"/>
    <w:rsid w:val="00AF26A9"/>
    <w:rsid w:val="00AF28CA"/>
    <w:rsid w:val="00AF2C92"/>
    <w:rsid w:val="00AF3062"/>
    <w:rsid w:val="00AF359D"/>
    <w:rsid w:val="00AF360F"/>
    <w:rsid w:val="00AF3642"/>
    <w:rsid w:val="00AF385B"/>
    <w:rsid w:val="00AF3D25"/>
    <w:rsid w:val="00AF3D55"/>
    <w:rsid w:val="00AF44A5"/>
    <w:rsid w:val="00AF46DB"/>
    <w:rsid w:val="00AF498D"/>
    <w:rsid w:val="00AF4BBF"/>
    <w:rsid w:val="00AF4E3F"/>
    <w:rsid w:val="00AF557D"/>
    <w:rsid w:val="00AF5F7A"/>
    <w:rsid w:val="00AF6A4A"/>
    <w:rsid w:val="00AF70CC"/>
    <w:rsid w:val="00AF7C0A"/>
    <w:rsid w:val="00AF7C72"/>
    <w:rsid w:val="00AF7CC2"/>
    <w:rsid w:val="00AF7EBF"/>
    <w:rsid w:val="00AF7F8A"/>
    <w:rsid w:val="00B004A4"/>
    <w:rsid w:val="00B00830"/>
    <w:rsid w:val="00B008AC"/>
    <w:rsid w:val="00B00FD4"/>
    <w:rsid w:val="00B01269"/>
    <w:rsid w:val="00B0144E"/>
    <w:rsid w:val="00B01604"/>
    <w:rsid w:val="00B019CC"/>
    <w:rsid w:val="00B01F6B"/>
    <w:rsid w:val="00B03008"/>
    <w:rsid w:val="00B03701"/>
    <w:rsid w:val="00B037F8"/>
    <w:rsid w:val="00B03CC9"/>
    <w:rsid w:val="00B0411B"/>
    <w:rsid w:val="00B04233"/>
    <w:rsid w:val="00B0441A"/>
    <w:rsid w:val="00B04DFB"/>
    <w:rsid w:val="00B05F04"/>
    <w:rsid w:val="00B06077"/>
    <w:rsid w:val="00B0632F"/>
    <w:rsid w:val="00B064EE"/>
    <w:rsid w:val="00B06797"/>
    <w:rsid w:val="00B0680D"/>
    <w:rsid w:val="00B069BE"/>
    <w:rsid w:val="00B069F6"/>
    <w:rsid w:val="00B06E2A"/>
    <w:rsid w:val="00B06F3F"/>
    <w:rsid w:val="00B07C5D"/>
    <w:rsid w:val="00B10228"/>
    <w:rsid w:val="00B10BF4"/>
    <w:rsid w:val="00B10F6E"/>
    <w:rsid w:val="00B1149A"/>
    <w:rsid w:val="00B11520"/>
    <w:rsid w:val="00B11A7B"/>
    <w:rsid w:val="00B1279A"/>
    <w:rsid w:val="00B12CAB"/>
    <w:rsid w:val="00B12E28"/>
    <w:rsid w:val="00B13167"/>
    <w:rsid w:val="00B13A52"/>
    <w:rsid w:val="00B13B8E"/>
    <w:rsid w:val="00B13BFD"/>
    <w:rsid w:val="00B14321"/>
    <w:rsid w:val="00B14860"/>
    <w:rsid w:val="00B148E5"/>
    <w:rsid w:val="00B14908"/>
    <w:rsid w:val="00B149D2"/>
    <w:rsid w:val="00B14B99"/>
    <w:rsid w:val="00B14E92"/>
    <w:rsid w:val="00B15429"/>
    <w:rsid w:val="00B15554"/>
    <w:rsid w:val="00B15FB4"/>
    <w:rsid w:val="00B16860"/>
    <w:rsid w:val="00B16C3E"/>
    <w:rsid w:val="00B16D88"/>
    <w:rsid w:val="00B16E6E"/>
    <w:rsid w:val="00B174AD"/>
    <w:rsid w:val="00B17671"/>
    <w:rsid w:val="00B177A1"/>
    <w:rsid w:val="00B1782E"/>
    <w:rsid w:val="00B17A11"/>
    <w:rsid w:val="00B2010C"/>
    <w:rsid w:val="00B2011B"/>
    <w:rsid w:val="00B20200"/>
    <w:rsid w:val="00B202A1"/>
    <w:rsid w:val="00B20707"/>
    <w:rsid w:val="00B2135B"/>
    <w:rsid w:val="00B213F2"/>
    <w:rsid w:val="00B216A4"/>
    <w:rsid w:val="00B21904"/>
    <w:rsid w:val="00B21935"/>
    <w:rsid w:val="00B21D2F"/>
    <w:rsid w:val="00B220BA"/>
    <w:rsid w:val="00B2239D"/>
    <w:rsid w:val="00B22902"/>
    <w:rsid w:val="00B22FE3"/>
    <w:rsid w:val="00B23251"/>
    <w:rsid w:val="00B238EA"/>
    <w:rsid w:val="00B23C36"/>
    <w:rsid w:val="00B23CE6"/>
    <w:rsid w:val="00B23E34"/>
    <w:rsid w:val="00B23F15"/>
    <w:rsid w:val="00B240B2"/>
    <w:rsid w:val="00B24337"/>
    <w:rsid w:val="00B244BE"/>
    <w:rsid w:val="00B252B3"/>
    <w:rsid w:val="00B257D0"/>
    <w:rsid w:val="00B25B7F"/>
    <w:rsid w:val="00B25B9D"/>
    <w:rsid w:val="00B25F3E"/>
    <w:rsid w:val="00B26289"/>
    <w:rsid w:val="00B26540"/>
    <w:rsid w:val="00B26798"/>
    <w:rsid w:val="00B26BF6"/>
    <w:rsid w:val="00B2723D"/>
    <w:rsid w:val="00B2724A"/>
    <w:rsid w:val="00B27915"/>
    <w:rsid w:val="00B301FD"/>
    <w:rsid w:val="00B302B5"/>
    <w:rsid w:val="00B30728"/>
    <w:rsid w:val="00B30BDC"/>
    <w:rsid w:val="00B30C90"/>
    <w:rsid w:val="00B31095"/>
    <w:rsid w:val="00B31227"/>
    <w:rsid w:val="00B316A1"/>
    <w:rsid w:val="00B32051"/>
    <w:rsid w:val="00B32257"/>
    <w:rsid w:val="00B3331D"/>
    <w:rsid w:val="00B33366"/>
    <w:rsid w:val="00B33F5F"/>
    <w:rsid w:val="00B34400"/>
    <w:rsid w:val="00B34F72"/>
    <w:rsid w:val="00B350D7"/>
    <w:rsid w:val="00B35574"/>
    <w:rsid w:val="00B3582C"/>
    <w:rsid w:val="00B35B06"/>
    <w:rsid w:val="00B362E2"/>
    <w:rsid w:val="00B36401"/>
    <w:rsid w:val="00B36812"/>
    <w:rsid w:val="00B36966"/>
    <w:rsid w:val="00B36F74"/>
    <w:rsid w:val="00B3711E"/>
    <w:rsid w:val="00B374CC"/>
    <w:rsid w:val="00B3776C"/>
    <w:rsid w:val="00B37969"/>
    <w:rsid w:val="00B37F97"/>
    <w:rsid w:val="00B40503"/>
    <w:rsid w:val="00B40FEB"/>
    <w:rsid w:val="00B4137A"/>
    <w:rsid w:val="00B41724"/>
    <w:rsid w:val="00B4269D"/>
    <w:rsid w:val="00B4280D"/>
    <w:rsid w:val="00B42826"/>
    <w:rsid w:val="00B42B0A"/>
    <w:rsid w:val="00B430D5"/>
    <w:rsid w:val="00B43145"/>
    <w:rsid w:val="00B431E4"/>
    <w:rsid w:val="00B43506"/>
    <w:rsid w:val="00B43659"/>
    <w:rsid w:val="00B4398B"/>
    <w:rsid w:val="00B439BF"/>
    <w:rsid w:val="00B43AF7"/>
    <w:rsid w:val="00B43FF4"/>
    <w:rsid w:val="00B43FF7"/>
    <w:rsid w:val="00B44180"/>
    <w:rsid w:val="00B44389"/>
    <w:rsid w:val="00B455DF"/>
    <w:rsid w:val="00B45898"/>
    <w:rsid w:val="00B4601B"/>
    <w:rsid w:val="00B46939"/>
    <w:rsid w:val="00B46CA3"/>
    <w:rsid w:val="00B46F62"/>
    <w:rsid w:val="00B478F1"/>
    <w:rsid w:val="00B50637"/>
    <w:rsid w:val="00B50769"/>
    <w:rsid w:val="00B50B1C"/>
    <w:rsid w:val="00B50B42"/>
    <w:rsid w:val="00B50BC9"/>
    <w:rsid w:val="00B50D9C"/>
    <w:rsid w:val="00B50E2F"/>
    <w:rsid w:val="00B50F46"/>
    <w:rsid w:val="00B50FE2"/>
    <w:rsid w:val="00B51220"/>
    <w:rsid w:val="00B516B7"/>
    <w:rsid w:val="00B51832"/>
    <w:rsid w:val="00B51A42"/>
    <w:rsid w:val="00B51CC6"/>
    <w:rsid w:val="00B51E7B"/>
    <w:rsid w:val="00B51FC3"/>
    <w:rsid w:val="00B52321"/>
    <w:rsid w:val="00B525C8"/>
    <w:rsid w:val="00B527EC"/>
    <w:rsid w:val="00B52A44"/>
    <w:rsid w:val="00B52B8E"/>
    <w:rsid w:val="00B531EB"/>
    <w:rsid w:val="00B53325"/>
    <w:rsid w:val="00B537E7"/>
    <w:rsid w:val="00B53C78"/>
    <w:rsid w:val="00B54139"/>
    <w:rsid w:val="00B542E1"/>
    <w:rsid w:val="00B543C4"/>
    <w:rsid w:val="00B54DEE"/>
    <w:rsid w:val="00B54E52"/>
    <w:rsid w:val="00B54EA2"/>
    <w:rsid w:val="00B551DB"/>
    <w:rsid w:val="00B55771"/>
    <w:rsid w:val="00B55D81"/>
    <w:rsid w:val="00B55FB5"/>
    <w:rsid w:val="00B565E8"/>
    <w:rsid w:val="00B56DA7"/>
    <w:rsid w:val="00B573A0"/>
    <w:rsid w:val="00B573DB"/>
    <w:rsid w:val="00B5751A"/>
    <w:rsid w:val="00B57880"/>
    <w:rsid w:val="00B579F0"/>
    <w:rsid w:val="00B6016C"/>
    <w:rsid w:val="00B60235"/>
    <w:rsid w:val="00B60BD5"/>
    <w:rsid w:val="00B60C9E"/>
    <w:rsid w:val="00B612D2"/>
    <w:rsid w:val="00B617FF"/>
    <w:rsid w:val="00B620F0"/>
    <w:rsid w:val="00B628C5"/>
    <w:rsid w:val="00B62911"/>
    <w:rsid w:val="00B62D1E"/>
    <w:rsid w:val="00B6313E"/>
    <w:rsid w:val="00B63B9B"/>
    <w:rsid w:val="00B63EF2"/>
    <w:rsid w:val="00B64019"/>
    <w:rsid w:val="00B64210"/>
    <w:rsid w:val="00B6448E"/>
    <w:rsid w:val="00B649CA"/>
    <w:rsid w:val="00B64F42"/>
    <w:rsid w:val="00B656FB"/>
    <w:rsid w:val="00B65B86"/>
    <w:rsid w:val="00B6630F"/>
    <w:rsid w:val="00B6640B"/>
    <w:rsid w:val="00B664EE"/>
    <w:rsid w:val="00B66575"/>
    <w:rsid w:val="00B66594"/>
    <w:rsid w:val="00B66B79"/>
    <w:rsid w:val="00B66E11"/>
    <w:rsid w:val="00B67208"/>
    <w:rsid w:val="00B673B3"/>
    <w:rsid w:val="00B67462"/>
    <w:rsid w:val="00B6778A"/>
    <w:rsid w:val="00B6798B"/>
    <w:rsid w:val="00B7024A"/>
    <w:rsid w:val="00B70596"/>
    <w:rsid w:val="00B7069C"/>
    <w:rsid w:val="00B707E5"/>
    <w:rsid w:val="00B70B15"/>
    <w:rsid w:val="00B70DBD"/>
    <w:rsid w:val="00B70FF5"/>
    <w:rsid w:val="00B713CB"/>
    <w:rsid w:val="00B71976"/>
    <w:rsid w:val="00B71E54"/>
    <w:rsid w:val="00B71E8B"/>
    <w:rsid w:val="00B7215D"/>
    <w:rsid w:val="00B722AC"/>
    <w:rsid w:val="00B724EE"/>
    <w:rsid w:val="00B729FB"/>
    <w:rsid w:val="00B72A66"/>
    <w:rsid w:val="00B737CC"/>
    <w:rsid w:val="00B73870"/>
    <w:rsid w:val="00B744E2"/>
    <w:rsid w:val="00B747CF"/>
    <w:rsid w:val="00B74DBE"/>
    <w:rsid w:val="00B75205"/>
    <w:rsid w:val="00B75380"/>
    <w:rsid w:val="00B756A8"/>
    <w:rsid w:val="00B7574B"/>
    <w:rsid w:val="00B75970"/>
    <w:rsid w:val="00B762B9"/>
    <w:rsid w:val="00B76796"/>
    <w:rsid w:val="00B77077"/>
    <w:rsid w:val="00B7717D"/>
    <w:rsid w:val="00B77292"/>
    <w:rsid w:val="00B77D50"/>
    <w:rsid w:val="00B803CA"/>
    <w:rsid w:val="00B80A33"/>
    <w:rsid w:val="00B80F10"/>
    <w:rsid w:val="00B81370"/>
    <w:rsid w:val="00B81384"/>
    <w:rsid w:val="00B819BC"/>
    <w:rsid w:val="00B82D1A"/>
    <w:rsid w:val="00B830CA"/>
    <w:rsid w:val="00B832AC"/>
    <w:rsid w:val="00B83629"/>
    <w:rsid w:val="00B8373D"/>
    <w:rsid w:val="00B83F2A"/>
    <w:rsid w:val="00B840F7"/>
    <w:rsid w:val="00B84C25"/>
    <w:rsid w:val="00B84D6E"/>
    <w:rsid w:val="00B84FDB"/>
    <w:rsid w:val="00B85636"/>
    <w:rsid w:val="00B858A6"/>
    <w:rsid w:val="00B85D6C"/>
    <w:rsid w:val="00B86027"/>
    <w:rsid w:val="00B8606F"/>
    <w:rsid w:val="00B8669D"/>
    <w:rsid w:val="00B868AB"/>
    <w:rsid w:val="00B8694E"/>
    <w:rsid w:val="00B86A8E"/>
    <w:rsid w:val="00B86E85"/>
    <w:rsid w:val="00B871E6"/>
    <w:rsid w:val="00B8728B"/>
    <w:rsid w:val="00B876E2"/>
    <w:rsid w:val="00B87E23"/>
    <w:rsid w:val="00B91320"/>
    <w:rsid w:val="00B91935"/>
    <w:rsid w:val="00B91CF3"/>
    <w:rsid w:val="00B91F78"/>
    <w:rsid w:val="00B92352"/>
    <w:rsid w:val="00B93AF8"/>
    <w:rsid w:val="00B93B66"/>
    <w:rsid w:val="00B93DAB"/>
    <w:rsid w:val="00B9428F"/>
    <w:rsid w:val="00B943E8"/>
    <w:rsid w:val="00B94936"/>
    <w:rsid w:val="00B949C5"/>
    <w:rsid w:val="00B94E13"/>
    <w:rsid w:val="00B94EF9"/>
    <w:rsid w:val="00B95296"/>
    <w:rsid w:val="00B952B6"/>
    <w:rsid w:val="00B95404"/>
    <w:rsid w:val="00B95B3A"/>
    <w:rsid w:val="00B95C87"/>
    <w:rsid w:val="00B95D4B"/>
    <w:rsid w:val="00B96760"/>
    <w:rsid w:val="00B96973"/>
    <w:rsid w:val="00B97066"/>
    <w:rsid w:val="00B97239"/>
    <w:rsid w:val="00B97DFA"/>
    <w:rsid w:val="00BA014A"/>
    <w:rsid w:val="00BA0178"/>
    <w:rsid w:val="00BA0443"/>
    <w:rsid w:val="00BA05ED"/>
    <w:rsid w:val="00BA0796"/>
    <w:rsid w:val="00BA1296"/>
    <w:rsid w:val="00BA1355"/>
    <w:rsid w:val="00BA1374"/>
    <w:rsid w:val="00BA17D0"/>
    <w:rsid w:val="00BA1A8C"/>
    <w:rsid w:val="00BA2006"/>
    <w:rsid w:val="00BA2314"/>
    <w:rsid w:val="00BA2645"/>
    <w:rsid w:val="00BA264E"/>
    <w:rsid w:val="00BA2C85"/>
    <w:rsid w:val="00BA2E6F"/>
    <w:rsid w:val="00BA3AD0"/>
    <w:rsid w:val="00BA3C25"/>
    <w:rsid w:val="00BA3EE9"/>
    <w:rsid w:val="00BA4DBC"/>
    <w:rsid w:val="00BA4DFF"/>
    <w:rsid w:val="00BA4EAE"/>
    <w:rsid w:val="00BA4ED5"/>
    <w:rsid w:val="00BA53E1"/>
    <w:rsid w:val="00BA5507"/>
    <w:rsid w:val="00BA5579"/>
    <w:rsid w:val="00BA64BE"/>
    <w:rsid w:val="00BA6B16"/>
    <w:rsid w:val="00BA6CF3"/>
    <w:rsid w:val="00BA6D9C"/>
    <w:rsid w:val="00BA7064"/>
    <w:rsid w:val="00BA738A"/>
    <w:rsid w:val="00BA7498"/>
    <w:rsid w:val="00BA77B4"/>
    <w:rsid w:val="00BB05A8"/>
    <w:rsid w:val="00BB0EBB"/>
    <w:rsid w:val="00BB0EEA"/>
    <w:rsid w:val="00BB1266"/>
    <w:rsid w:val="00BB178B"/>
    <w:rsid w:val="00BB1B2F"/>
    <w:rsid w:val="00BB1CA6"/>
    <w:rsid w:val="00BB2F88"/>
    <w:rsid w:val="00BB3A2F"/>
    <w:rsid w:val="00BB3E1D"/>
    <w:rsid w:val="00BB42BF"/>
    <w:rsid w:val="00BB451C"/>
    <w:rsid w:val="00BB459F"/>
    <w:rsid w:val="00BB5000"/>
    <w:rsid w:val="00BB52C0"/>
    <w:rsid w:val="00BB582C"/>
    <w:rsid w:val="00BB5F43"/>
    <w:rsid w:val="00BB623A"/>
    <w:rsid w:val="00BB6846"/>
    <w:rsid w:val="00BB6F7F"/>
    <w:rsid w:val="00BB710D"/>
    <w:rsid w:val="00BB75D1"/>
    <w:rsid w:val="00BB7854"/>
    <w:rsid w:val="00BB78B1"/>
    <w:rsid w:val="00BB7A80"/>
    <w:rsid w:val="00BB7E78"/>
    <w:rsid w:val="00BC0307"/>
    <w:rsid w:val="00BC11CC"/>
    <w:rsid w:val="00BC18BC"/>
    <w:rsid w:val="00BC1924"/>
    <w:rsid w:val="00BC1B43"/>
    <w:rsid w:val="00BC2021"/>
    <w:rsid w:val="00BC2196"/>
    <w:rsid w:val="00BC22FE"/>
    <w:rsid w:val="00BC2556"/>
    <w:rsid w:val="00BC2E90"/>
    <w:rsid w:val="00BC34BB"/>
    <w:rsid w:val="00BC3A68"/>
    <w:rsid w:val="00BC3C56"/>
    <w:rsid w:val="00BC3EA1"/>
    <w:rsid w:val="00BC493C"/>
    <w:rsid w:val="00BC4BC6"/>
    <w:rsid w:val="00BC4F63"/>
    <w:rsid w:val="00BC5397"/>
    <w:rsid w:val="00BC53DE"/>
    <w:rsid w:val="00BC5647"/>
    <w:rsid w:val="00BC619E"/>
    <w:rsid w:val="00BC674F"/>
    <w:rsid w:val="00BC68BC"/>
    <w:rsid w:val="00BC69FC"/>
    <w:rsid w:val="00BC6D91"/>
    <w:rsid w:val="00BC725D"/>
    <w:rsid w:val="00BC79B0"/>
    <w:rsid w:val="00BC79F3"/>
    <w:rsid w:val="00BC7BBF"/>
    <w:rsid w:val="00BC7CA0"/>
    <w:rsid w:val="00BC7CEF"/>
    <w:rsid w:val="00BC7E99"/>
    <w:rsid w:val="00BD0807"/>
    <w:rsid w:val="00BD09AE"/>
    <w:rsid w:val="00BD0D93"/>
    <w:rsid w:val="00BD0FE4"/>
    <w:rsid w:val="00BD165F"/>
    <w:rsid w:val="00BD170A"/>
    <w:rsid w:val="00BD171E"/>
    <w:rsid w:val="00BD17E8"/>
    <w:rsid w:val="00BD1E98"/>
    <w:rsid w:val="00BD1E9F"/>
    <w:rsid w:val="00BD24DE"/>
    <w:rsid w:val="00BD27ED"/>
    <w:rsid w:val="00BD28A6"/>
    <w:rsid w:val="00BD2BCB"/>
    <w:rsid w:val="00BD3600"/>
    <w:rsid w:val="00BD360B"/>
    <w:rsid w:val="00BD3DA5"/>
    <w:rsid w:val="00BD3E31"/>
    <w:rsid w:val="00BD446D"/>
    <w:rsid w:val="00BD45A2"/>
    <w:rsid w:val="00BD4689"/>
    <w:rsid w:val="00BD46CB"/>
    <w:rsid w:val="00BD4814"/>
    <w:rsid w:val="00BD4A0F"/>
    <w:rsid w:val="00BD4BDE"/>
    <w:rsid w:val="00BD4E13"/>
    <w:rsid w:val="00BD59B7"/>
    <w:rsid w:val="00BD5EC8"/>
    <w:rsid w:val="00BD6035"/>
    <w:rsid w:val="00BD66BD"/>
    <w:rsid w:val="00BD76DA"/>
    <w:rsid w:val="00BD7937"/>
    <w:rsid w:val="00BD7F7A"/>
    <w:rsid w:val="00BE00DC"/>
    <w:rsid w:val="00BE0B59"/>
    <w:rsid w:val="00BE0D40"/>
    <w:rsid w:val="00BE0D93"/>
    <w:rsid w:val="00BE0F6A"/>
    <w:rsid w:val="00BE1342"/>
    <w:rsid w:val="00BE15F0"/>
    <w:rsid w:val="00BE174A"/>
    <w:rsid w:val="00BE1785"/>
    <w:rsid w:val="00BE1A9C"/>
    <w:rsid w:val="00BE204E"/>
    <w:rsid w:val="00BE293A"/>
    <w:rsid w:val="00BE2975"/>
    <w:rsid w:val="00BE2A9E"/>
    <w:rsid w:val="00BE2F16"/>
    <w:rsid w:val="00BE3035"/>
    <w:rsid w:val="00BE3668"/>
    <w:rsid w:val="00BE37B9"/>
    <w:rsid w:val="00BE3FBA"/>
    <w:rsid w:val="00BE427B"/>
    <w:rsid w:val="00BE4646"/>
    <w:rsid w:val="00BE489A"/>
    <w:rsid w:val="00BE490A"/>
    <w:rsid w:val="00BE4981"/>
    <w:rsid w:val="00BE563E"/>
    <w:rsid w:val="00BE56C3"/>
    <w:rsid w:val="00BE584B"/>
    <w:rsid w:val="00BE5933"/>
    <w:rsid w:val="00BE5E33"/>
    <w:rsid w:val="00BE6125"/>
    <w:rsid w:val="00BE6584"/>
    <w:rsid w:val="00BE671D"/>
    <w:rsid w:val="00BE68A7"/>
    <w:rsid w:val="00BE7169"/>
    <w:rsid w:val="00BE7917"/>
    <w:rsid w:val="00BE7B3B"/>
    <w:rsid w:val="00BE7BB6"/>
    <w:rsid w:val="00BF0BFA"/>
    <w:rsid w:val="00BF0D56"/>
    <w:rsid w:val="00BF12C2"/>
    <w:rsid w:val="00BF14FF"/>
    <w:rsid w:val="00BF16CE"/>
    <w:rsid w:val="00BF1BC1"/>
    <w:rsid w:val="00BF2A04"/>
    <w:rsid w:val="00BF2D05"/>
    <w:rsid w:val="00BF302D"/>
    <w:rsid w:val="00BF3149"/>
    <w:rsid w:val="00BF3150"/>
    <w:rsid w:val="00BF33EB"/>
    <w:rsid w:val="00BF3937"/>
    <w:rsid w:val="00BF45D9"/>
    <w:rsid w:val="00BF48DE"/>
    <w:rsid w:val="00BF506A"/>
    <w:rsid w:val="00BF54B5"/>
    <w:rsid w:val="00BF56F0"/>
    <w:rsid w:val="00BF582A"/>
    <w:rsid w:val="00BF5C87"/>
    <w:rsid w:val="00BF60CD"/>
    <w:rsid w:val="00BF63B2"/>
    <w:rsid w:val="00BF6613"/>
    <w:rsid w:val="00BF6B00"/>
    <w:rsid w:val="00BF6B7F"/>
    <w:rsid w:val="00BF6CE6"/>
    <w:rsid w:val="00BF6F83"/>
    <w:rsid w:val="00BF7304"/>
    <w:rsid w:val="00BF7379"/>
    <w:rsid w:val="00BF7752"/>
    <w:rsid w:val="00BF7B3A"/>
    <w:rsid w:val="00BF7E14"/>
    <w:rsid w:val="00C0010F"/>
    <w:rsid w:val="00C00E37"/>
    <w:rsid w:val="00C01876"/>
    <w:rsid w:val="00C01BCA"/>
    <w:rsid w:val="00C02155"/>
    <w:rsid w:val="00C0278B"/>
    <w:rsid w:val="00C028E2"/>
    <w:rsid w:val="00C02F28"/>
    <w:rsid w:val="00C032C7"/>
    <w:rsid w:val="00C0368E"/>
    <w:rsid w:val="00C03A5A"/>
    <w:rsid w:val="00C040B9"/>
    <w:rsid w:val="00C04202"/>
    <w:rsid w:val="00C0444C"/>
    <w:rsid w:val="00C04C2E"/>
    <w:rsid w:val="00C05074"/>
    <w:rsid w:val="00C05223"/>
    <w:rsid w:val="00C057FE"/>
    <w:rsid w:val="00C059E4"/>
    <w:rsid w:val="00C05B64"/>
    <w:rsid w:val="00C05C9F"/>
    <w:rsid w:val="00C06464"/>
    <w:rsid w:val="00C0646B"/>
    <w:rsid w:val="00C071A7"/>
    <w:rsid w:val="00C07F5C"/>
    <w:rsid w:val="00C10615"/>
    <w:rsid w:val="00C10A06"/>
    <w:rsid w:val="00C1105C"/>
    <w:rsid w:val="00C11160"/>
    <w:rsid w:val="00C111B0"/>
    <w:rsid w:val="00C114BC"/>
    <w:rsid w:val="00C11788"/>
    <w:rsid w:val="00C11DAF"/>
    <w:rsid w:val="00C120E2"/>
    <w:rsid w:val="00C1213F"/>
    <w:rsid w:val="00C1283C"/>
    <w:rsid w:val="00C12AD2"/>
    <w:rsid w:val="00C12C56"/>
    <w:rsid w:val="00C134A4"/>
    <w:rsid w:val="00C13922"/>
    <w:rsid w:val="00C13BF3"/>
    <w:rsid w:val="00C13FCA"/>
    <w:rsid w:val="00C142F8"/>
    <w:rsid w:val="00C14857"/>
    <w:rsid w:val="00C14860"/>
    <w:rsid w:val="00C14BA4"/>
    <w:rsid w:val="00C15375"/>
    <w:rsid w:val="00C15C6A"/>
    <w:rsid w:val="00C15ECF"/>
    <w:rsid w:val="00C162BC"/>
    <w:rsid w:val="00C162DB"/>
    <w:rsid w:val="00C166A7"/>
    <w:rsid w:val="00C1698C"/>
    <w:rsid w:val="00C16FB1"/>
    <w:rsid w:val="00C171D5"/>
    <w:rsid w:val="00C1792C"/>
    <w:rsid w:val="00C20B70"/>
    <w:rsid w:val="00C20DE1"/>
    <w:rsid w:val="00C20DFF"/>
    <w:rsid w:val="00C20E9C"/>
    <w:rsid w:val="00C20EF2"/>
    <w:rsid w:val="00C211CA"/>
    <w:rsid w:val="00C213EE"/>
    <w:rsid w:val="00C22183"/>
    <w:rsid w:val="00C22824"/>
    <w:rsid w:val="00C22AA2"/>
    <w:rsid w:val="00C231E4"/>
    <w:rsid w:val="00C2332B"/>
    <w:rsid w:val="00C2398B"/>
    <w:rsid w:val="00C239AC"/>
    <w:rsid w:val="00C24154"/>
    <w:rsid w:val="00C25005"/>
    <w:rsid w:val="00C25A65"/>
    <w:rsid w:val="00C25AD0"/>
    <w:rsid w:val="00C25E81"/>
    <w:rsid w:val="00C25EC4"/>
    <w:rsid w:val="00C25EE8"/>
    <w:rsid w:val="00C26174"/>
    <w:rsid w:val="00C2625D"/>
    <w:rsid w:val="00C263F1"/>
    <w:rsid w:val="00C26589"/>
    <w:rsid w:val="00C269B8"/>
    <w:rsid w:val="00C26C74"/>
    <w:rsid w:val="00C26C86"/>
    <w:rsid w:val="00C26F80"/>
    <w:rsid w:val="00C27141"/>
    <w:rsid w:val="00C271EB"/>
    <w:rsid w:val="00C2726A"/>
    <w:rsid w:val="00C27369"/>
    <w:rsid w:val="00C27435"/>
    <w:rsid w:val="00C27679"/>
    <w:rsid w:val="00C278E7"/>
    <w:rsid w:val="00C30559"/>
    <w:rsid w:val="00C30995"/>
    <w:rsid w:val="00C30FA5"/>
    <w:rsid w:val="00C31760"/>
    <w:rsid w:val="00C317F6"/>
    <w:rsid w:val="00C3181B"/>
    <w:rsid w:val="00C31869"/>
    <w:rsid w:val="00C31B7A"/>
    <w:rsid w:val="00C322C5"/>
    <w:rsid w:val="00C32994"/>
    <w:rsid w:val="00C33333"/>
    <w:rsid w:val="00C337E8"/>
    <w:rsid w:val="00C339C7"/>
    <w:rsid w:val="00C33EA0"/>
    <w:rsid w:val="00C33F24"/>
    <w:rsid w:val="00C342E7"/>
    <w:rsid w:val="00C34375"/>
    <w:rsid w:val="00C34819"/>
    <w:rsid w:val="00C34D51"/>
    <w:rsid w:val="00C354D6"/>
    <w:rsid w:val="00C35776"/>
    <w:rsid w:val="00C3587A"/>
    <w:rsid w:val="00C35E80"/>
    <w:rsid w:val="00C364C7"/>
    <w:rsid w:val="00C366C7"/>
    <w:rsid w:val="00C3705C"/>
    <w:rsid w:val="00C37452"/>
    <w:rsid w:val="00C37A6D"/>
    <w:rsid w:val="00C37DCF"/>
    <w:rsid w:val="00C40737"/>
    <w:rsid w:val="00C40A8F"/>
    <w:rsid w:val="00C40ABE"/>
    <w:rsid w:val="00C40E4A"/>
    <w:rsid w:val="00C41448"/>
    <w:rsid w:val="00C414EC"/>
    <w:rsid w:val="00C419C5"/>
    <w:rsid w:val="00C41E93"/>
    <w:rsid w:val="00C42493"/>
    <w:rsid w:val="00C427AE"/>
    <w:rsid w:val="00C429F7"/>
    <w:rsid w:val="00C42BDC"/>
    <w:rsid w:val="00C432F0"/>
    <w:rsid w:val="00C43984"/>
    <w:rsid w:val="00C444F1"/>
    <w:rsid w:val="00C44908"/>
    <w:rsid w:val="00C44CF2"/>
    <w:rsid w:val="00C450B6"/>
    <w:rsid w:val="00C45360"/>
    <w:rsid w:val="00C454C5"/>
    <w:rsid w:val="00C459F2"/>
    <w:rsid w:val="00C471DA"/>
    <w:rsid w:val="00C474F1"/>
    <w:rsid w:val="00C4752A"/>
    <w:rsid w:val="00C47E51"/>
    <w:rsid w:val="00C504AC"/>
    <w:rsid w:val="00C50598"/>
    <w:rsid w:val="00C50C02"/>
    <w:rsid w:val="00C51031"/>
    <w:rsid w:val="00C510C3"/>
    <w:rsid w:val="00C516A1"/>
    <w:rsid w:val="00C51AD0"/>
    <w:rsid w:val="00C51C67"/>
    <w:rsid w:val="00C51CE0"/>
    <w:rsid w:val="00C525CD"/>
    <w:rsid w:val="00C525EC"/>
    <w:rsid w:val="00C52B03"/>
    <w:rsid w:val="00C52B2F"/>
    <w:rsid w:val="00C531A7"/>
    <w:rsid w:val="00C53299"/>
    <w:rsid w:val="00C53B6B"/>
    <w:rsid w:val="00C53E10"/>
    <w:rsid w:val="00C5482D"/>
    <w:rsid w:val="00C54AF2"/>
    <w:rsid w:val="00C55251"/>
    <w:rsid w:val="00C554B5"/>
    <w:rsid w:val="00C555C0"/>
    <w:rsid w:val="00C5572F"/>
    <w:rsid w:val="00C55C65"/>
    <w:rsid w:val="00C55D3C"/>
    <w:rsid w:val="00C55D71"/>
    <w:rsid w:val="00C56143"/>
    <w:rsid w:val="00C56A00"/>
    <w:rsid w:val="00C56C4F"/>
    <w:rsid w:val="00C56D4C"/>
    <w:rsid w:val="00C57154"/>
    <w:rsid w:val="00C57783"/>
    <w:rsid w:val="00C57817"/>
    <w:rsid w:val="00C57A78"/>
    <w:rsid w:val="00C601B3"/>
    <w:rsid w:val="00C60687"/>
    <w:rsid w:val="00C6084A"/>
    <w:rsid w:val="00C608BF"/>
    <w:rsid w:val="00C612BC"/>
    <w:rsid w:val="00C623BF"/>
    <w:rsid w:val="00C624EE"/>
    <w:rsid w:val="00C627EC"/>
    <w:rsid w:val="00C62B8C"/>
    <w:rsid w:val="00C62C3A"/>
    <w:rsid w:val="00C631B2"/>
    <w:rsid w:val="00C631F4"/>
    <w:rsid w:val="00C63258"/>
    <w:rsid w:val="00C642B8"/>
    <w:rsid w:val="00C64352"/>
    <w:rsid w:val="00C644ED"/>
    <w:rsid w:val="00C648E8"/>
    <w:rsid w:val="00C64A4E"/>
    <w:rsid w:val="00C64CDB"/>
    <w:rsid w:val="00C64E22"/>
    <w:rsid w:val="00C65A63"/>
    <w:rsid w:val="00C65C08"/>
    <w:rsid w:val="00C65D4B"/>
    <w:rsid w:val="00C65E5C"/>
    <w:rsid w:val="00C65F8D"/>
    <w:rsid w:val="00C6636E"/>
    <w:rsid w:val="00C6666F"/>
    <w:rsid w:val="00C6680C"/>
    <w:rsid w:val="00C66993"/>
    <w:rsid w:val="00C67094"/>
    <w:rsid w:val="00C67294"/>
    <w:rsid w:val="00C6797A"/>
    <w:rsid w:val="00C67C13"/>
    <w:rsid w:val="00C67C3F"/>
    <w:rsid w:val="00C67C64"/>
    <w:rsid w:val="00C67F7F"/>
    <w:rsid w:val="00C705BC"/>
    <w:rsid w:val="00C70CCA"/>
    <w:rsid w:val="00C70D59"/>
    <w:rsid w:val="00C70F76"/>
    <w:rsid w:val="00C71541"/>
    <w:rsid w:val="00C715DA"/>
    <w:rsid w:val="00C7183A"/>
    <w:rsid w:val="00C71922"/>
    <w:rsid w:val="00C71B63"/>
    <w:rsid w:val="00C71F29"/>
    <w:rsid w:val="00C722F0"/>
    <w:rsid w:val="00C723E2"/>
    <w:rsid w:val="00C725CF"/>
    <w:rsid w:val="00C727A0"/>
    <w:rsid w:val="00C72CDA"/>
    <w:rsid w:val="00C72D6A"/>
    <w:rsid w:val="00C72F0D"/>
    <w:rsid w:val="00C7304C"/>
    <w:rsid w:val="00C7318B"/>
    <w:rsid w:val="00C731A3"/>
    <w:rsid w:val="00C731DD"/>
    <w:rsid w:val="00C7349E"/>
    <w:rsid w:val="00C737B8"/>
    <w:rsid w:val="00C74005"/>
    <w:rsid w:val="00C74225"/>
    <w:rsid w:val="00C743EE"/>
    <w:rsid w:val="00C74B47"/>
    <w:rsid w:val="00C74D95"/>
    <w:rsid w:val="00C755E8"/>
    <w:rsid w:val="00C75F9C"/>
    <w:rsid w:val="00C764E9"/>
    <w:rsid w:val="00C76FE3"/>
    <w:rsid w:val="00C774F9"/>
    <w:rsid w:val="00C77887"/>
    <w:rsid w:val="00C77B9A"/>
    <w:rsid w:val="00C77DAB"/>
    <w:rsid w:val="00C8026A"/>
    <w:rsid w:val="00C8043D"/>
    <w:rsid w:val="00C80567"/>
    <w:rsid w:val="00C80953"/>
    <w:rsid w:val="00C80A9B"/>
    <w:rsid w:val="00C80F34"/>
    <w:rsid w:val="00C810ED"/>
    <w:rsid w:val="00C81495"/>
    <w:rsid w:val="00C8159E"/>
    <w:rsid w:val="00C8166F"/>
    <w:rsid w:val="00C81B81"/>
    <w:rsid w:val="00C81F56"/>
    <w:rsid w:val="00C823DA"/>
    <w:rsid w:val="00C82961"/>
    <w:rsid w:val="00C82A1D"/>
    <w:rsid w:val="00C82D8F"/>
    <w:rsid w:val="00C82F59"/>
    <w:rsid w:val="00C83245"/>
    <w:rsid w:val="00C833AA"/>
    <w:rsid w:val="00C8397E"/>
    <w:rsid w:val="00C83D1E"/>
    <w:rsid w:val="00C83F54"/>
    <w:rsid w:val="00C8438E"/>
    <w:rsid w:val="00C84519"/>
    <w:rsid w:val="00C847FA"/>
    <w:rsid w:val="00C84827"/>
    <w:rsid w:val="00C8495D"/>
    <w:rsid w:val="00C8543A"/>
    <w:rsid w:val="00C855A0"/>
    <w:rsid w:val="00C85A4E"/>
    <w:rsid w:val="00C85A4F"/>
    <w:rsid w:val="00C85F77"/>
    <w:rsid w:val="00C8625E"/>
    <w:rsid w:val="00C8647A"/>
    <w:rsid w:val="00C86516"/>
    <w:rsid w:val="00C86AF5"/>
    <w:rsid w:val="00C8726B"/>
    <w:rsid w:val="00C87729"/>
    <w:rsid w:val="00C8777C"/>
    <w:rsid w:val="00C90292"/>
    <w:rsid w:val="00C902A2"/>
    <w:rsid w:val="00C9067B"/>
    <w:rsid w:val="00C906AB"/>
    <w:rsid w:val="00C90A1C"/>
    <w:rsid w:val="00C90DC2"/>
    <w:rsid w:val="00C91A42"/>
    <w:rsid w:val="00C91AD3"/>
    <w:rsid w:val="00C92984"/>
    <w:rsid w:val="00C92CD4"/>
    <w:rsid w:val="00C92DA5"/>
    <w:rsid w:val="00C9304F"/>
    <w:rsid w:val="00C9360A"/>
    <w:rsid w:val="00C93B4C"/>
    <w:rsid w:val="00C93F0E"/>
    <w:rsid w:val="00C93F94"/>
    <w:rsid w:val="00C947FA"/>
    <w:rsid w:val="00C94844"/>
    <w:rsid w:val="00C94956"/>
    <w:rsid w:val="00C952C3"/>
    <w:rsid w:val="00C959FD"/>
    <w:rsid w:val="00C95C35"/>
    <w:rsid w:val="00C95E93"/>
    <w:rsid w:val="00C95EAC"/>
    <w:rsid w:val="00C95F58"/>
    <w:rsid w:val="00C962B4"/>
    <w:rsid w:val="00C96345"/>
    <w:rsid w:val="00C96476"/>
    <w:rsid w:val="00C96AA8"/>
    <w:rsid w:val="00C96B74"/>
    <w:rsid w:val="00C96C0F"/>
    <w:rsid w:val="00C96CD2"/>
    <w:rsid w:val="00C96FF1"/>
    <w:rsid w:val="00C976C0"/>
    <w:rsid w:val="00C97C4D"/>
    <w:rsid w:val="00C97EAD"/>
    <w:rsid w:val="00CA003D"/>
    <w:rsid w:val="00CA0CEA"/>
    <w:rsid w:val="00CA125B"/>
    <w:rsid w:val="00CA13E4"/>
    <w:rsid w:val="00CA13EB"/>
    <w:rsid w:val="00CA1452"/>
    <w:rsid w:val="00CA1496"/>
    <w:rsid w:val="00CA1592"/>
    <w:rsid w:val="00CA1686"/>
    <w:rsid w:val="00CA1BF5"/>
    <w:rsid w:val="00CA1EAB"/>
    <w:rsid w:val="00CA1FAB"/>
    <w:rsid w:val="00CA2B67"/>
    <w:rsid w:val="00CA2E0A"/>
    <w:rsid w:val="00CA2E68"/>
    <w:rsid w:val="00CA3405"/>
    <w:rsid w:val="00CA381B"/>
    <w:rsid w:val="00CA413C"/>
    <w:rsid w:val="00CA46E7"/>
    <w:rsid w:val="00CA4994"/>
    <w:rsid w:val="00CA4B34"/>
    <w:rsid w:val="00CA546B"/>
    <w:rsid w:val="00CA558D"/>
    <w:rsid w:val="00CA5BA8"/>
    <w:rsid w:val="00CA6328"/>
    <w:rsid w:val="00CA63FD"/>
    <w:rsid w:val="00CA6448"/>
    <w:rsid w:val="00CA6782"/>
    <w:rsid w:val="00CA6F17"/>
    <w:rsid w:val="00CA70D4"/>
    <w:rsid w:val="00CA7185"/>
    <w:rsid w:val="00CA718A"/>
    <w:rsid w:val="00CA72B7"/>
    <w:rsid w:val="00CA74E0"/>
    <w:rsid w:val="00CA76DD"/>
    <w:rsid w:val="00CA7AB9"/>
    <w:rsid w:val="00CA7B39"/>
    <w:rsid w:val="00CA7C09"/>
    <w:rsid w:val="00CA7E89"/>
    <w:rsid w:val="00CB0003"/>
    <w:rsid w:val="00CB0088"/>
    <w:rsid w:val="00CB0320"/>
    <w:rsid w:val="00CB05FC"/>
    <w:rsid w:val="00CB0712"/>
    <w:rsid w:val="00CB0DE0"/>
    <w:rsid w:val="00CB12E7"/>
    <w:rsid w:val="00CB1349"/>
    <w:rsid w:val="00CB1E46"/>
    <w:rsid w:val="00CB214B"/>
    <w:rsid w:val="00CB2384"/>
    <w:rsid w:val="00CB2415"/>
    <w:rsid w:val="00CB24BC"/>
    <w:rsid w:val="00CB2DC3"/>
    <w:rsid w:val="00CB2F0A"/>
    <w:rsid w:val="00CB304B"/>
    <w:rsid w:val="00CB3302"/>
    <w:rsid w:val="00CB43FA"/>
    <w:rsid w:val="00CB45AE"/>
    <w:rsid w:val="00CB481A"/>
    <w:rsid w:val="00CB5C2B"/>
    <w:rsid w:val="00CB5D16"/>
    <w:rsid w:val="00CB618B"/>
    <w:rsid w:val="00CB63BF"/>
    <w:rsid w:val="00CB69BC"/>
    <w:rsid w:val="00CB69FB"/>
    <w:rsid w:val="00CB6E35"/>
    <w:rsid w:val="00CB742C"/>
    <w:rsid w:val="00CB7588"/>
    <w:rsid w:val="00CC0170"/>
    <w:rsid w:val="00CC02F2"/>
    <w:rsid w:val="00CC0615"/>
    <w:rsid w:val="00CC0659"/>
    <w:rsid w:val="00CC06B1"/>
    <w:rsid w:val="00CC071E"/>
    <w:rsid w:val="00CC0996"/>
    <w:rsid w:val="00CC0F6D"/>
    <w:rsid w:val="00CC0F9D"/>
    <w:rsid w:val="00CC1079"/>
    <w:rsid w:val="00CC16B2"/>
    <w:rsid w:val="00CC1BEF"/>
    <w:rsid w:val="00CC2156"/>
    <w:rsid w:val="00CC266F"/>
    <w:rsid w:val="00CC269E"/>
    <w:rsid w:val="00CC28DD"/>
    <w:rsid w:val="00CC2919"/>
    <w:rsid w:val="00CC296C"/>
    <w:rsid w:val="00CC2A20"/>
    <w:rsid w:val="00CC2BA6"/>
    <w:rsid w:val="00CC34A3"/>
    <w:rsid w:val="00CC34CB"/>
    <w:rsid w:val="00CC3BA0"/>
    <w:rsid w:val="00CC3DEA"/>
    <w:rsid w:val="00CC4268"/>
    <w:rsid w:val="00CC4380"/>
    <w:rsid w:val="00CC4726"/>
    <w:rsid w:val="00CC48AC"/>
    <w:rsid w:val="00CC4B9E"/>
    <w:rsid w:val="00CC4BC6"/>
    <w:rsid w:val="00CC52EE"/>
    <w:rsid w:val="00CC545D"/>
    <w:rsid w:val="00CC5497"/>
    <w:rsid w:val="00CC551E"/>
    <w:rsid w:val="00CC5633"/>
    <w:rsid w:val="00CC57C6"/>
    <w:rsid w:val="00CC590B"/>
    <w:rsid w:val="00CC6734"/>
    <w:rsid w:val="00CC6A6C"/>
    <w:rsid w:val="00CC70A2"/>
    <w:rsid w:val="00CC714E"/>
    <w:rsid w:val="00CC792B"/>
    <w:rsid w:val="00CC7C68"/>
    <w:rsid w:val="00CC7CC6"/>
    <w:rsid w:val="00CD0271"/>
    <w:rsid w:val="00CD02DC"/>
    <w:rsid w:val="00CD03A9"/>
    <w:rsid w:val="00CD083E"/>
    <w:rsid w:val="00CD0886"/>
    <w:rsid w:val="00CD129E"/>
    <w:rsid w:val="00CD1992"/>
    <w:rsid w:val="00CD1DFD"/>
    <w:rsid w:val="00CD1EA1"/>
    <w:rsid w:val="00CD2395"/>
    <w:rsid w:val="00CD2516"/>
    <w:rsid w:val="00CD2BF8"/>
    <w:rsid w:val="00CD2DE8"/>
    <w:rsid w:val="00CD3119"/>
    <w:rsid w:val="00CD32FB"/>
    <w:rsid w:val="00CD3909"/>
    <w:rsid w:val="00CD3943"/>
    <w:rsid w:val="00CD3E33"/>
    <w:rsid w:val="00CD412E"/>
    <w:rsid w:val="00CD45BC"/>
    <w:rsid w:val="00CD49DD"/>
    <w:rsid w:val="00CD4B0D"/>
    <w:rsid w:val="00CD4B35"/>
    <w:rsid w:val="00CD54ED"/>
    <w:rsid w:val="00CD5623"/>
    <w:rsid w:val="00CD6538"/>
    <w:rsid w:val="00CD69BF"/>
    <w:rsid w:val="00CD6C1C"/>
    <w:rsid w:val="00CD7238"/>
    <w:rsid w:val="00CD76A4"/>
    <w:rsid w:val="00CD7C55"/>
    <w:rsid w:val="00CD7CB1"/>
    <w:rsid w:val="00CD7E51"/>
    <w:rsid w:val="00CD7ED1"/>
    <w:rsid w:val="00CE0671"/>
    <w:rsid w:val="00CE071A"/>
    <w:rsid w:val="00CE0C94"/>
    <w:rsid w:val="00CE11BC"/>
    <w:rsid w:val="00CE141D"/>
    <w:rsid w:val="00CE142B"/>
    <w:rsid w:val="00CE156E"/>
    <w:rsid w:val="00CE1920"/>
    <w:rsid w:val="00CE19F0"/>
    <w:rsid w:val="00CE1ED6"/>
    <w:rsid w:val="00CE22FD"/>
    <w:rsid w:val="00CE2BB8"/>
    <w:rsid w:val="00CE2F1D"/>
    <w:rsid w:val="00CE374C"/>
    <w:rsid w:val="00CE3DFD"/>
    <w:rsid w:val="00CE3EB9"/>
    <w:rsid w:val="00CE3EFE"/>
    <w:rsid w:val="00CE4117"/>
    <w:rsid w:val="00CE4616"/>
    <w:rsid w:val="00CE48CF"/>
    <w:rsid w:val="00CE4990"/>
    <w:rsid w:val="00CE4B3A"/>
    <w:rsid w:val="00CE4B8F"/>
    <w:rsid w:val="00CE4C6C"/>
    <w:rsid w:val="00CE4DC6"/>
    <w:rsid w:val="00CE52F3"/>
    <w:rsid w:val="00CE58FE"/>
    <w:rsid w:val="00CE5AE8"/>
    <w:rsid w:val="00CE5B5B"/>
    <w:rsid w:val="00CE5DBA"/>
    <w:rsid w:val="00CE5FA7"/>
    <w:rsid w:val="00CE634A"/>
    <w:rsid w:val="00CE6491"/>
    <w:rsid w:val="00CE66AD"/>
    <w:rsid w:val="00CE6AA0"/>
    <w:rsid w:val="00CE6CCE"/>
    <w:rsid w:val="00CE7177"/>
    <w:rsid w:val="00CE73D9"/>
    <w:rsid w:val="00CE7600"/>
    <w:rsid w:val="00CE7B84"/>
    <w:rsid w:val="00CE7CBB"/>
    <w:rsid w:val="00CF0BD9"/>
    <w:rsid w:val="00CF0D55"/>
    <w:rsid w:val="00CF0E01"/>
    <w:rsid w:val="00CF10EE"/>
    <w:rsid w:val="00CF14A5"/>
    <w:rsid w:val="00CF210B"/>
    <w:rsid w:val="00CF25A0"/>
    <w:rsid w:val="00CF2606"/>
    <w:rsid w:val="00CF2D8A"/>
    <w:rsid w:val="00CF3020"/>
    <w:rsid w:val="00CF346F"/>
    <w:rsid w:val="00CF38B4"/>
    <w:rsid w:val="00CF38E5"/>
    <w:rsid w:val="00CF3F41"/>
    <w:rsid w:val="00CF3F44"/>
    <w:rsid w:val="00CF40EF"/>
    <w:rsid w:val="00CF4175"/>
    <w:rsid w:val="00CF486E"/>
    <w:rsid w:val="00CF4D45"/>
    <w:rsid w:val="00CF4D49"/>
    <w:rsid w:val="00CF4EFF"/>
    <w:rsid w:val="00CF571A"/>
    <w:rsid w:val="00CF58FE"/>
    <w:rsid w:val="00CF5A7F"/>
    <w:rsid w:val="00CF5F17"/>
    <w:rsid w:val="00CF600D"/>
    <w:rsid w:val="00CF62B7"/>
    <w:rsid w:val="00CF633D"/>
    <w:rsid w:val="00CF6A86"/>
    <w:rsid w:val="00CF6CA2"/>
    <w:rsid w:val="00CF71D0"/>
    <w:rsid w:val="00CF74B3"/>
    <w:rsid w:val="00CF783E"/>
    <w:rsid w:val="00CF7C86"/>
    <w:rsid w:val="00D00121"/>
    <w:rsid w:val="00D00462"/>
    <w:rsid w:val="00D00606"/>
    <w:rsid w:val="00D007E8"/>
    <w:rsid w:val="00D00FEE"/>
    <w:rsid w:val="00D00FEF"/>
    <w:rsid w:val="00D01561"/>
    <w:rsid w:val="00D01624"/>
    <w:rsid w:val="00D01897"/>
    <w:rsid w:val="00D01B25"/>
    <w:rsid w:val="00D0206E"/>
    <w:rsid w:val="00D02513"/>
    <w:rsid w:val="00D02548"/>
    <w:rsid w:val="00D025DE"/>
    <w:rsid w:val="00D026E0"/>
    <w:rsid w:val="00D02B65"/>
    <w:rsid w:val="00D02D95"/>
    <w:rsid w:val="00D031F7"/>
    <w:rsid w:val="00D03303"/>
    <w:rsid w:val="00D03547"/>
    <w:rsid w:val="00D0361B"/>
    <w:rsid w:val="00D036E4"/>
    <w:rsid w:val="00D03D7A"/>
    <w:rsid w:val="00D03FC6"/>
    <w:rsid w:val="00D04112"/>
    <w:rsid w:val="00D04430"/>
    <w:rsid w:val="00D04435"/>
    <w:rsid w:val="00D049BD"/>
    <w:rsid w:val="00D04C3F"/>
    <w:rsid w:val="00D05169"/>
    <w:rsid w:val="00D0547D"/>
    <w:rsid w:val="00D05920"/>
    <w:rsid w:val="00D05BDD"/>
    <w:rsid w:val="00D05EA4"/>
    <w:rsid w:val="00D05EAA"/>
    <w:rsid w:val="00D06726"/>
    <w:rsid w:val="00D06884"/>
    <w:rsid w:val="00D06F3F"/>
    <w:rsid w:val="00D076F4"/>
    <w:rsid w:val="00D0796D"/>
    <w:rsid w:val="00D07E45"/>
    <w:rsid w:val="00D07F48"/>
    <w:rsid w:val="00D103FA"/>
    <w:rsid w:val="00D108B9"/>
    <w:rsid w:val="00D10CCF"/>
    <w:rsid w:val="00D11532"/>
    <w:rsid w:val="00D12434"/>
    <w:rsid w:val="00D125E1"/>
    <w:rsid w:val="00D12774"/>
    <w:rsid w:val="00D13148"/>
    <w:rsid w:val="00D131B7"/>
    <w:rsid w:val="00D13553"/>
    <w:rsid w:val="00D13732"/>
    <w:rsid w:val="00D137CE"/>
    <w:rsid w:val="00D13804"/>
    <w:rsid w:val="00D13B54"/>
    <w:rsid w:val="00D13CE0"/>
    <w:rsid w:val="00D1536D"/>
    <w:rsid w:val="00D15604"/>
    <w:rsid w:val="00D15798"/>
    <w:rsid w:val="00D159DA"/>
    <w:rsid w:val="00D15B02"/>
    <w:rsid w:val="00D168A0"/>
    <w:rsid w:val="00D1717C"/>
    <w:rsid w:val="00D17349"/>
    <w:rsid w:val="00D17A02"/>
    <w:rsid w:val="00D17E9C"/>
    <w:rsid w:val="00D17F29"/>
    <w:rsid w:val="00D20671"/>
    <w:rsid w:val="00D207E2"/>
    <w:rsid w:val="00D20B81"/>
    <w:rsid w:val="00D20CEB"/>
    <w:rsid w:val="00D215DE"/>
    <w:rsid w:val="00D21666"/>
    <w:rsid w:val="00D21B5C"/>
    <w:rsid w:val="00D21F2D"/>
    <w:rsid w:val="00D2215C"/>
    <w:rsid w:val="00D22BE6"/>
    <w:rsid w:val="00D22D4B"/>
    <w:rsid w:val="00D22E4F"/>
    <w:rsid w:val="00D2321D"/>
    <w:rsid w:val="00D23232"/>
    <w:rsid w:val="00D2329D"/>
    <w:rsid w:val="00D23787"/>
    <w:rsid w:val="00D2427A"/>
    <w:rsid w:val="00D24C00"/>
    <w:rsid w:val="00D24C70"/>
    <w:rsid w:val="00D25022"/>
    <w:rsid w:val="00D2503B"/>
    <w:rsid w:val="00D253FF"/>
    <w:rsid w:val="00D256D2"/>
    <w:rsid w:val="00D25E68"/>
    <w:rsid w:val="00D26255"/>
    <w:rsid w:val="00D2641C"/>
    <w:rsid w:val="00D2691D"/>
    <w:rsid w:val="00D26969"/>
    <w:rsid w:val="00D26BEB"/>
    <w:rsid w:val="00D26CDD"/>
    <w:rsid w:val="00D26E53"/>
    <w:rsid w:val="00D26F8A"/>
    <w:rsid w:val="00D27764"/>
    <w:rsid w:val="00D27B67"/>
    <w:rsid w:val="00D30076"/>
    <w:rsid w:val="00D30677"/>
    <w:rsid w:val="00D30C9B"/>
    <w:rsid w:val="00D316F1"/>
    <w:rsid w:val="00D31716"/>
    <w:rsid w:val="00D317EB"/>
    <w:rsid w:val="00D32450"/>
    <w:rsid w:val="00D3295B"/>
    <w:rsid w:val="00D32A2C"/>
    <w:rsid w:val="00D32BE4"/>
    <w:rsid w:val="00D32CCB"/>
    <w:rsid w:val="00D32E65"/>
    <w:rsid w:val="00D3323E"/>
    <w:rsid w:val="00D332BD"/>
    <w:rsid w:val="00D333B0"/>
    <w:rsid w:val="00D33449"/>
    <w:rsid w:val="00D33473"/>
    <w:rsid w:val="00D33C3A"/>
    <w:rsid w:val="00D34411"/>
    <w:rsid w:val="00D345BA"/>
    <w:rsid w:val="00D3463A"/>
    <w:rsid w:val="00D3479A"/>
    <w:rsid w:val="00D34C80"/>
    <w:rsid w:val="00D34CF2"/>
    <w:rsid w:val="00D34DF9"/>
    <w:rsid w:val="00D34FEF"/>
    <w:rsid w:val="00D353DF"/>
    <w:rsid w:val="00D35791"/>
    <w:rsid w:val="00D35AA7"/>
    <w:rsid w:val="00D35BC8"/>
    <w:rsid w:val="00D35C60"/>
    <w:rsid w:val="00D35E30"/>
    <w:rsid w:val="00D36077"/>
    <w:rsid w:val="00D3639A"/>
    <w:rsid w:val="00D365B8"/>
    <w:rsid w:val="00D3669C"/>
    <w:rsid w:val="00D377C5"/>
    <w:rsid w:val="00D37BC6"/>
    <w:rsid w:val="00D404C5"/>
    <w:rsid w:val="00D40659"/>
    <w:rsid w:val="00D407BC"/>
    <w:rsid w:val="00D407E4"/>
    <w:rsid w:val="00D409EB"/>
    <w:rsid w:val="00D40A74"/>
    <w:rsid w:val="00D40A7C"/>
    <w:rsid w:val="00D40D3B"/>
    <w:rsid w:val="00D40D70"/>
    <w:rsid w:val="00D40F22"/>
    <w:rsid w:val="00D410F5"/>
    <w:rsid w:val="00D41B8A"/>
    <w:rsid w:val="00D42036"/>
    <w:rsid w:val="00D425C3"/>
    <w:rsid w:val="00D42ADA"/>
    <w:rsid w:val="00D42B4B"/>
    <w:rsid w:val="00D42D82"/>
    <w:rsid w:val="00D4337F"/>
    <w:rsid w:val="00D433F6"/>
    <w:rsid w:val="00D435E0"/>
    <w:rsid w:val="00D437EF"/>
    <w:rsid w:val="00D43D10"/>
    <w:rsid w:val="00D4445A"/>
    <w:rsid w:val="00D4462E"/>
    <w:rsid w:val="00D44E11"/>
    <w:rsid w:val="00D4559A"/>
    <w:rsid w:val="00D4597C"/>
    <w:rsid w:val="00D4611A"/>
    <w:rsid w:val="00D46233"/>
    <w:rsid w:val="00D462F3"/>
    <w:rsid w:val="00D46955"/>
    <w:rsid w:val="00D46A7B"/>
    <w:rsid w:val="00D4710B"/>
    <w:rsid w:val="00D471F8"/>
    <w:rsid w:val="00D4788B"/>
    <w:rsid w:val="00D47E15"/>
    <w:rsid w:val="00D50277"/>
    <w:rsid w:val="00D502AE"/>
    <w:rsid w:val="00D5092B"/>
    <w:rsid w:val="00D50F93"/>
    <w:rsid w:val="00D513BD"/>
    <w:rsid w:val="00D51637"/>
    <w:rsid w:val="00D5184A"/>
    <w:rsid w:val="00D519CD"/>
    <w:rsid w:val="00D51A8D"/>
    <w:rsid w:val="00D51E1D"/>
    <w:rsid w:val="00D51E2C"/>
    <w:rsid w:val="00D52029"/>
    <w:rsid w:val="00D5206A"/>
    <w:rsid w:val="00D52BA5"/>
    <w:rsid w:val="00D52F48"/>
    <w:rsid w:val="00D53005"/>
    <w:rsid w:val="00D531B1"/>
    <w:rsid w:val="00D53770"/>
    <w:rsid w:val="00D53881"/>
    <w:rsid w:val="00D53D15"/>
    <w:rsid w:val="00D54066"/>
    <w:rsid w:val="00D54BF0"/>
    <w:rsid w:val="00D54EA1"/>
    <w:rsid w:val="00D55048"/>
    <w:rsid w:val="00D558D4"/>
    <w:rsid w:val="00D55949"/>
    <w:rsid w:val="00D5596B"/>
    <w:rsid w:val="00D55B84"/>
    <w:rsid w:val="00D561B0"/>
    <w:rsid w:val="00D567EB"/>
    <w:rsid w:val="00D56929"/>
    <w:rsid w:val="00D56C0C"/>
    <w:rsid w:val="00D56DE5"/>
    <w:rsid w:val="00D570AD"/>
    <w:rsid w:val="00D57138"/>
    <w:rsid w:val="00D57527"/>
    <w:rsid w:val="00D5772F"/>
    <w:rsid w:val="00D57D36"/>
    <w:rsid w:val="00D57DDF"/>
    <w:rsid w:val="00D60D72"/>
    <w:rsid w:val="00D614C5"/>
    <w:rsid w:val="00D61905"/>
    <w:rsid w:val="00D61A69"/>
    <w:rsid w:val="00D61F60"/>
    <w:rsid w:val="00D61FAE"/>
    <w:rsid w:val="00D6253D"/>
    <w:rsid w:val="00D62F9A"/>
    <w:rsid w:val="00D630D8"/>
    <w:rsid w:val="00D631D7"/>
    <w:rsid w:val="00D6323A"/>
    <w:rsid w:val="00D633D4"/>
    <w:rsid w:val="00D6390E"/>
    <w:rsid w:val="00D646B7"/>
    <w:rsid w:val="00D646EC"/>
    <w:rsid w:val="00D646F0"/>
    <w:rsid w:val="00D648F4"/>
    <w:rsid w:val="00D6492D"/>
    <w:rsid w:val="00D64949"/>
    <w:rsid w:val="00D64ADC"/>
    <w:rsid w:val="00D650B4"/>
    <w:rsid w:val="00D66307"/>
    <w:rsid w:val="00D6635A"/>
    <w:rsid w:val="00D66682"/>
    <w:rsid w:val="00D6680B"/>
    <w:rsid w:val="00D67018"/>
    <w:rsid w:val="00D67AB0"/>
    <w:rsid w:val="00D67AB8"/>
    <w:rsid w:val="00D67BD8"/>
    <w:rsid w:val="00D67F35"/>
    <w:rsid w:val="00D7058C"/>
    <w:rsid w:val="00D706EB"/>
    <w:rsid w:val="00D70C2F"/>
    <w:rsid w:val="00D70FCE"/>
    <w:rsid w:val="00D711A6"/>
    <w:rsid w:val="00D71BAA"/>
    <w:rsid w:val="00D72039"/>
    <w:rsid w:val="00D725F5"/>
    <w:rsid w:val="00D7293C"/>
    <w:rsid w:val="00D72DAB"/>
    <w:rsid w:val="00D73C09"/>
    <w:rsid w:val="00D741BC"/>
    <w:rsid w:val="00D7474C"/>
    <w:rsid w:val="00D74B75"/>
    <w:rsid w:val="00D74BE7"/>
    <w:rsid w:val="00D75446"/>
    <w:rsid w:val="00D7563B"/>
    <w:rsid w:val="00D7616E"/>
    <w:rsid w:val="00D7670F"/>
    <w:rsid w:val="00D76B51"/>
    <w:rsid w:val="00D76D3F"/>
    <w:rsid w:val="00D76DA8"/>
    <w:rsid w:val="00D7778A"/>
    <w:rsid w:val="00D77999"/>
    <w:rsid w:val="00D80388"/>
    <w:rsid w:val="00D80910"/>
    <w:rsid w:val="00D8098F"/>
    <w:rsid w:val="00D80FAD"/>
    <w:rsid w:val="00D813D4"/>
    <w:rsid w:val="00D816B8"/>
    <w:rsid w:val="00D817CB"/>
    <w:rsid w:val="00D81836"/>
    <w:rsid w:val="00D81BB8"/>
    <w:rsid w:val="00D81E09"/>
    <w:rsid w:val="00D82404"/>
    <w:rsid w:val="00D83545"/>
    <w:rsid w:val="00D8355F"/>
    <w:rsid w:val="00D8379A"/>
    <w:rsid w:val="00D8387E"/>
    <w:rsid w:val="00D83AF5"/>
    <w:rsid w:val="00D8402F"/>
    <w:rsid w:val="00D845DC"/>
    <w:rsid w:val="00D84696"/>
    <w:rsid w:val="00D846A1"/>
    <w:rsid w:val="00D846EB"/>
    <w:rsid w:val="00D847FF"/>
    <w:rsid w:val="00D84975"/>
    <w:rsid w:val="00D8536E"/>
    <w:rsid w:val="00D8544C"/>
    <w:rsid w:val="00D85B09"/>
    <w:rsid w:val="00D85C5B"/>
    <w:rsid w:val="00D86367"/>
    <w:rsid w:val="00D86759"/>
    <w:rsid w:val="00D86ECC"/>
    <w:rsid w:val="00D86FD3"/>
    <w:rsid w:val="00D870B7"/>
    <w:rsid w:val="00D871A7"/>
    <w:rsid w:val="00D877CB"/>
    <w:rsid w:val="00D87D89"/>
    <w:rsid w:val="00D87E90"/>
    <w:rsid w:val="00D87F51"/>
    <w:rsid w:val="00D901A4"/>
    <w:rsid w:val="00D902EC"/>
    <w:rsid w:val="00D90480"/>
    <w:rsid w:val="00D90559"/>
    <w:rsid w:val="00D90994"/>
    <w:rsid w:val="00D90DE1"/>
    <w:rsid w:val="00D911BA"/>
    <w:rsid w:val="00D91262"/>
    <w:rsid w:val="00D91410"/>
    <w:rsid w:val="00D9145B"/>
    <w:rsid w:val="00D91955"/>
    <w:rsid w:val="00D91D02"/>
    <w:rsid w:val="00D91FD7"/>
    <w:rsid w:val="00D922F1"/>
    <w:rsid w:val="00D92630"/>
    <w:rsid w:val="00D92A3B"/>
    <w:rsid w:val="00D92D73"/>
    <w:rsid w:val="00D92E51"/>
    <w:rsid w:val="00D9342D"/>
    <w:rsid w:val="00D93F89"/>
    <w:rsid w:val="00D93FE5"/>
    <w:rsid w:val="00D940F2"/>
    <w:rsid w:val="00D94560"/>
    <w:rsid w:val="00D949BB"/>
    <w:rsid w:val="00D94A14"/>
    <w:rsid w:val="00D94B21"/>
    <w:rsid w:val="00D94CEC"/>
    <w:rsid w:val="00D95BF2"/>
    <w:rsid w:val="00D95EA5"/>
    <w:rsid w:val="00D961F9"/>
    <w:rsid w:val="00D96685"/>
    <w:rsid w:val="00D96738"/>
    <w:rsid w:val="00D96A81"/>
    <w:rsid w:val="00D96B71"/>
    <w:rsid w:val="00D96CA6"/>
    <w:rsid w:val="00D9747C"/>
    <w:rsid w:val="00D976FA"/>
    <w:rsid w:val="00D977C6"/>
    <w:rsid w:val="00D97BBC"/>
    <w:rsid w:val="00D97F67"/>
    <w:rsid w:val="00DA0129"/>
    <w:rsid w:val="00DA0443"/>
    <w:rsid w:val="00DA0665"/>
    <w:rsid w:val="00DA0696"/>
    <w:rsid w:val="00DA0AC9"/>
    <w:rsid w:val="00DA0C39"/>
    <w:rsid w:val="00DA1310"/>
    <w:rsid w:val="00DA1968"/>
    <w:rsid w:val="00DA1969"/>
    <w:rsid w:val="00DA1A36"/>
    <w:rsid w:val="00DA2240"/>
    <w:rsid w:val="00DA22CD"/>
    <w:rsid w:val="00DA231C"/>
    <w:rsid w:val="00DA23D6"/>
    <w:rsid w:val="00DA2489"/>
    <w:rsid w:val="00DA2675"/>
    <w:rsid w:val="00DA2736"/>
    <w:rsid w:val="00DA2900"/>
    <w:rsid w:val="00DA3137"/>
    <w:rsid w:val="00DA3248"/>
    <w:rsid w:val="00DA3AB4"/>
    <w:rsid w:val="00DA3E37"/>
    <w:rsid w:val="00DA3F9A"/>
    <w:rsid w:val="00DA4743"/>
    <w:rsid w:val="00DA4DDF"/>
    <w:rsid w:val="00DA5132"/>
    <w:rsid w:val="00DA589A"/>
    <w:rsid w:val="00DA5A32"/>
    <w:rsid w:val="00DA5B5E"/>
    <w:rsid w:val="00DA5D8A"/>
    <w:rsid w:val="00DA6098"/>
    <w:rsid w:val="00DA6656"/>
    <w:rsid w:val="00DA675C"/>
    <w:rsid w:val="00DA6B42"/>
    <w:rsid w:val="00DA6B90"/>
    <w:rsid w:val="00DA6C30"/>
    <w:rsid w:val="00DA78C9"/>
    <w:rsid w:val="00DA7C20"/>
    <w:rsid w:val="00DA7D94"/>
    <w:rsid w:val="00DB02F7"/>
    <w:rsid w:val="00DB033A"/>
    <w:rsid w:val="00DB04F2"/>
    <w:rsid w:val="00DB07E4"/>
    <w:rsid w:val="00DB0904"/>
    <w:rsid w:val="00DB0BF9"/>
    <w:rsid w:val="00DB0CCF"/>
    <w:rsid w:val="00DB0EEF"/>
    <w:rsid w:val="00DB13B9"/>
    <w:rsid w:val="00DB1428"/>
    <w:rsid w:val="00DB1699"/>
    <w:rsid w:val="00DB25B6"/>
    <w:rsid w:val="00DB2939"/>
    <w:rsid w:val="00DB2A3E"/>
    <w:rsid w:val="00DB2A4E"/>
    <w:rsid w:val="00DB2B48"/>
    <w:rsid w:val="00DB2B7B"/>
    <w:rsid w:val="00DB2CDE"/>
    <w:rsid w:val="00DB2EDD"/>
    <w:rsid w:val="00DB37F2"/>
    <w:rsid w:val="00DB3D1C"/>
    <w:rsid w:val="00DB483F"/>
    <w:rsid w:val="00DB4A7E"/>
    <w:rsid w:val="00DB4DFF"/>
    <w:rsid w:val="00DB5046"/>
    <w:rsid w:val="00DB506A"/>
    <w:rsid w:val="00DB5112"/>
    <w:rsid w:val="00DB53D9"/>
    <w:rsid w:val="00DB5473"/>
    <w:rsid w:val="00DB59E1"/>
    <w:rsid w:val="00DB5EEA"/>
    <w:rsid w:val="00DB600C"/>
    <w:rsid w:val="00DB62A9"/>
    <w:rsid w:val="00DB65CF"/>
    <w:rsid w:val="00DB669B"/>
    <w:rsid w:val="00DB7D08"/>
    <w:rsid w:val="00DC0783"/>
    <w:rsid w:val="00DC0B80"/>
    <w:rsid w:val="00DC0CC0"/>
    <w:rsid w:val="00DC0D4A"/>
    <w:rsid w:val="00DC1554"/>
    <w:rsid w:val="00DC1556"/>
    <w:rsid w:val="00DC1D86"/>
    <w:rsid w:val="00DC2438"/>
    <w:rsid w:val="00DC2497"/>
    <w:rsid w:val="00DC272A"/>
    <w:rsid w:val="00DC2761"/>
    <w:rsid w:val="00DC2A81"/>
    <w:rsid w:val="00DC2DAE"/>
    <w:rsid w:val="00DC2DF5"/>
    <w:rsid w:val="00DC33B3"/>
    <w:rsid w:val="00DC378C"/>
    <w:rsid w:val="00DC3793"/>
    <w:rsid w:val="00DC3888"/>
    <w:rsid w:val="00DC3960"/>
    <w:rsid w:val="00DC3FCA"/>
    <w:rsid w:val="00DC425F"/>
    <w:rsid w:val="00DC42EB"/>
    <w:rsid w:val="00DC436C"/>
    <w:rsid w:val="00DC44FB"/>
    <w:rsid w:val="00DC4EC1"/>
    <w:rsid w:val="00DC4FF3"/>
    <w:rsid w:val="00DC52CC"/>
    <w:rsid w:val="00DC540E"/>
    <w:rsid w:val="00DC5D61"/>
    <w:rsid w:val="00DC61CC"/>
    <w:rsid w:val="00DC62C4"/>
    <w:rsid w:val="00DC6330"/>
    <w:rsid w:val="00DC6A95"/>
    <w:rsid w:val="00DC6ABB"/>
    <w:rsid w:val="00DC6B63"/>
    <w:rsid w:val="00DC6BD8"/>
    <w:rsid w:val="00DC70F7"/>
    <w:rsid w:val="00DC7A6C"/>
    <w:rsid w:val="00DC7AE5"/>
    <w:rsid w:val="00DC7EBB"/>
    <w:rsid w:val="00DD044B"/>
    <w:rsid w:val="00DD16CC"/>
    <w:rsid w:val="00DD19F5"/>
    <w:rsid w:val="00DD257D"/>
    <w:rsid w:val="00DD2C2C"/>
    <w:rsid w:val="00DD2C71"/>
    <w:rsid w:val="00DD2C91"/>
    <w:rsid w:val="00DD2E07"/>
    <w:rsid w:val="00DD3162"/>
    <w:rsid w:val="00DD317E"/>
    <w:rsid w:val="00DD3615"/>
    <w:rsid w:val="00DD439C"/>
    <w:rsid w:val="00DD4806"/>
    <w:rsid w:val="00DD4940"/>
    <w:rsid w:val="00DD4F49"/>
    <w:rsid w:val="00DD5294"/>
    <w:rsid w:val="00DD554B"/>
    <w:rsid w:val="00DD5B1E"/>
    <w:rsid w:val="00DD6100"/>
    <w:rsid w:val="00DD611C"/>
    <w:rsid w:val="00DD6817"/>
    <w:rsid w:val="00DD6C2C"/>
    <w:rsid w:val="00DD6E56"/>
    <w:rsid w:val="00DD72D9"/>
    <w:rsid w:val="00DD7311"/>
    <w:rsid w:val="00DD74BB"/>
    <w:rsid w:val="00DD77C7"/>
    <w:rsid w:val="00DD791E"/>
    <w:rsid w:val="00DD7A7C"/>
    <w:rsid w:val="00DD7AC8"/>
    <w:rsid w:val="00DD7D32"/>
    <w:rsid w:val="00DD7D99"/>
    <w:rsid w:val="00DD7F65"/>
    <w:rsid w:val="00DE0503"/>
    <w:rsid w:val="00DE0819"/>
    <w:rsid w:val="00DE0835"/>
    <w:rsid w:val="00DE0931"/>
    <w:rsid w:val="00DE0F3F"/>
    <w:rsid w:val="00DE123D"/>
    <w:rsid w:val="00DE15EF"/>
    <w:rsid w:val="00DE18EE"/>
    <w:rsid w:val="00DE1F01"/>
    <w:rsid w:val="00DE2A22"/>
    <w:rsid w:val="00DE2ACB"/>
    <w:rsid w:val="00DE2DEE"/>
    <w:rsid w:val="00DE2FBB"/>
    <w:rsid w:val="00DE3403"/>
    <w:rsid w:val="00DE3420"/>
    <w:rsid w:val="00DE378D"/>
    <w:rsid w:val="00DE3C95"/>
    <w:rsid w:val="00DE3E27"/>
    <w:rsid w:val="00DE4070"/>
    <w:rsid w:val="00DE4448"/>
    <w:rsid w:val="00DE445D"/>
    <w:rsid w:val="00DE44C8"/>
    <w:rsid w:val="00DE485C"/>
    <w:rsid w:val="00DE52AC"/>
    <w:rsid w:val="00DE5664"/>
    <w:rsid w:val="00DE57A9"/>
    <w:rsid w:val="00DE5ABB"/>
    <w:rsid w:val="00DE5B9D"/>
    <w:rsid w:val="00DE5E01"/>
    <w:rsid w:val="00DE5EC1"/>
    <w:rsid w:val="00DE650E"/>
    <w:rsid w:val="00DE657F"/>
    <w:rsid w:val="00DE65B0"/>
    <w:rsid w:val="00DE6A15"/>
    <w:rsid w:val="00DE77FA"/>
    <w:rsid w:val="00DE7E10"/>
    <w:rsid w:val="00DE7EDF"/>
    <w:rsid w:val="00DF0466"/>
    <w:rsid w:val="00DF0A0D"/>
    <w:rsid w:val="00DF1234"/>
    <w:rsid w:val="00DF181D"/>
    <w:rsid w:val="00DF1EC7"/>
    <w:rsid w:val="00DF200F"/>
    <w:rsid w:val="00DF226C"/>
    <w:rsid w:val="00DF23FB"/>
    <w:rsid w:val="00DF2537"/>
    <w:rsid w:val="00DF2654"/>
    <w:rsid w:val="00DF290C"/>
    <w:rsid w:val="00DF291E"/>
    <w:rsid w:val="00DF313A"/>
    <w:rsid w:val="00DF38EA"/>
    <w:rsid w:val="00DF39C3"/>
    <w:rsid w:val="00DF3A02"/>
    <w:rsid w:val="00DF3CCC"/>
    <w:rsid w:val="00DF3DD0"/>
    <w:rsid w:val="00DF4580"/>
    <w:rsid w:val="00DF495D"/>
    <w:rsid w:val="00DF4F52"/>
    <w:rsid w:val="00DF5343"/>
    <w:rsid w:val="00DF5913"/>
    <w:rsid w:val="00DF5D8D"/>
    <w:rsid w:val="00DF62A8"/>
    <w:rsid w:val="00DF6397"/>
    <w:rsid w:val="00DF6400"/>
    <w:rsid w:val="00DF67B7"/>
    <w:rsid w:val="00DF69DF"/>
    <w:rsid w:val="00DF6D3F"/>
    <w:rsid w:val="00DF6FB1"/>
    <w:rsid w:val="00DF6FB9"/>
    <w:rsid w:val="00DF7001"/>
    <w:rsid w:val="00DF793E"/>
    <w:rsid w:val="00DF7FE5"/>
    <w:rsid w:val="00E004F6"/>
    <w:rsid w:val="00E009CB"/>
    <w:rsid w:val="00E00D3E"/>
    <w:rsid w:val="00E01123"/>
    <w:rsid w:val="00E016D6"/>
    <w:rsid w:val="00E0212E"/>
    <w:rsid w:val="00E02793"/>
    <w:rsid w:val="00E02A10"/>
    <w:rsid w:val="00E0334E"/>
    <w:rsid w:val="00E03416"/>
    <w:rsid w:val="00E03767"/>
    <w:rsid w:val="00E041A8"/>
    <w:rsid w:val="00E041F5"/>
    <w:rsid w:val="00E04594"/>
    <w:rsid w:val="00E04860"/>
    <w:rsid w:val="00E04B81"/>
    <w:rsid w:val="00E05221"/>
    <w:rsid w:val="00E05291"/>
    <w:rsid w:val="00E05305"/>
    <w:rsid w:val="00E0544C"/>
    <w:rsid w:val="00E05A84"/>
    <w:rsid w:val="00E05CB2"/>
    <w:rsid w:val="00E0602F"/>
    <w:rsid w:val="00E06297"/>
    <w:rsid w:val="00E0666E"/>
    <w:rsid w:val="00E06A21"/>
    <w:rsid w:val="00E06A34"/>
    <w:rsid w:val="00E06A80"/>
    <w:rsid w:val="00E06BA4"/>
    <w:rsid w:val="00E06BFB"/>
    <w:rsid w:val="00E06D55"/>
    <w:rsid w:val="00E06E16"/>
    <w:rsid w:val="00E06F07"/>
    <w:rsid w:val="00E079AF"/>
    <w:rsid w:val="00E07DA8"/>
    <w:rsid w:val="00E07E27"/>
    <w:rsid w:val="00E10122"/>
    <w:rsid w:val="00E10BF7"/>
    <w:rsid w:val="00E111B5"/>
    <w:rsid w:val="00E11416"/>
    <w:rsid w:val="00E11662"/>
    <w:rsid w:val="00E11C53"/>
    <w:rsid w:val="00E11CC1"/>
    <w:rsid w:val="00E11CD4"/>
    <w:rsid w:val="00E11E97"/>
    <w:rsid w:val="00E12102"/>
    <w:rsid w:val="00E12609"/>
    <w:rsid w:val="00E12775"/>
    <w:rsid w:val="00E127E5"/>
    <w:rsid w:val="00E12937"/>
    <w:rsid w:val="00E13296"/>
    <w:rsid w:val="00E1346F"/>
    <w:rsid w:val="00E13A68"/>
    <w:rsid w:val="00E13E43"/>
    <w:rsid w:val="00E14032"/>
    <w:rsid w:val="00E146C2"/>
    <w:rsid w:val="00E149CF"/>
    <w:rsid w:val="00E14A10"/>
    <w:rsid w:val="00E14DB7"/>
    <w:rsid w:val="00E14E35"/>
    <w:rsid w:val="00E15064"/>
    <w:rsid w:val="00E150EF"/>
    <w:rsid w:val="00E15AFD"/>
    <w:rsid w:val="00E15C31"/>
    <w:rsid w:val="00E162ED"/>
    <w:rsid w:val="00E16776"/>
    <w:rsid w:val="00E169B6"/>
    <w:rsid w:val="00E16D51"/>
    <w:rsid w:val="00E17527"/>
    <w:rsid w:val="00E1759E"/>
    <w:rsid w:val="00E177BC"/>
    <w:rsid w:val="00E17A1D"/>
    <w:rsid w:val="00E20409"/>
    <w:rsid w:val="00E206A5"/>
    <w:rsid w:val="00E20745"/>
    <w:rsid w:val="00E20FAC"/>
    <w:rsid w:val="00E21B8F"/>
    <w:rsid w:val="00E21E66"/>
    <w:rsid w:val="00E2352F"/>
    <w:rsid w:val="00E23884"/>
    <w:rsid w:val="00E23AF1"/>
    <w:rsid w:val="00E23D59"/>
    <w:rsid w:val="00E24387"/>
    <w:rsid w:val="00E247BE"/>
    <w:rsid w:val="00E247F3"/>
    <w:rsid w:val="00E24A5B"/>
    <w:rsid w:val="00E24CF0"/>
    <w:rsid w:val="00E254C4"/>
    <w:rsid w:val="00E25919"/>
    <w:rsid w:val="00E25B75"/>
    <w:rsid w:val="00E26215"/>
    <w:rsid w:val="00E265CE"/>
    <w:rsid w:val="00E26CC9"/>
    <w:rsid w:val="00E27129"/>
    <w:rsid w:val="00E2723B"/>
    <w:rsid w:val="00E27329"/>
    <w:rsid w:val="00E27646"/>
    <w:rsid w:val="00E276C1"/>
    <w:rsid w:val="00E278E9"/>
    <w:rsid w:val="00E27B38"/>
    <w:rsid w:val="00E27D7E"/>
    <w:rsid w:val="00E30006"/>
    <w:rsid w:val="00E309DF"/>
    <w:rsid w:val="00E30B65"/>
    <w:rsid w:val="00E30CEE"/>
    <w:rsid w:val="00E313DA"/>
    <w:rsid w:val="00E3163A"/>
    <w:rsid w:val="00E316D8"/>
    <w:rsid w:val="00E31884"/>
    <w:rsid w:val="00E31B9F"/>
    <w:rsid w:val="00E31F77"/>
    <w:rsid w:val="00E320EE"/>
    <w:rsid w:val="00E3227D"/>
    <w:rsid w:val="00E32286"/>
    <w:rsid w:val="00E324D2"/>
    <w:rsid w:val="00E32BB8"/>
    <w:rsid w:val="00E32E84"/>
    <w:rsid w:val="00E32F56"/>
    <w:rsid w:val="00E33675"/>
    <w:rsid w:val="00E336E7"/>
    <w:rsid w:val="00E33E6A"/>
    <w:rsid w:val="00E34177"/>
    <w:rsid w:val="00E34726"/>
    <w:rsid w:val="00E34AD5"/>
    <w:rsid w:val="00E34EF8"/>
    <w:rsid w:val="00E352EF"/>
    <w:rsid w:val="00E3581C"/>
    <w:rsid w:val="00E35BAD"/>
    <w:rsid w:val="00E35D1F"/>
    <w:rsid w:val="00E35E5F"/>
    <w:rsid w:val="00E36130"/>
    <w:rsid w:val="00E366DD"/>
    <w:rsid w:val="00E36A79"/>
    <w:rsid w:val="00E36C40"/>
    <w:rsid w:val="00E36E21"/>
    <w:rsid w:val="00E373D3"/>
    <w:rsid w:val="00E37822"/>
    <w:rsid w:val="00E37A92"/>
    <w:rsid w:val="00E37CF1"/>
    <w:rsid w:val="00E37D35"/>
    <w:rsid w:val="00E40126"/>
    <w:rsid w:val="00E40163"/>
    <w:rsid w:val="00E403A5"/>
    <w:rsid w:val="00E405B4"/>
    <w:rsid w:val="00E40750"/>
    <w:rsid w:val="00E4085B"/>
    <w:rsid w:val="00E410F3"/>
    <w:rsid w:val="00E4122A"/>
    <w:rsid w:val="00E4131D"/>
    <w:rsid w:val="00E41993"/>
    <w:rsid w:val="00E41C72"/>
    <w:rsid w:val="00E42542"/>
    <w:rsid w:val="00E42CC1"/>
    <w:rsid w:val="00E4309A"/>
    <w:rsid w:val="00E430D7"/>
    <w:rsid w:val="00E43162"/>
    <w:rsid w:val="00E434E5"/>
    <w:rsid w:val="00E43CC1"/>
    <w:rsid w:val="00E44021"/>
    <w:rsid w:val="00E441FC"/>
    <w:rsid w:val="00E44586"/>
    <w:rsid w:val="00E44619"/>
    <w:rsid w:val="00E44C61"/>
    <w:rsid w:val="00E44D87"/>
    <w:rsid w:val="00E44F49"/>
    <w:rsid w:val="00E45741"/>
    <w:rsid w:val="00E45795"/>
    <w:rsid w:val="00E45866"/>
    <w:rsid w:val="00E45DDA"/>
    <w:rsid w:val="00E45FB1"/>
    <w:rsid w:val="00E462FF"/>
    <w:rsid w:val="00E463A7"/>
    <w:rsid w:val="00E4648D"/>
    <w:rsid w:val="00E4675C"/>
    <w:rsid w:val="00E470E2"/>
    <w:rsid w:val="00E470F3"/>
    <w:rsid w:val="00E47282"/>
    <w:rsid w:val="00E47418"/>
    <w:rsid w:val="00E475B2"/>
    <w:rsid w:val="00E47649"/>
    <w:rsid w:val="00E47B79"/>
    <w:rsid w:val="00E50246"/>
    <w:rsid w:val="00E50909"/>
    <w:rsid w:val="00E50E86"/>
    <w:rsid w:val="00E512EF"/>
    <w:rsid w:val="00E514A2"/>
    <w:rsid w:val="00E514E3"/>
    <w:rsid w:val="00E5156E"/>
    <w:rsid w:val="00E51A1D"/>
    <w:rsid w:val="00E5234E"/>
    <w:rsid w:val="00E5281E"/>
    <w:rsid w:val="00E52E17"/>
    <w:rsid w:val="00E53152"/>
    <w:rsid w:val="00E5315E"/>
    <w:rsid w:val="00E53BCD"/>
    <w:rsid w:val="00E53DE8"/>
    <w:rsid w:val="00E53F22"/>
    <w:rsid w:val="00E53F4D"/>
    <w:rsid w:val="00E5409A"/>
    <w:rsid w:val="00E546B4"/>
    <w:rsid w:val="00E54AA7"/>
    <w:rsid w:val="00E54AF9"/>
    <w:rsid w:val="00E54D85"/>
    <w:rsid w:val="00E5583C"/>
    <w:rsid w:val="00E558CC"/>
    <w:rsid w:val="00E55A03"/>
    <w:rsid w:val="00E56464"/>
    <w:rsid w:val="00E56B40"/>
    <w:rsid w:val="00E56DB6"/>
    <w:rsid w:val="00E5723C"/>
    <w:rsid w:val="00E57656"/>
    <w:rsid w:val="00E578E2"/>
    <w:rsid w:val="00E60148"/>
    <w:rsid w:val="00E60175"/>
    <w:rsid w:val="00E6105F"/>
    <w:rsid w:val="00E610FE"/>
    <w:rsid w:val="00E6118B"/>
    <w:rsid w:val="00E61AEC"/>
    <w:rsid w:val="00E62624"/>
    <w:rsid w:val="00E63333"/>
    <w:rsid w:val="00E63D14"/>
    <w:rsid w:val="00E64508"/>
    <w:rsid w:val="00E64A11"/>
    <w:rsid w:val="00E64CBC"/>
    <w:rsid w:val="00E64DCE"/>
    <w:rsid w:val="00E65776"/>
    <w:rsid w:val="00E65807"/>
    <w:rsid w:val="00E65977"/>
    <w:rsid w:val="00E659F5"/>
    <w:rsid w:val="00E65A32"/>
    <w:rsid w:val="00E65D1E"/>
    <w:rsid w:val="00E6663E"/>
    <w:rsid w:val="00E66655"/>
    <w:rsid w:val="00E6665F"/>
    <w:rsid w:val="00E6687F"/>
    <w:rsid w:val="00E66967"/>
    <w:rsid w:val="00E669CA"/>
    <w:rsid w:val="00E66A4B"/>
    <w:rsid w:val="00E66DDE"/>
    <w:rsid w:val="00E67056"/>
    <w:rsid w:val="00E671AC"/>
    <w:rsid w:val="00E7013C"/>
    <w:rsid w:val="00E708FE"/>
    <w:rsid w:val="00E70B35"/>
    <w:rsid w:val="00E718BF"/>
    <w:rsid w:val="00E71DB7"/>
    <w:rsid w:val="00E724B1"/>
    <w:rsid w:val="00E725D3"/>
    <w:rsid w:val="00E72685"/>
    <w:rsid w:val="00E72AE2"/>
    <w:rsid w:val="00E735F7"/>
    <w:rsid w:val="00E736F1"/>
    <w:rsid w:val="00E7400C"/>
    <w:rsid w:val="00E740E0"/>
    <w:rsid w:val="00E742B6"/>
    <w:rsid w:val="00E74644"/>
    <w:rsid w:val="00E749E2"/>
    <w:rsid w:val="00E74F1B"/>
    <w:rsid w:val="00E75213"/>
    <w:rsid w:val="00E7538F"/>
    <w:rsid w:val="00E753D8"/>
    <w:rsid w:val="00E754D7"/>
    <w:rsid w:val="00E75537"/>
    <w:rsid w:val="00E75952"/>
    <w:rsid w:val="00E75955"/>
    <w:rsid w:val="00E759EA"/>
    <w:rsid w:val="00E75EB9"/>
    <w:rsid w:val="00E76427"/>
    <w:rsid w:val="00E76492"/>
    <w:rsid w:val="00E76627"/>
    <w:rsid w:val="00E7685C"/>
    <w:rsid w:val="00E77034"/>
    <w:rsid w:val="00E7705E"/>
    <w:rsid w:val="00E7767F"/>
    <w:rsid w:val="00E77726"/>
    <w:rsid w:val="00E777BE"/>
    <w:rsid w:val="00E77EB4"/>
    <w:rsid w:val="00E80079"/>
    <w:rsid w:val="00E80189"/>
    <w:rsid w:val="00E80356"/>
    <w:rsid w:val="00E8056F"/>
    <w:rsid w:val="00E8091E"/>
    <w:rsid w:val="00E80A4F"/>
    <w:rsid w:val="00E80B65"/>
    <w:rsid w:val="00E80E7C"/>
    <w:rsid w:val="00E8103A"/>
    <w:rsid w:val="00E815C3"/>
    <w:rsid w:val="00E815D5"/>
    <w:rsid w:val="00E82101"/>
    <w:rsid w:val="00E821EC"/>
    <w:rsid w:val="00E82473"/>
    <w:rsid w:val="00E82534"/>
    <w:rsid w:val="00E8280C"/>
    <w:rsid w:val="00E82A2A"/>
    <w:rsid w:val="00E82EBC"/>
    <w:rsid w:val="00E835FC"/>
    <w:rsid w:val="00E8384D"/>
    <w:rsid w:val="00E8388B"/>
    <w:rsid w:val="00E844FF"/>
    <w:rsid w:val="00E84503"/>
    <w:rsid w:val="00E84699"/>
    <w:rsid w:val="00E846E0"/>
    <w:rsid w:val="00E849A1"/>
    <w:rsid w:val="00E850A4"/>
    <w:rsid w:val="00E850B7"/>
    <w:rsid w:val="00E8534F"/>
    <w:rsid w:val="00E8627F"/>
    <w:rsid w:val="00E86332"/>
    <w:rsid w:val="00E8658D"/>
    <w:rsid w:val="00E866A6"/>
    <w:rsid w:val="00E86981"/>
    <w:rsid w:val="00E86F7B"/>
    <w:rsid w:val="00E879DA"/>
    <w:rsid w:val="00E87DBB"/>
    <w:rsid w:val="00E90888"/>
    <w:rsid w:val="00E90C5C"/>
    <w:rsid w:val="00E90D85"/>
    <w:rsid w:val="00E9142B"/>
    <w:rsid w:val="00E91A51"/>
    <w:rsid w:val="00E91B22"/>
    <w:rsid w:val="00E91BA8"/>
    <w:rsid w:val="00E91F3D"/>
    <w:rsid w:val="00E92702"/>
    <w:rsid w:val="00E92915"/>
    <w:rsid w:val="00E92AC2"/>
    <w:rsid w:val="00E92B04"/>
    <w:rsid w:val="00E930B7"/>
    <w:rsid w:val="00E933A2"/>
    <w:rsid w:val="00E93B0F"/>
    <w:rsid w:val="00E94150"/>
    <w:rsid w:val="00E942B8"/>
    <w:rsid w:val="00E945E7"/>
    <w:rsid w:val="00E946B4"/>
    <w:rsid w:val="00E94AB7"/>
    <w:rsid w:val="00E94CE2"/>
    <w:rsid w:val="00E950FD"/>
    <w:rsid w:val="00E9541B"/>
    <w:rsid w:val="00E955AC"/>
    <w:rsid w:val="00E956D5"/>
    <w:rsid w:val="00E957D5"/>
    <w:rsid w:val="00E95D9E"/>
    <w:rsid w:val="00E960EB"/>
    <w:rsid w:val="00E9620C"/>
    <w:rsid w:val="00E9625C"/>
    <w:rsid w:val="00E962F7"/>
    <w:rsid w:val="00E9641C"/>
    <w:rsid w:val="00E96622"/>
    <w:rsid w:val="00E9686A"/>
    <w:rsid w:val="00E9691D"/>
    <w:rsid w:val="00E96F9D"/>
    <w:rsid w:val="00E97015"/>
    <w:rsid w:val="00E973E2"/>
    <w:rsid w:val="00E975C5"/>
    <w:rsid w:val="00EA0609"/>
    <w:rsid w:val="00EA0725"/>
    <w:rsid w:val="00EA116F"/>
    <w:rsid w:val="00EA1366"/>
    <w:rsid w:val="00EA14CE"/>
    <w:rsid w:val="00EA14F1"/>
    <w:rsid w:val="00EA1E75"/>
    <w:rsid w:val="00EA1FF3"/>
    <w:rsid w:val="00EA221D"/>
    <w:rsid w:val="00EA2529"/>
    <w:rsid w:val="00EA2C3E"/>
    <w:rsid w:val="00EA2C64"/>
    <w:rsid w:val="00EA2D74"/>
    <w:rsid w:val="00EA3149"/>
    <w:rsid w:val="00EA329B"/>
    <w:rsid w:val="00EA32F0"/>
    <w:rsid w:val="00EA34A7"/>
    <w:rsid w:val="00EA36F0"/>
    <w:rsid w:val="00EA3FFF"/>
    <w:rsid w:val="00EA4776"/>
    <w:rsid w:val="00EA5284"/>
    <w:rsid w:val="00EA5328"/>
    <w:rsid w:val="00EA5A20"/>
    <w:rsid w:val="00EA5BB1"/>
    <w:rsid w:val="00EA5D27"/>
    <w:rsid w:val="00EA5DD1"/>
    <w:rsid w:val="00EA6495"/>
    <w:rsid w:val="00EA7442"/>
    <w:rsid w:val="00EA7619"/>
    <w:rsid w:val="00EB10A3"/>
    <w:rsid w:val="00EB149F"/>
    <w:rsid w:val="00EB15A2"/>
    <w:rsid w:val="00EB1929"/>
    <w:rsid w:val="00EB1C36"/>
    <w:rsid w:val="00EB1D69"/>
    <w:rsid w:val="00EB2037"/>
    <w:rsid w:val="00EB26B0"/>
    <w:rsid w:val="00EB26C8"/>
    <w:rsid w:val="00EB2B48"/>
    <w:rsid w:val="00EB2F63"/>
    <w:rsid w:val="00EB30F5"/>
    <w:rsid w:val="00EB3674"/>
    <w:rsid w:val="00EB3855"/>
    <w:rsid w:val="00EB406F"/>
    <w:rsid w:val="00EB4106"/>
    <w:rsid w:val="00EB44ED"/>
    <w:rsid w:val="00EB46A3"/>
    <w:rsid w:val="00EB48FA"/>
    <w:rsid w:val="00EB4CDE"/>
    <w:rsid w:val="00EB50F3"/>
    <w:rsid w:val="00EB52DC"/>
    <w:rsid w:val="00EB55A7"/>
    <w:rsid w:val="00EB591A"/>
    <w:rsid w:val="00EB5DEC"/>
    <w:rsid w:val="00EB611E"/>
    <w:rsid w:val="00EB624A"/>
    <w:rsid w:val="00EB647E"/>
    <w:rsid w:val="00EB6646"/>
    <w:rsid w:val="00EB6800"/>
    <w:rsid w:val="00EB6D03"/>
    <w:rsid w:val="00EB7060"/>
    <w:rsid w:val="00EB7237"/>
    <w:rsid w:val="00EB75D2"/>
    <w:rsid w:val="00EB7629"/>
    <w:rsid w:val="00EB7E1F"/>
    <w:rsid w:val="00EC092D"/>
    <w:rsid w:val="00EC0BED"/>
    <w:rsid w:val="00EC10E3"/>
    <w:rsid w:val="00EC112B"/>
    <w:rsid w:val="00EC1582"/>
    <w:rsid w:val="00EC158C"/>
    <w:rsid w:val="00EC1A5C"/>
    <w:rsid w:val="00EC1FC0"/>
    <w:rsid w:val="00EC22B7"/>
    <w:rsid w:val="00EC245D"/>
    <w:rsid w:val="00EC2A7F"/>
    <w:rsid w:val="00EC2C23"/>
    <w:rsid w:val="00EC3277"/>
    <w:rsid w:val="00EC36AA"/>
    <w:rsid w:val="00EC3CF8"/>
    <w:rsid w:val="00EC3E33"/>
    <w:rsid w:val="00EC4303"/>
    <w:rsid w:val="00EC439D"/>
    <w:rsid w:val="00EC488D"/>
    <w:rsid w:val="00EC49A0"/>
    <w:rsid w:val="00EC5022"/>
    <w:rsid w:val="00EC50DF"/>
    <w:rsid w:val="00EC51AE"/>
    <w:rsid w:val="00EC54F1"/>
    <w:rsid w:val="00EC564F"/>
    <w:rsid w:val="00EC5873"/>
    <w:rsid w:val="00EC591E"/>
    <w:rsid w:val="00EC594C"/>
    <w:rsid w:val="00EC5AE1"/>
    <w:rsid w:val="00EC5FDC"/>
    <w:rsid w:val="00EC6106"/>
    <w:rsid w:val="00EC627E"/>
    <w:rsid w:val="00EC6789"/>
    <w:rsid w:val="00EC6A34"/>
    <w:rsid w:val="00EC6CDA"/>
    <w:rsid w:val="00EC6F39"/>
    <w:rsid w:val="00EC75DA"/>
    <w:rsid w:val="00EC76E8"/>
    <w:rsid w:val="00EC7B3D"/>
    <w:rsid w:val="00EC7B57"/>
    <w:rsid w:val="00EC7D5D"/>
    <w:rsid w:val="00ED0204"/>
    <w:rsid w:val="00ED087A"/>
    <w:rsid w:val="00ED09BB"/>
    <w:rsid w:val="00ED0DC2"/>
    <w:rsid w:val="00ED1350"/>
    <w:rsid w:val="00ED13BD"/>
    <w:rsid w:val="00ED1519"/>
    <w:rsid w:val="00ED1A9B"/>
    <w:rsid w:val="00ED1B10"/>
    <w:rsid w:val="00ED1D88"/>
    <w:rsid w:val="00ED1FF3"/>
    <w:rsid w:val="00ED2247"/>
    <w:rsid w:val="00ED254B"/>
    <w:rsid w:val="00ED2861"/>
    <w:rsid w:val="00ED326C"/>
    <w:rsid w:val="00ED32E4"/>
    <w:rsid w:val="00ED3403"/>
    <w:rsid w:val="00ED34C0"/>
    <w:rsid w:val="00ED3FC2"/>
    <w:rsid w:val="00ED4282"/>
    <w:rsid w:val="00ED4EBD"/>
    <w:rsid w:val="00ED513F"/>
    <w:rsid w:val="00ED5525"/>
    <w:rsid w:val="00ED5E4B"/>
    <w:rsid w:val="00ED6074"/>
    <w:rsid w:val="00ED6179"/>
    <w:rsid w:val="00ED61EB"/>
    <w:rsid w:val="00ED6A98"/>
    <w:rsid w:val="00ED6CBF"/>
    <w:rsid w:val="00ED715F"/>
    <w:rsid w:val="00ED76B2"/>
    <w:rsid w:val="00ED7888"/>
    <w:rsid w:val="00ED7B8A"/>
    <w:rsid w:val="00EE0474"/>
    <w:rsid w:val="00EE06CA"/>
    <w:rsid w:val="00EE0777"/>
    <w:rsid w:val="00EE082F"/>
    <w:rsid w:val="00EE0C20"/>
    <w:rsid w:val="00EE0DAA"/>
    <w:rsid w:val="00EE10DC"/>
    <w:rsid w:val="00EE1723"/>
    <w:rsid w:val="00EE21F8"/>
    <w:rsid w:val="00EE22BA"/>
    <w:rsid w:val="00EE47B3"/>
    <w:rsid w:val="00EE50FD"/>
    <w:rsid w:val="00EE521D"/>
    <w:rsid w:val="00EE54C9"/>
    <w:rsid w:val="00EE5651"/>
    <w:rsid w:val="00EE59CC"/>
    <w:rsid w:val="00EE5BDD"/>
    <w:rsid w:val="00EE6582"/>
    <w:rsid w:val="00EE6632"/>
    <w:rsid w:val="00EE69AF"/>
    <w:rsid w:val="00EE7BD2"/>
    <w:rsid w:val="00EF0174"/>
    <w:rsid w:val="00EF05F4"/>
    <w:rsid w:val="00EF0A0E"/>
    <w:rsid w:val="00EF0D9C"/>
    <w:rsid w:val="00EF13A0"/>
    <w:rsid w:val="00EF171E"/>
    <w:rsid w:val="00EF1888"/>
    <w:rsid w:val="00EF195C"/>
    <w:rsid w:val="00EF1B03"/>
    <w:rsid w:val="00EF245F"/>
    <w:rsid w:val="00EF2526"/>
    <w:rsid w:val="00EF2922"/>
    <w:rsid w:val="00EF2D1D"/>
    <w:rsid w:val="00EF2D3D"/>
    <w:rsid w:val="00EF2DB4"/>
    <w:rsid w:val="00EF2E32"/>
    <w:rsid w:val="00EF3AA0"/>
    <w:rsid w:val="00EF4E32"/>
    <w:rsid w:val="00EF54CB"/>
    <w:rsid w:val="00EF608F"/>
    <w:rsid w:val="00EF635B"/>
    <w:rsid w:val="00EF6496"/>
    <w:rsid w:val="00EF6780"/>
    <w:rsid w:val="00EF67AF"/>
    <w:rsid w:val="00EF6B41"/>
    <w:rsid w:val="00EF7543"/>
    <w:rsid w:val="00EF763C"/>
    <w:rsid w:val="00EF77F9"/>
    <w:rsid w:val="00EF7932"/>
    <w:rsid w:val="00EF7CFF"/>
    <w:rsid w:val="00EF7E6E"/>
    <w:rsid w:val="00F006F8"/>
    <w:rsid w:val="00F00C2C"/>
    <w:rsid w:val="00F01782"/>
    <w:rsid w:val="00F01C5D"/>
    <w:rsid w:val="00F01C62"/>
    <w:rsid w:val="00F01E1F"/>
    <w:rsid w:val="00F022C8"/>
    <w:rsid w:val="00F02BC1"/>
    <w:rsid w:val="00F03016"/>
    <w:rsid w:val="00F03282"/>
    <w:rsid w:val="00F038E2"/>
    <w:rsid w:val="00F03DC4"/>
    <w:rsid w:val="00F040BC"/>
    <w:rsid w:val="00F04756"/>
    <w:rsid w:val="00F048AE"/>
    <w:rsid w:val="00F04B03"/>
    <w:rsid w:val="00F04BD6"/>
    <w:rsid w:val="00F04E34"/>
    <w:rsid w:val="00F04EF2"/>
    <w:rsid w:val="00F056C7"/>
    <w:rsid w:val="00F0592E"/>
    <w:rsid w:val="00F05A46"/>
    <w:rsid w:val="00F064E5"/>
    <w:rsid w:val="00F06531"/>
    <w:rsid w:val="00F06668"/>
    <w:rsid w:val="00F06707"/>
    <w:rsid w:val="00F0680F"/>
    <w:rsid w:val="00F06C2C"/>
    <w:rsid w:val="00F07035"/>
    <w:rsid w:val="00F07292"/>
    <w:rsid w:val="00F077D7"/>
    <w:rsid w:val="00F07E72"/>
    <w:rsid w:val="00F07FCB"/>
    <w:rsid w:val="00F105BA"/>
    <w:rsid w:val="00F108E8"/>
    <w:rsid w:val="00F10C67"/>
    <w:rsid w:val="00F11273"/>
    <w:rsid w:val="00F11406"/>
    <w:rsid w:val="00F11619"/>
    <w:rsid w:val="00F117C2"/>
    <w:rsid w:val="00F11879"/>
    <w:rsid w:val="00F1218E"/>
    <w:rsid w:val="00F12536"/>
    <w:rsid w:val="00F12B6E"/>
    <w:rsid w:val="00F12BB5"/>
    <w:rsid w:val="00F12C9D"/>
    <w:rsid w:val="00F12CCF"/>
    <w:rsid w:val="00F12ED5"/>
    <w:rsid w:val="00F130A1"/>
    <w:rsid w:val="00F131CD"/>
    <w:rsid w:val="00F13794"/>
    <w:rsid w:val="00F1389D"/>
    <w:rsid w:val="00F13A55"/>
    <w:rsid w:val="00F13FC1"/>
    <w:rsid w:val="00F1436D"/>
    <w:rsid w:val="00F146CA"/>
    <w:rsid w:val="00F14B21"/>
    <w:rsid w:val="00F14EA6"/>
    <w:rsid w:val="00F14F09"/>
    <w:rsid w:val="00F14FB4"/>
    <w:rsid w:val="00F1527D"/>
    <w:rsid w:val="00F153A0"/>
    <w:rsid w:val="00F15A6E"/>
    <w:rsid w:val="00F1607D"/>
    <w:rsid w:val="00F161C4"/>
    <w:rsid w:val="00F16871"/>
    <w:rsid w:val="00F16981"/>
    <w:rsid w:val="00F17081"/>
    <w:rsid w:val="00F1727B"/>
    <w:rsid w:val="00F17589"/>
    <w:rsid w:val="00F17901"/>
    <w:rsid w:val="00F17912"/>
    <w:rsid w:val="00F179D9"/>
    <w:rsid w:val="00F179E4"/>
    <w:rsid w:val="00F17A31"/>
    <w:rsid w:val="00F17C98"/>
    <w:rsid w:val="00F20194"/>
    <w:rsid w:val="00F202A3"/>
    <w:rsid w:val="00F20B9D"/>
    <w:rsid w:val="00F20C10"/>
    <w:rsid w:val="00F20E6E"/>
    <w:rsid w:val="00F210B4"/>
    <w:rsid w:val="00F212DC"/>
    <w:rsid w:val="00F21497"/>
    <w:rsid w:val="00F21675"/>
    <w:rsid w:val="00F21691"/>
    <w:rsid w:val="00F21C34"/>
    <w:rsid w:val="00F2208F"/>
    <w:rsid w:val="00F2246E"/>
    <w:rsid w:val="00F22544"/>
    <w:rsid w:val="00F22568"/>
    <w:rsid w:val="00F226B7"/>
    <w:rsid w:val="00F22764"/>
    <w:rsid w:val="00F228E0"/>
    <w:rsid w:val="00F22A47"/>
    <w:rsid w:val="00F22FAF"/>
    <w:rsid w:val="00F23046"/>
    <w:rsid w:val="00F23250"/>
    <w:rsid w:val="00F2338A"/>
    <w:rsid w:val="00F234B4"/>
    <w:rsid w:val="00F23C54"/>
    <w:rsid w:val="00F23C62"/>
    <w:rsid w:val="00F243E5"/>
    <w:rsid w:val="00F24470"/>
    <w:rsid w:val="00F244FA"/>
    <w:rsid w:val="00F255FB"/>
    <w:rsid w:val="00F257C2"/>
    <w:rsid w:val="00F25D78"/>
    <w:rsid w:val="00F25FE1"/>
    <w:rsid w:val="00F262B5"/>
    <w:rsid w:val="00F263C8"/>
    <w:rsid w:val="00F263F0"/>
    <w:rsid w:val="00F26A7B"/>
    <w:rsid w:val="00F26E1F"/>
    <w:rsid w:val="00F26E98"/>
    <w:rsid w:val="00F27062"/>
    <w:rsid w:val="00F271D6"/>
    <w:rsid w:val="00F273BE"/>
    <w:rsid w:val="00F2782F"/>
    <w:rsid w:val="00F27BFF"/>
    <w:rsid w:val="00F302A9"/>
    <w:rsid w:val="00F304B4"/>
    <w:rsid w:val="00F304E1"/>
    <w:rsid w:val="00F31448"/>
    <w:rsid w:val="00F31664"/>
    <w:rsid w:val="00F31C21"/>
    <w:rsid w:val="00F31DF8"/>
    <w:rsid w:val="00F31E7D"/>
    <w:rsid w:val="00F32B02"/>
    <w:rsid w:val="00F32DE2"/>
    <w:rsid w:val="00F336CF"/>
    <w:rsid w:val="00F33891"/>
    <w:rsid w:val="00F34122"/>
    <w:rsid w:val="00F3482D"/>
    <w:rsid w:val="00F34A9B"/>
    <w:rsid w:val="00F34B78"/>
    <w:rsid w:val="00F34CC8"/>
    <w:rsid w:val="00F34F7B"/>
    <w:rsid w:val="00F35196"/>
    <w:rsid w:val="00F3549B"/>
    <w:rsid w:val="00F3573D"/>
    <w:rsid w:val="00F359B0"/>
    <w:rsid w:val="00F3611F"/>
    <w:rsid w:val="00F36173"/>
    <w:rsid w:val="00F36526"/>
    <w:rsid w:val="00F3676B"/>
    <w:rsid w:val="00F36964"/>
    <w:rsid w:val="00F37295"/>
    <w:rsid w:val="00F3776C"/>
    <w:rsid w:val="00F378E7"/>
    <w:rsid w:val="00F37AF5"/>
    <w:rsid w:val="00F37BFA"/>
    <w:rsid w:val="00F37CC9"/>
    <w:rsid w:val="00F40029"/>
    <w:rsid w:val="00F402D0"/>
    <w:rsid w:val="00F404E6"/>
    <w:rsid w:val="00F40647"/>
    <w:rsid w:val="00F41513"/>
    <w:rsid w:val="00F415CF"/>
    <w:rsid w:val="00F41AE7"/>
    <w:rsid w:val="00F41E31"/>
    <w:rsid w:val="00F41E81"/>
    <w:rsid w:val="00F41F6F"/>
    <w:rsid w:val="00F42509"/>
    <w:rsid w:val="00F43367"/>
    <w:rsid w:val="00F43B4D"/>
    <w:rsid w:val="00F44358"/>
    <w:rsid w:val="00F445EA"/>
    <w:rsid w:val="00F449ED"/>
    <w:rsid w:val="00F44D3E"/>
    <w:rsid w:val="00F44F6A"/>
    <w:rsid w:val="00F45C2B"/>
    <w:rsid w:val="00F45F9D"/>
    <w:rsid w:val="00F460ED"/>
    <w:rsid w:val="00F462E1"/>
    <w:rsid w:val="00F46454"/>
    <w:rsid w:val="00F465AB"/>
    <w:rsid w:val="00F469D4"/>
    <w:rsid w:val="00F46C9A"/>
    <w:rsid w:val="00F4707C"/>
    <w:rsid w:val="00F473B3"/>
    <w:rsid w:val="00F47967"/>
    <w:rsid w:val="00F47A38"/>
    <w:rsid w:val="00F47CC6"/>
    <w:rsid w:val="00F47EE2"/>
    <w:rsid w:val="00F50F65"/>
    <w:rsid w:val="00F51659"/>
    <w:rsid w:val="00F521D8"/>
    <w:rsid w:val="00F52A32"/>
    <w:rsid w:val="00F52FFC"/>
    <w:rsid w:val="00F5361E"/>
    <w:rsid w:val="00F53843"/>
    <w:rsid w:val="00F53AB5"/>
    <w:rsid w:val="00F53BD1"/>
    <w:rsid w:val="00F53E14"/>
    <w:rsid w:val="00F5432C"/>
    <w:rsid w:val="00F54494"/>
    <w:rsid w:val="00F5457D"/>
    <w:rsid w:val="00F549BC"/>
    <w:rsid w:val="00F54A26"/>
    <w:rsid w:val="00F54F1F"/>
    <w:rsid w:val="00F54FA5"/>
    <w:rsid w:val="00F5512B"/>
    <w:rsid w:val="00F555C1"/>
    <w:rsid w:val="00F55A29"/>
    <w:rsid w:val="00F55C9C"/>
    <w:rsid w:val="00F55E71"/>
    <w:rsid w:val="00F562F8"/>
    <w:rsid w:val="00F565B0"/>
    <w:rsid w:val="00F56656"/>
    <w:rsid w:val="00F569B9"/>
    <w:rsid w:val="00F56AF4"/>
    <w:rsid w:val="00F56B01"/>
    <w:rsid w:val="00F57230"/>
    <w:rsid w:val="00F577BD"/>
    <w:rsid w:val="00F57CAB"/>
    <w:rsid w:val="00F57F0E"/>
    <w:rsid w:val="00F60032"/>
    <w:rsid w:val="00F601D3"/>
    <w:rsid w:val="00F60C2C"/>
    <w:rsid w:val="00F60D8D"/>
    <w:rsid w:val="00F60E87"/>
    <w:rsid w:val="00F612A1"/>
    <w:rsid w:val="00F61305"/>
    <w:rsid w:val="00F615D5"/>
    <w:rsid w:val="00F61642"/>
    <w:rsid w:val="00F61D2A"/>
    <w:rsid w:val="00F61DA5"/>
    <w:rsid w:val="00F61FBB"/>
    <w:rsid w:val="00F62386"/>
    <w:rsid w:val="00F625B2"/>
    <w:rsid w:val="00F62AEA"/>
    <w:rsid w:val="00F62C73"/>
    <w:rsid w:val="00F62CF9"/>
    <w:rsid w:val="00F62F87"/>
    <w:rsid w:val="00F636BD"/>
    <w:rsid w:val="00F637DD"/>
    <w:rsid w:val="00F63EA8"/>
    <w:rsid w:val="00F6444D"/>
    <w:rsid w:val="00F644A7"/>
    <w:rsid w:val="00F647C8"/>
    <w:rsid w:val="00F64D46"/>
    <w:rsid w:val="00F65323"/>
    <w:rsid w:val="00F6541A"/>
    <w:rsid w:val="00F65B63"/>
    <w:rsid w:val="00F65BBC"/>
    <w:rsid w:val="00F65F74"/>
    <w:rsid w:val="00F663CD"/>
    <w:rsid w:val="00F6648F"/>
    <w:rsid w:val="00F6664C"/>
    <w:rsid w:val="00F66757"/>
    <w:rsid w:val="00F6683B"/>
    <w:rsid w:val="00F66992"/>
    <w:rsid w:val="00F66F62"/>
    <w:rsid w:val="00F670ED"/>
    <w:rsid w:val="00F673AD"/>
    <w:rsid w:val="00F673B1"/>
    <w:rsid w:val="00F67FA3"/>
    <w:rsid w:val="00F7002B"/>
    <w:rsid w:val="00F700F0"/>
    <w:rsid w:val="00F70495"/>
    <w:rsid w:val="00F7059A"/>
    <w:rsid w:val="00F70B55"/>
    <w:rsid w:val="00F7124C"/>
    <w:rsid w:val="00F712EC"/>
    <w:rsid w:val="00F71432"/>
    <w:rsid w:val="00F720DA"/>
    <w:rsid w:val="00F724A8"/>
    <w:rsid w:val="00F724D0"/>
    <w:rsid w:val="00F724EB"/>
    <w:rsid w:val="00F72CB2"/>
    <w:rsid w:val="00F7306C"/>
    <w:rsid w:val="00F730C1"/>
    <w:rsid w:val="00F74071"/>
    <w:rsid w:val="00F74095"/>
    <w:rsid w:val="00F740B7"/>
    <w:rsid w:val="00F743AD"/>
    <w:rsid w:val="00F74499"/>
    <w:rsid w:val="00F746EF"/>
    <w:rsid w:val="00F74713"/>
    <w:rsid w:val="00F749FB"/>
    <w:rsid w:val="00F74F25"/>
    <w:rsid w:val="00F75192"/>
    <w:rsid w:val="00F75210"/>
    <w:rsid w:val="00F752D5"/>
    <w:rsid w:val="00F75A91"/>
    <w:rsid w:val="00F75D64"/>
    <w:rsid w:val="00F75D7D"/>
    <w:rsid w:val="00F75DF2"/>
    <w:rsid w:val="00F7619D"/>
    <w:rsid w:val="00F76A30"/>
    <w:rsid w:val="00F76DD6"/>
    <w:rsid w:val="00F76F02"/>
    <w:rsid w:val="00F76F08"/>
    <w:rsid w:val="00F77AC2"/>
    <w:rsid w:val="00F77D85"/>
    <w:rsid w:val="00F77E0A"/>
    <w:rsid w:val="00F77F5A"/>
    <w:rsid w:val="00F804CD"/>
    <w:rsid w:val="00F80C01"/>
    <w:rsid w:val="00F80E15"/>
    <w:rsid w:val="00F8111A"/>
    <w:rsid w:val="00F81C81"/>
    <w:rsid w:val="00F81D0F"/>
    <w:rsid w:val="00F822C5"/>
    <w:rsid w:val="00F824EC"/>
    <w:rsid w:val="00F8275D"/>
    <w:rsid w:val="00F82A2C"/>
    <w:rsid w:val="00F82AFC"/>
    <w:rsid w:val="00F82ED6"/>
    <w:rsid w:val="00F835C6"/>
    <w:rsid w:val="00F83668"/>
    <w:rsid w:val="00F836F3"/>
    <w:rsid w:val="00F839A1"/>
    <w:rsid w:val="00F83BB6"/>
    <w:rsid w:val="00F83E2B"/>
    <w:rsid w:val="00F845F3"/>
    <w:rsid w:val="00F84978"/>
    <w:rsid w:val="00F84CCF"/>
    <w:rsid w:val="00F84D07"/>
    <w:rsid w:val="00F851B4"/>
    <w:rsid w:val="00F851EF"/>
    <w:rsid w:val="00F858F9"/>
    <w:rsid w:val="00F85DA4"/>
    <w:rsid w:val="00F862E1"/>
    <w:rsid w:val="00F86448"/>
    <w:rsid w:val="00F86AB9"/>
    <w:rsid w:val="00F86CE7"/>
    <w:rsid w:val="00F87097"/>
    <w:rsid w:val="00F874AD"/>
    <w:rsid w:val="00F87D15"/>
    <w:rsid w:val="00F87F0E"/>
    <w:rsid w:val="00F9033F"/>
    <w:rsid w:val="00F9096B"/>
    <w:rsid w:val="00F91283"/>
    <w:rsid w:val="00F91379"/>
    <w:rsid w:val="00F91406"/>
    <w:rsid w:val="00F91A10"/>
    <w:rsid w:val="00F91ADF"/>
    <w:rsid w:val="00F91FB2"/>
    <w:rsid w:val="00F9224D"/>
    <w:rsid w:val="00F92490"/>
    <w:rsid w:val="00F930A6"/>
    <w:rsid w:val="00F93320"/>
    <w:rsid w:val="00F9333C"/>
    <w:rsid w:val="00F93457"/>
    <w:rsid w:val="00F93482"/>
    <w:rsid w:val="00F93948"/>
    <w:rsid w:val="00F93D1E"/>
    <w:rsid w:val="00F94083"/>
    <w:rsid w:val="00F946E5"/>
    <w:rsid w:val="00F9481D"/>
    <w:rsid w:val="00F9492D"/>
    <w:rsid w:val="00F94A05"/>
    <w:rsid w:val="00F94B24"/>
    <w:rsid w:val="00F94D6B"/>
    <w:rsid w:val="00F9531F"/>
    <w:rsid w:val="00F95833"/>
    <w:rsid w:val="00F9600F"/>
    <w:rsid w:val="00F9609D"/>
    <w:rsid w:val="00F960A2"/>
    <w:rsid w:val="00F960F4"/>
    <w:rsid w:val="00F9624B"/>
    <w:rsid w:val="00F963AA"/>
    <w:rsid w:val="00F963E1"/>
    <w:rsid w:val="00F9647B"/>
    <w:rsid w:val="00F966A8"/>
    <w:rsid w:val="00F966D2"/>
    <w:rsid w:val="00F96C8D"/>
    <w:rsid w:val="00F9761F"/>
    <w:rsid w:val="00F9777F"/>
    <w:rsid w:val="00F97A8B"/>
    <w:rsid w:val="00F97E39"/>
    <w:rsid w:val="00F97FBB"/>
    <w:rsid w:val="00FA01B3"/>
    <w:rsid w:val="00FA03FB"/>
    <w:rsid w:val="00FA0FEB"/>
    <w:rsid w:val="00FA10C8"/>
    <w:rsid w:val="00FA11E2"/>
    <w:rsid w:val="00FA1A9E"/>
    <w:rsid w:val="00FA26C1"/>
    <w:rsid w:val="00FA2720"/>
    <w:rsid w:val="00FA3C04"/>
    <w:rsid w:val="00FA3C2B"/>
    <w:rsid w:val="00FA3EB8"/>
    <w:rsid w:val="00FA3F60"/>
    <w:rsid w:val="00FA3FA7"/>
    <w:rsid w:val="00FA3FB0"/>
    <w:rsid w:val="00FA4029"/>
    <w:rsid w:val="00FA4203"/>
    <w:rsid w:val="00FA449B"/>
    <w:rsid w:val="00FA4605"/>
    <w:rsid w:val="00FA48EC"/>
    <w:rsid w:val="00FA4E7E"/>
    <w:rsid w:val="00FA4F87"/>
    <w:rsid w:val="00FA52E1"/>
    <w:rsid w:val="00FA5382"/>
    <w:rsid w:val="00FA5627"/>
    <w:rsid w:val="00FA5ADB"/>
    <w:rsid w:val="00FA5C41"/>
    <w:rsid w:val="00FA5FA4"/>
    <w:rsid w:val="00FA62A4"/>
    <w:rsid w:val="00FA6556"/>
    <w:rsid w:val="00FA6677"/>
    <w:rsid w:val="00FA69CE"/>
    <w:rsid w:val="00FA72BB"/>
    <w:rsid w:val="00FA776C"/>
    <w:rsid w:val="00FA7886"/>
    <w:rsid w:val="00FA7A6B"/>
    <w:rsid w:val="00FA7E46"/>
    <w:rsid w:val="00FA7EE3"/>
    <w:rsid w:val="00FB0164"/>
    <w:rsid w:val="00FB054C"/>
    <w:rsid w:val="00FB0D9F"/>
    <w:rsid w:val="00FB0E14"/>
    <w:rsid w:val="00FB1329"/>
    <w:rsid w:val="00FB1696"/>
    <w:rsid w:val="00FB2155"/>
    <w:rsid w:val="00FB26A7"/>
    <w:rsid w:val="00FB2807"/>
    <w:rsid w:val="00FB2B27"/>
    <w:rsid w:val="00FB3408"/>
    <w:rsid w:val="00FB3A09"/>
    <w:rsid w:val="00FB3C94"/>
    <w:rsid w:val="00FB3FD2"/>
    <w:rsid w:val="00FB41C7"/>
    <w:rsid w:val="00FB430D"/>
    <w:rsid w:val="00FB470C"/>
    <w:rsid w:val="00FB495D"/>
    <w:rsid w:val="00FB49FA"/>
    <w:rsid w:val="00FB4B04"/>
    <w:rsid w:val="00FB4B75"/>
    <w:rsid w:val="00FB4C11"/>
    <w:rsid w:val="00FB5037"/>
    <w:rsid w:val="00FB5417"/>
    <w:rsid w:val="00FB5502"/>
    <w:rsid w:val="00FB5639"/>
    <w:rsid w:val="00FB57D8"/>
    <w:rsid w:val="00FB595F"/>
    <w:rsid w:val="00FB6164"/>
    <w:rsid w:val="00FB67E8"/>
    <w:rsid w:val="00FB67FF"/>
    <w:rsid w:val="00FB6CC5"/>
    <w:rsid w:val="00FB6EBE"/>
    <w:rsid w:val="00FB7131"/>
    <w:rsid w:val="00FB7293"/>
    <w:rsid w:val="00FB7307"/>
    <w:rsid w:val="00FB79A8"/>
    <w:rsid w:val="00FB7ABB"/>
    <w:rsid w:val="00FB7CCE"/>
    <w:rsid w:val="00FB7D21"/>
    <w:rsid w:val="00FB7F1A"/>
    <w:rsid w:val="00FB7FFD"/>
    <w:rsid w:val="00FC003B"/>
    <w:rsid w:val="00FC0BAB"/>
    <w:rsid w:val="00FC1115"/>
    <w:rsid w:val="00FC1211"/>
    <w:rsid w:val="00FC1EC1"/>
    <w:rsid w:val="00FC1F03"/>
    <w:rsid w:val="00FC2111"/>
    <w:rsid w:val="00FC213C"/>
    <w:rsid w:val="00FC25B2"/>
    <w:rsid w:val="00FC2647"/>
    <w:rsid w:val="00FC2FC4"/>
    <w:rsid w:val="00FC3729"/>
    <w:rsid w:val="00FC3878"/>
    <w:rsid w:val="00FC3966"/>
    <w:rsid w:val="00FC3C46"/>
    <w:rsid w:val="00FC3FC0"/>
    <w:rsid w:val="00FC3FF6"/>
    <w:rsid w:val="00FC41BA"/>
    <w:rsid w:val="00FC434E"/>
    <w:rsid w:val="00FC4C0A"/>
    <w:rsid w:val="00FC52FC"/>
    <w:rsid w:val="00FC56D4"/>
    <w:rsid w:val="00FC5709"/>
    <w:rsid w:val="00FC59D1"/>
    <w:rsid w:val="00FC59D9"/>
    <w:rsid w:val="00FC5BF7"/>
    <w:rsid w:val="00FC6173"/>
    <w:rsid w:val="00FC656A"/>
    <w:rsid w:val="00FC65E9"/>
    <w:rsid w:val="00FC66A8"/>
    <w:rsid w:val="00FC7335"/>
    <w:rsid w:val="00FC7543"/>
    <w:rsid w:val="00FC7E20"/>
    <w:rsid w:val="00FD0405"/>
    <w:rsid w:val="00FD09FD"/>
    <w:rsid w:val="00FD0CB0"/>
    <w:rsid w:val="00FD10BD"/>
    <w:rsid w:val="00FD1288"/>
    <w:rsid w:val="00FD1563"/>
    <w:rsid w:val="00FD174B"/>
    <w:rsid w:val="00FD1BA9"/>
    <w:rsid w:val="00FD2684"/>
    <w:rsid w:val="00FD2A69"/>
    <w:rsid w:val="00FD2E42"/>
    <w:rsid w:val="00FD3081"/>
    <w:rsid w:val="00FD30A3"/>
    <w:rsid w:val="00FD32C6"/>
    <w:rsid w:val="00FD358D"/>
    <w:rsid w:val="00FD38E2"/>
    <w:rsid w:val="00FD3A65"/>
    <w:rsid w:val="00FD44CD"/>
    <w:rsid w:val="00FD4690"/>
    <w:rsid w:val="00FD4C4A"/>
    <w:rsid w:val="00FD4CF8"/>
    <w:rsid w:val="00FD5128"/>
    <w:rsid w:val="00FD52A0"/>
    <w:rsid w:val="00FD53F3"/>
    <w:rsid w:val="00FD583D"/>
    <w:rsid w:val="00FD5B56"/>
    <w:rsid w:val="00FD5DF7"/>
    <w:rsid w:val="00FD61C6"/>
    <w:rsid w:val="00FD6A00"/>
    <w:rsid w:val="00FD6AD9"/>
    <w:rsid w:val="00FD6F7E"/>
    <w:rsid w:val="00FD7063"/>
    <w:rsid w:val="00FD7312"/>
    <w:rsid w:val="00FD7421"/>
    <w:rsid w:val="00FD7571"/>
    <w:rsid w:val="00FD7649"/>
    <w:rsid w:val="00FD7C8D"/>
    <w:rsid w:val="00FE0004"/>
    <w:rsid w:val="00FE00C6"/>
    <w:rsid w:val="00FE027A"/>
    <w:rsid w:val="00FE0BE3"/>
    <w:rsid w:val="00FE112A"/>
    <w:rsid w:val="00FE13FD"/>
    <w:rsid w:val="00FE158A"/>
    <w:rsid w:val="00FE19EE"/>
    <w:rsid w:val="00FE19F9"/>
    <w:rsid w:val="00FE1B56"/>
    <w:rsid w:val="00FE21C1"/>
    <w:rsid w:val="00FE28E4"/>
    <w:rsid w:val="00FE2D0D"/>
    <w:rsid w:val="00FE2D63"/>
    <w:rsid w:val="00FE2F05"/>
    <w:rsid w:val="00FE34F4"/>
    <w:rsid w:val="00FE38E4"/>
    <w:rsid w:val="00FE4066"/>
    <w:rsid w:val="00FE4137"/>
    <w:rsid w:val="00FE45DB"/>
    <w:rsid w:val="00FE48F1"/>
    <w:rsid w:val="00FE4BA0"/>
    <w:rsid w:val="00FE4F64"/>
    <w:rsid w:val="00FE531E"/>
    <w:rsid w:val="00FE5438"/>
    <w:rsid w:val="00FE5656"/>
    <w:rsid w:val="00FE577C"/>
    <w:rsid w:val="00FE5915"/>
    <w:rsid w:val="00FE5F29"/>
    <w:rsid w:val="00FE60CD"/>
    <w:rsid w:val="00FE66F4"/>
    <w:rsid w:val="00FE67E3"/>
    <w:rsid w:val="00FE6A61"/>
    <w:rsid w:val="00FE6DEC"/>
    <w:rsid w:val="00FE7768"/>
    <w:rsid w:val="00FE7BE3"/>
    <w:rsid w:val="00FE7C39"/>
    <w:rsid w:val="00FE7F65"/>
    <w:rsid w:val="00FE7F8D"/>
    <w:rsid w:val="00FF0863"/>
    <w:rsid w:val="00FF09C3"/>
    <w:rsid w:val="00FF09E1"/>
    <w:rsid w:val="00FF0B8C"/>
    <w:rsid w:val="00FF0E0E"/>
    <w:rsid w:val="00FF1081"/>
    <w:rsid w:val="00FF1144"/>
    <w:rsid w:val="00FF11E5"/>
    <w:rsid w:val="00FF12DB"/>
    <w:rsid w:val="00FF1407"/>
    <w:rsid w:val="00FF14CC"/>
    <w:rsid w:val="00FF1D3A"/>
    <w:rsid w:val="00FF1E14"/>
    <w:rsid w:val="00FF26B7"/>
    <w:rsid w:val="00FF2C56"/>
    <w:rsid w:val="00FF2E49"/>
    <w:rsid w:val="00FF2F7C"/>
    <w:rsid w:val="00FF30A6"/>
    <w:rsid w:val="00FF33FF"/>
    <w:rsid w:val="00FF38F0"/>
    <w:rsid w:val="00FF3963"/>
    <w:rsid w:val="00FF3AFF"/>
    <w:rsid w:val="00FF3E9E"/>
    <w:rsid w:val="00FF4206"/>
    <w:rsid w:val="00FF4667"/>
    <w:rsid w:val="00FF485B"/>
    <w:rsid w:val="00FF4964"/>
    <w:rsid w:val="00FF51D3"/>
    <w:rsid w:val="00FF532B"/>
    <w:rsid w:val="00FF5482"/>
    <w:rsid w:val="00FF5682"/>
    <w:rsid w:val="00FF5742"/>
    <w:rsid w:val="00FF579E"/>
    <w:rsid w:val="00FF5819"/>
    <w:rsid w:val="00FF585F"/>
    <w:rsid w:val="00FF589C"/>
    <w:rsid w:val="00FF606B"/>
    <w:rsid w:val="00FF61DB"/>
    <w:rsid w:val="00FF668D"/>
    <w:rsid w:val="00FF6CAE"/>
    <w:rsid w:val="00FF6D3E"/>
    <w:rsid w:val="00FF71BC"/>
    <w:rsid w:val="00FF71FD"/>
    <w:rsid w:val="00FF737E"/>
    <w:rsid w:val="00FF7AE2"/>
    <w:rsid w:val="00FF7D96"/>
    <w:rsid w:val="00FF7F8C"/>
    <w:rsid w:val="01E5F422"/>
    <w:rsid w:val="024CA0BA"/>
    <w:rsid w:val="02A38602"/>
    <w:rsid w:val="0350B1C1"/>
    <w:rsid w:val="03B9FD54"/>
    <w:rsid w:val="03CCCF79"/>
    <w:rsid w:val="04359308"/>
    <w:rsid w:val="04784CC9"/>
    <w:rsid w:val="05725F99"/>
    <w:rsid w:val="0589396C"/>
    <w:rsid w:val="05D25F2A"/>
    <w:rsid w:val="05EBDC23"/>
    <w:rsid w:val="060EA8CA"/>
    <w:rsid w:val="070E6C39"/>
    <w:rsid w:val="07DC76B1"/>
    <w:rsid w:val="080A07B6"/>
    <w:rsid w:val="08315C8D"/>
    <w:rsid w:val="09D75E4A"/>
    <w:rsid w:val="0A0AEC5A"/>
    <w:rsid w:val="0A54A7ED"/>
    <w:rsid w:val="0BD50A9D"/>
    <w:rsid w:val="0BF63283"/>
    <w:rsid w:val="0C29271C"/>
    <w:rsid w:val="0C536936"/>
    <w:rsid w:val="0E5C3FF7"/>
    <w:rsid w:val="0EAEA952"/>
    <w:rsid w:val="0EBBCEE6"/>
    <w:rsid w:val="0F3D7C27"/>
    <w:rsid w:val="0F476007"/>
    <w:rsid w:val="0F67434F"/>
    <w:rsid w:val="11B78A48"/>
    <w:rsid w:val="11B96ADE"/>
    <w:rsid w:val="12173750"/>
    <w:rsid w:val="12F67A3F"/>
    <w:rsid w:val="132AFD7D"/>
    <w:rsid w:val="1360C651"/>
    <w:rsid w:val="137E823F"/>
    <w:rsid w:val="13F29758"/>
    <w:rsid w:val="144F9787"/>
    <w:rsid w:val="145240D0"/>
    <w:rsid w:val="146FB854"/>
    <w:rsid w:val="151D1F2F"/>
    <w:rsid w:val="1525E4DA"/>
    <w:rsid w:val="153AFA88"/>
    <w:rsid w:val="15762E0E"/>
    <w:rsid w:val="157CDBB2"/>
    <w:rsid w:val="15864E9E"/>
    <w:rsid w:val="15B921DE"/>
    <w:rsid w:val="15F1CAE0"/>
    <w:rsid w:val="170CD9FA"/>
    <w:rsid w:val="17935BE9"/>
    <w:rsid w:val="182B90F4"/>
    <w:rsid w:val="184C6C59"/>
    <w:rsid w:val="187BA1FF"/>
    <w:rsid w:val="19DE427C"/>
    <w:rsid w:val="1ACC31A3"/>
    <w:rsid w:val="1B0907E7"/>
    <w:rsid w:val="1BCD1CF6"/>
    <w:rsid w:val="1CAFABAD"/>
    <w:rsid w:val="1D1A0F23"/>
    <w:rsid w:val="1DE8E646"/>
    <w:rsid w:val="1E424750"/>
    <w:rsid w:val="1ED61BAA"/>
    <w:rsid w:val="1EDB3CD1"/>
    <w:rsid w:val="1F8E0DDD"/>
    <w:rsid w:val="1FF211AD"/>
    <w:rsid w:val="20329947"/>
    <w:rsid w:val="20A73324"/>
    <w:rsid w:val="2127A427"/>
    <w:rsid w:val="2143D70D"/>
    <w:rsid w:val="22247301"/>
    <w:rsid w:val="223858C4"/>
    <w:rsid w:val="2282E8CC"/>
    <w:rsid w:val="22AFC5FC"/>
    <w:rsid w:val="23050301"/>
    <w:rsid w:val="23493AD6"/>
    <w:rsid w:val="242C21C4"/>
    <w:rsid w:val="2488C68D"/>
    <w:rsid w:val="2677FD9B"/>
    <w:rsid w:val="269AEEBD"/>
    <w:rsid w:val="2720747F"/>
    <w:rsid w:val="2726CF08"/>
    <w:rsid w:val="2773DD02"/>
    <w:rsid w:val="28185271"/>
    <w:rsid w:val="28B2FD61"/>
    <w:rsid w:val="28DAB8BB"/>
    <w:rsid w:val="2900596F"/>
    <w:rsid w:val="294591CF"/>
    <w:rsid w:val="29A79A49"/>
    <w:rsid w:val="29AD3F5F"/>
    <w:rsid w:val="29D643A8"/>
    <w:rsid w:val="2B203F76"/>
    <w:rsid w:val="2C696E77"/>
    <w:rsid w:val="2DBA6977"/>
    <w:rsid w:val="2DE13BE2"/>
    <w:rsid w:val="2E519AF6"/>
    <w:rsid w:val="2F35B63A"/>
    <w:rsid w:val="2FCA44C3"/>
    <w:rsid w:val="3055C5B8"/>
    <w:rsid w:val="313256F4"/>
    <w:rsid w:val="31DE3724"/>
    <w:rsid w:val="3276ECBD"/>
    <w:rsid w:val="34313969"/>
    <w:rsid w:val="344212E4"/>
    <w:rsid w:val="34CE229C"/>
    <w:rsid w:val="3544AD5D"/>
    <w:rsid w:val="35DB39C3"/>
    <w:rsid w:val="3696B3E6"/>
    <w:rsid w:val="36D40484"/>
    <w:rsid w:val="36FE6DD2"/>
    <w:rsid w:val="3712DDCF"/>
    <w:rsid w:val="3769AA55"/>
    <w:rsid w:val="3771D51F"/>
    <w:rsid w:val="381BCB4B"/>
    <w:rsid w:val="382D9510"/>
    <w:rsid w:val="384EC670"/>
    <w:rsid w:val="3911FCE8"/>
    <w:rsid w:val="397B99E6"/>
    <w:rsid w:val="39B76189"/>
    <w:rsid w:val="39C26D20"/>
    <w:rsid w:val="39F0AA56"/>
    <w:rsid w:val="3AAEEC72"/>
    <w:rsid w:val="3AC2926D"/>
    <w:rsid w:val="3B475341"/>
    <w:rsid w:val="3B60A3DE"/>
    <w:rsid w:val="3C061FBE"/>
    <w:rsid w:val="3D49A3F1"/>
    <w:rsid w:val="3D4F95F4"/>
    <w:rsid w:val="3D8563EC"/>
    <w:rsid w:val="3D956973"/>
    <w:rsid w:val="3E9B4433"/>
    <w:rsid w:val="3EDE8A25"/>
    <w:rsid w:val="3F090E81"/>
    <w:rsid w:val="40145B5A"/>
    <w:rsid w:val="406E3E20"/>
    <w:rsid w:val="41995D56"/>
    <w:rsid w:val="41FD1424"/>
    <w:rsid w:val="42D67558"/>
    <w:rsid w:val="42DF3104"/>
    <w:rsid w:val="4360B55D"/>
    <w:rsid w:val="44434AD6"/>
    <w:rsid w:val="453ABA15"/>
    <w:rsid w:val="4692AC0D"/>
    <w:rsid w:val="47F1C69E"/>
    <w:rsid w:val="4835F7A3"/>
    <w:rsid w:val="49305356"/>
    <w:rsid w:val="4A172E56"/>
    <w:rsid w:val="4B571A79"/>
    <w:rsid w:val="4BD1AEAD"/>
    <w:rsid w:val="4BEAA82A"/>
    <w:rsid w:val="4C22BA9D"/>
    <w:rsid w:val="4C6C9011"/>
    <w:rsid w:val="4C7BE955"/>
    <w:rsid w:val="4D64F498"/>
    <w:rsid w:val="4F639E73"/>
    <w:rsid w:val="4F716BCC"/>
    <w:rsid w:val="5029B240"/>
    <w:rsid w:val="507EDF4F"/>
    <w:rsid w:val="509BA0C6"/>
    <w:rsid w:val="5114006D"/>
    <w:rsid w:val="5205D62E"/>
    <w:rsid w:val="53EE2094"/>
    <w:rsid w:val="54938434"/>
    <w:rsid w:val="54C85072"/>
    <w:rsid w:val="54E5093A"/>
    <w:rsid w:val="551D3229"/>
    <w:rsid w:val="554925C1"/>
    <w:rsid w:val="56E5A66F"/>
    <w:rsid w:val="5740349B"/>
    <w:rsid w:val="57DBBE9F"/>
    <w:rsid w:val="58A478EA"/>
    <w:rsid w:val="58BB44C1"/>
    <w:rsid w:val="58E58975"/>
    <w:rsid w:val="592AD075"/>
    <w:rsid w:val="59EE4945"/>
    <w:rsid w:val="5B135711"/>
    <w:rsid w:val="5B553842"/>
    <w:rsid w:val="5B8A6CB9"/>
    <w:rsid w:val="5BE3FA36"/>
    <w:rsid w:val="5CE045CA"/>
    <w:rsid w:val="5D3C854F"/>
    <w:rsid w:val="5D7C60BC"/>
    <w:rsid w:val="5DB49C95"/>
    <w:rsid w:val="5DF7342F"/>
    <w:rsid w:val="5E2F5A24"/>
    <w:rsid w:val="5E979137"/>
    <w:rsid w:val="5E99E75E"/>
    <w:rsid w:val="5EF5D383"/>
    <w:rsid w:val="602C052E"/>
    <w:rsid w:val="60CF0B81"/>
    <w:rsid w:val="61291BB2"/>
    <w:rsid w:val="61696A22"/>
    <w:rsid w:val="61D89E7B"/>
    <w:rsid w:val="62BBAF40"/>
    <w:rsid w:val="63281F30"/>
    <w:rsid w:val="6523C0FD"/>
    <w:rsid w:val="654317BA"/>
    <w:rsid w:val="65947296"/>
    <w:rsid w:val="665408A7"/>
    <w:rsid w:val="68BDB8F2"/>
    <w:rsid w:val="68EE87AC"/>
    <w:rsid w:val="6945FF4E"/>
    <w:rsid w:val="69527B3F"/>
    <w:rsid w:val="699F89BD"/>
    <w:rsid w:val="69C85772"/>
    <w:rsid w:val="6B05F701"/>
    <w:rsid w:val="6B640C34"/>
    <w:rsid w:val="6B9CD341"/>
    <w:rsid w:val="6CA9498F"/>
    <w:rsid w:val="6CCF5076"/>
    <w:rsid w:val="6DEA6941"/>
    <w:rsid w:val="6E4FD8BC"/>
    <w:rsid w:val="6F2717BA"/>
    <w:rsid w:val="6F6CBC76"/>
    <w:rsid w:val="6FA96B63"/>
    <w:rsid w:val="70EE6923"/>
    <w:rsid w:val="71AD9DE6"/>
    <w:rsid w:val="73050B11"/>
    <w:rsid w:val="735B7647"/>
    <w:rsid w:val="73B9ECA3"/>
    <w:rsid w:val="73FEB40C"/>
    <w:rsid w:val="752A1C55"/>
    <w:rsid w:val="7654A322"/>
    <w:rsid w:val="77221D27"/>
    <w:rsid w:val="7954B2FE"/>
    <w:rsid w:val="79665FC4"/>
    <w:rsid w:val="797466D7"/>
    <w:rsid w:val="7ABF1C0D"/>
    <w:rsid w:val="7C17368D"/>
    <w:rsid w:val="7C319326"/>
    <w:rsid w:val="7C37FE61"/>
    <w:rsid w:val="7C4039F2"/>
    <w:rsid w:val="7DAB4B26"/>
    <w:rsid w:val="7DCC7BFE"/>
    <w:rsid w:val="7E33D852"/>
    <w:rsid w:val="7E7353DA"/>
    <w:rsid w:val="7FF6EB0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247B85"/>
  <w15:docId w15:val="{8553607D-CB75-4665-9787-B74BB2A1A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11" w:qFormat="1"/>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2A81"/>
    <w:pPr>
      <w:spacing w:before="120" w:line="300" w:lineRule="auto"/>
    </w:pPr>
  </w:style>
  <w:style w:type="paragraph" w:styleId="Heading1">
    <w:name w:val="heading 1"/>
    <w:basedOn w:val="Normal"/>
    <w:next w:val="Normal"/>
    <w:link w:val="Heading1Char"/>
    <w:uiPriority w:val="9"/>
    <w:qFormat/>
    <w:rsid w:val="000A695B"/>
    <w:pPr>
      <w:keepNext/>
      <w:keepLines/>
      <w:spacing w:before="360" w:line="240" w:lineRule="auto"/>
      <w:outlineLvl w:val="0"/>
    </w:pPr>
    <w:rPr>
      <w:rFonts w:eastAsiaTheme="majorEastAsia" w:cstheme="majorBidi"/>
      <w:bCs/>
      <w:color w:val="009364" w:themeColor="accent2"/>
      <w:sz w:val="48"/>
      <w:szCs w:val="40"/>
    </w:rPr>
  </w:style>
  <w:style w:type="paragraph" w:styleId="Heading2">
    <w:name w:val="heading 2"/>
    <w:basedOn w:val="Normal"/>
    <w:next w:val="Normal"/>
    <w:link w:val="Heading2Char"/>
    <w:uiPriority w:val="9"/>
    <w:qFormat/>
    <w:rsid w:val="009427EE"/>
    <w:pPr>
      <w:keepNext/>
      <w:keepLines/>
      <w:spacing w:before="360" w:line="240" w:lineRule="auto"/>
      <w:outlineLvl w:val="1"/>
    </w:pPr>
    <w:rPr>
      <w:rFonts w:eastAsiaTheme="majorEastAsia" w:cstheme="majorBidi"/>
      <w:b/>
      <w:bCs/>
      <w:color w:val="001032" w:themeColor="text2"/>
      <w:sz w:val="32"/>
      <w:szCs w:val="26"/>
    </w:rPr>
  </w:style>
  <w:style w:type="paragraph" w:styleId="Heading3">
    <w:name w:val="heading 3"/>
    <w:basedOn w:val="Normal"/>
    <w:next w:val="Normal"/>
    <w:link w:val="Heading3Char"/>
    <w:uiPriority w:val="9"/>
    <w:qFormat/>
    <w:rsid w:val="001D03D0"/>
    <w:pPr>
      <w:keepNext/>
      <w:keepLines/>
      <w:spacing w:before="360" w:line="240" w:lineRule="auto"/>
      <w:outlineLvl w:val="2"/>
    </w:pPr>
    <w:rPr>
      <w:rFonts w:asciiTheme="majorHAnsi" w:eastAsia="Aptos Light" w:hAnsiTheme="majorHAnsi" w:cstheme="majorBidi"/>
      <w:b/>
      <w:bCs/>
      <w:color w:val="006E4A" w:themeColor="accent2" w:themeShade="BF"/>
      <w:sz w:val="28"/>
    </w:rPr>
  </w:style>
  <w:style w:type="paragraph" w:styleId="Heading4">
    <w:name w:val="heading 4"/>
    <w:basedOn w:val="Normal"/>
    <w:next w:val="Normal"/>
    <w:link w:val="Heading4Char"/>
    <w:qFormat/>
    <w:rsid w:val="0028513C"/>
    <w:pPr>
      <w:keepNext/>
      <w:keepLines/>
      <w:spacing w:before="360" w:line="240" w:lineRule="auto"/>
      <w:outlineLvl w:val="3"/>
    </w:pPr>
    <w:rPr>
      <w:rFonts w:asciiTheme="majorHAnsi" w:eastAsiaTheme="majorEastAsia" w:hAnsiTheme="majorHAnsi" w:cstheme="majorBidi"/>
      <w:b/>
      <w:bCs/>
      <w:iCs/>
      <w:color w:val="001032" w:themeColor="text2"/>
      <w:sz w:val="24"/>
    </w:rPr>
  </w:style>
  <w:style w:type="paragraph" w:styleId="Heading5">
    <w:name w:val="heading 5"/>
    <w:basedOn w:val="Normal"/>
    <w:next w:val="Normal"/>
    <w:link w:val="Heading5Char"/>
    <w:qFormat/>
    <w:rsid w:val="0028513C"/>
    <w:pPr>
      <w:keepNext/>
      <w:keepLines/>
      <w:tabs>
        <w:tab w:val="left" w:pos="794"/>
      </w:tabs>
      <w:spacing w:before="360" w:line="240" w:lineRule="auto"/>
      <w:outlineLvl w:val="4"/>
    </w:pPr>
    <w:rPr>
      <w:rFonts w:asciiTheme="majorHAnsi" w:eastAsiaTheme="majorEastAsia" w:hAnsiTheme="majorHAnsi" w:cstheme="majorBidi"/>
      <w:b/>
      <w:color w:val="001032" w:themeColor="text2"/>
    </w:rPr>
  </w:style>
  <w:style w:type="paragraph" w:styleId="Heading6">
    <w:name w:val="heading 6"/>
    <w:basedOn w:val="Normal"/>
    <w:next w:val="Normal"/>
    <w:link w:val="Heading6Char"/>
    <w:semiHidden/>
    <w:qFormat/>
    <w:rsid w:val="00DB4DFF"/>
    <w:pPr>
      <w:keepNext/>
      <w:keepLines/>
      <w:spacing w:before="250" w:after="40"/>
      <w:outlineLvl w:val="5"/>
    </w:pPr>
    <w:rPr>
      <w:rFonts w:asciiTheme="majorHAnsi" w:eastAsiaTheme="majorEastAsia" w:hAnsiTheme="majorHAnsi" w:cstheme="majorBidi"/>
      <w:i/>
      <w:iCs/>
      <w:spacing w:val="4"/>
      <w:sz w:val="24"/>
      <w:lang w:eastAsia="en-US"/>
    </w:rPr>
  </w:style>
  <w:style w:type="paragraph" w:styleId="Heading7">
    <w:name w:val="heading 7"/>
    <w:basedOn w:val="Normal"/>
    <w:next w:val="Normal"/>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Normal"/>
    <w:link w:val="Heading8Char"/>
    <w:semiHidden/>
    <w:rsid w:val="0058629F"/>
    <w:pPr>
      <w:keepNext/>
      <w:keepLines/>
      <w:pageBreakBefore/>
      <w:numPr>
        <w:numId w:val="2"/>
      </w:numPr>
      <w:tabs>
        <w:tab w:val="right" w:pos="9639"/>
      </w:tabs>
      <w:spacing w:after="320" w:line="240" w:lineRule="auto"/>
      <w:outlineLvl w:val="7"/>
    </w:pPr>
    <w:rPr>
      <w:rFonts w:asciiTheme="majorHAnsi" w:eastAsiaTheme="majorEastAsia" w:hAnsiTheme="majorHAnsi" w:cs="Arial"/>
      <w:caps/>
      <w:color w:val="001032" w:themeColor="text2"/>
      <w:sz w:val="36"/>
      <w:lang w:eastAsia="en-US"/>
    </w:rPr>
  </w:style>
  <w:style w:type="paragraph" w:styleId="Heading9">
    <w:name w:val="heading 9"/>
    <w:basedOn w:val="Normal"/>
    <w:next w:val="Normal"/>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unhideWhenUsed/>
    <w:rsid w:val="0028513C"/>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31"/>
    <w:rsid w:val="00625F4C"/>
    <w:pPr>
      <w:tabs>
        <w:tab w:val="right" w:pos="9639"/>
      </w:tabs>
      <w:spacing w:before="0" w:after="0" w:line="240" w:lineRule="auto"/>
      <w:jc w:val="right"/>
    </w:pPr>
    <w:rPr>
      <w:b/>
    </w:rPr>
  </w:style>
  <w:style w:type="character" w:customStyle="1" w:styleId="FooterChar">
    <w:name w:val="Footer Char"/>
    <w:basedOn w:val="DefaultParagraphFont"/>
    <w:link w:val="Footer"/>
    <w:uiPriority w:val="31"/>
    <w:rsid w:val="00865D11"/>
    <w:rPr>
      <w:b/>
    </w:rPr>
  </w:style>
  <w:style w:type="numbering" w:customStyle="1" w:styleId="HangingList">
    <w:name w:val="HangingList"/>
    <w:uiPriority w:val="99"/>
    <w:rsid w:val="00B2011B"/>
    <w:pPr>
      <w:numPr>
        <w:numId w:val="1"/>
      </w:numPr>
    </w:pPr>
  </w:style>
  <w:style w:type="paragraph" w:styleId="Header">
    <w:name w:val="header"/>
    <w:basedOn w:val="Normal"/>
    <w:link w:val="HeaderChar"/>
    <w:uiPriority w:val="31"/>
    <w:rsid w:val="003B7771"/>
    <w:pPr>
      <w:tabs>
        <w:tab w:val="left" w:pos="1860"/>
        <w:tab w:val="left" w:pos="2730"/>
      </w:tabs>
      <w:spacing w:before="0" w:after="0" w:line="240" w:lineRule="auto"/>
    </w:pPr>
    <w:rPr>
      <w:spacing w:val="2"/>
      <w:sz w:val="16"/>
    </w:rPr>
  </w:style>
  <w:style w:type="character" w:customStyle="1" w:styleId="HeaderChar">
    <w:name w:val="Header Char"/>
    <w:basedOn w:val="DefaultParagraphFont"/>
    <w:link w:val="Header"/>
    <w:uiPriority w:val="31"/>
    <w:rsid w:val="00865D11"/>
    <w:rPr>
      <w:spacing w:val="2"/>
      <w:sz w:val="16"/>
    </w:rPr>
  </w:style>
  <w:style w:type="character" w:customStyle="1" w:styleId="Heading1Char">
    <w:name w:val="Heading 1 Char"/>
    <w:basedOn w:val="DefaultParagraphFont"/>
    <w:link w:val="Heading1"/>
    <w:uiPriority w:val="9"/>
    <w:rsid w:val="000A695B"/>
    <w:rPr>
      <w:rFonts w:eastAsiaTheme="majorEastAsia" w:cstheme="majorBidi"/>
      <w:bCs/>
      <w:color w:val="009364" w:themeColor="accent2"/>
      <w:sz w:val="48"/>
      <w:szCs w:val="40"/>
    </w:rPr>
  </w:style>
  <w:style w:type="character" w:customStyle="1" w:styleId="Heading2Char">
    <w:name w:val="Heading 2 Char"/>
    <w:basedOn w:val="DefaultParagraphFont"/>
    <w:link w:val="Heading2"/>
    <w:uiPriority w:val="9"/>
    <w:rsid w:val="009427EE"/>
    <w:rPr>
      <w:rFonts w:eastAsiaTheme="majorEastAsia" w:cstheme="majorBidi"/>
      <w:b/>
      <w:bCs/>
      <w:color w:val="001032" w:themeColor="text2"/>
      <w:sz w:val="32"/>
      <w:szCs w:val="26"/>
    </w:rPr>
  </w:style>
  <w:style w:type="character" w:customStyle="1" w:styleId="Heading3Char">
    <w:name w:val="Heading 3 Char"/>
    <w:basedOn w:val="DefaultParagraphFont"/>
    <w:link w:val="Heading3"/>
    <w:uiPriority w:val="9"/>
    <w:rsid w:val="001D03D0"/>
    <w:rPr>
      <w:rFonts w:asciiTheme="majorHAnsi" w:eastAsia="Aptos Light" w:hAnsiTheme="majorHAnsi" w:cstheme="majorBidi"/>
      <w:b/>
      <w:bCs/>
      <w:color w:val="006E4A" w:themeColor="accent2" w:themeShade="BF"/>
      <w:sz w:val="28"/>
    </w:rPr>
  </w:style>
  <w:style w:type="character" w:customStyle="1" w:styleId="Heading4Char">
    <w:name w:val="Heading 4 Char"/>
    <w:basedOn w:val="DefaultParagraphFont"/>
    <w:link w:val="Heading4"/>
    <w:rsid w:val="0028513C"/>
    <w:rPr>
      <w:rFonts w:asciiTheme="majorHAnsi" w:eastAsiaTheme="majorEastAsia" w:hAnsiTheme="majorHAnsi" w:cstheme="majorBidi"/>
      <w:b/>
      <w:bCs/>
      <w:iCs/>
      <w:color w:val="001032" w:themeColor="text2"/>
      <w:sz w:val="24"/>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color w:val="001032" w:themeColor="text2"/>
      <w:sz w:val="36"/>
      <w:lang w:eastAsia="en-US"/>
    </w:rPr>
  </w:style>
  <w:style w:type="character" w:customStyle="1" w:styleId="Heading9Char">
    <w:name w:val="Heading 9 Char"/>
    <w:basedOn w:val="DefaultParagraphFont"/>
    <w:link w:val="Heading9"/>
    <w:semiHidden/>
    <w:rsid w:val="000809F5"/>
  </w:style>
  <w:style w:type="numbering" w:customStyle="1" w:styleId="LstStandardNumbering">
    <w:name w:val="Lst_StandardNumbering"/>
    <w:uiPriority w:val="99"/>
    <w:rsid w:val="00B44180"/>
    <w:pPr>
      <w:numPr>
        <w:numId w:val="5"/>
      </w:numPr>
    </w:pPr>
  </w:style>
  <w:style w:type="character" w:styleId="Hyperlink">
    <w:name w:val="Hyperlink"/>
    <w:basedOn w:val="DefaultParagraphFont"/>
    <w:uiPriority w:val="99"/>
    <w:unhideWhenUsed/>
    <w:rsid w:val="0028513C"/>
    <w:rPr>
      <w:color w:val="000000" w:themeColor="text1"/>
      <w:u w:val="single" w:color="009364" w:themeColor="accent2"/>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Normal"/>
    <w:qFormat/>
    <w:rsid w:val="0028513C"/>
    <w:pPr>
      <w:numPr>
        <w:numId w:val="15"/>
      </w:numPr>
      <w:ind w:left="794"/>
    </w:pPr>
  </w:style>
  <w:style w:type="paragraph" w:styleId="ListBullet2">
    <w:name w:val="List Bullet 2"/>
    <w:basedOn w:val="ListBullet"/>
    <w:qFormat/>
    <w:rsid w:val="00156BC1"/>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ListContinue2"/>
    <w:qFormat/>
    <w:rsid w:val="00BA0796"/>
    <w:pPr>
      <w:numPr>
        <w:ilvl w:val="0"/>
      </w:numPr>
    </w:pPr>
  </w:style>
  <w:style w:type="paragraph" w:styleId="ListNumber">
    <w:name w:val="List Number"/>
    <w:basedOn w:val="Normal"/>
    <w:qFormat/>
    <w:rsid w:val="0028513C"/>
    <w:pPr>
      <w:numPr>
        <w:numId w:val="10"/>
      </w:numPr>
    </w:pPr>
  </w:style>
  <w:style w:type="paragraph" w:styleId="ListNumber2">
    <w:name w:val="List Number 2"/>
    <w:basedOn w:val="ListNumber"/>
    <w:qFormat/>
    <w:rsid w:val="00AB6CB2"/>
    <w:pPr>
      <w:numPr>
        <w:ilvl w:val="1"/>
      </w:numPr>
    </w:pPr>
  </w:style>
  <w:style w:type="paragraph" w:styleId="ListNumber3">
    <w:name w:val="List Number 3"/>
    <w:basedOn w:val="ListNumber2"/>
    <w:qFormat/>
    <w:rsid w:val="00AB6CB2"/>
    <w:pPr>
      <w:numPr>
        <w:ilvl w:val="2"/>
      </w:numPr>
    </w:pPr>
  </w:style>
  <w:style w:type="paragraph" w:customStyle="1" w:styleId="DisclaimerTextinFrame">
    <w:name w:val="Disclaimer Text in Frame"/>
    <w:basedOn w:val="Normal"/>
    <w:uiPriority w:val="31"/>
    <w:rsid w:val="00625F4C"/>
    <w:pPr>
      <w:framePr w:w="9185" w:wrap="around" w:hAnchor="text" w:yAlign="bottom"/>
      <w:spacing w:after="100"/>
    </w:pPr>
  </w:style>
  <w:style w:type="character" w:styleId="PlaceholderText">
    <w:name w:val="Placeholder Text"/>
    <w:basedOn w:val="DefaultParagraphFont"/>
    <w:uiPriority w:val="99"/>
    <w:rsid w:val="0058629F"/>
    <w:rPr>
      <w:color w:val="808080"/>
    </w:rPr>
  </w:style>
  <w:style w:type="paragraph" w:styleId="Title">
    <w:name w:val="Title"/>
    <w:basedOn w:val="Normal"/>
    <w:next w:val="Normal"/>
    <w:link w:val="TitleChar"/>
    <w:uiPriority w:val="10"/>
    <w:qFormat/>
    <w:rsid w:val="00057C60"/>
    <w:pPr>
      <w:spacing w:before="0" w:after="0" w:line="720" w:lineRule="atLeast"/>
      <w:contextualSpacing/>
    </w:pPr>
    <w:rPr>
      <w:rFonts w:asciiTheme="majorHAnsi" w:hAnsiTheme="majorHAnsi"/>
      <w:sz w:val="60"/>
    </w:rPr>
  </w:style>
  <w:style w:type="character" w:customStyle="1" w:styleId="TitleChar">
    <w:name w:val="Title Char"/>
    <w:basedOn w:val="DefaultParagraphFont"/>
    <w:link w:val="Title"/>
    <w:uiPriority w:val="10"/>
    <w:rsid w:val="00057C60"/>
    <w:rPr>
      <w:rFonts w:asciiTheme="majorHAnsi" w:hAnsiTheme="majorHAnsi"/>
      <w:sz w:val="60"/>
    </w:rPr>
  </w:style>
  <w:style w:type="paragraph" w:styleId="Subtitle">
    <w:name w:val="Subtitle"/>
    <w:basedOn w:val="Normal"/>
    <w:next w:val="Normal"/>
    <w:link w:val="SubtitleChar"/>
    <w:uiPriority w:val="11"/>
    <w:qFormat/>
    <w:rsid w:val="00057C60"/>
    <w:pPr>
      <w:numPr>
        <w:ilvl w:val="1"/>
      </w:numPr>
      <w:spacing w:before="660" w:after="0" w:line="336" w:lineRule="atLeast"/>
      <w:contextualSpacing/>
    </w:pPr>
    <w:rPr>
      <w:rFonts w:eastAsiaTheme="majorEastAsia" w:cstheme="majorBidi"/>
      <w:iCs/>
      <w:sz w:val="28"/>
      <w:szCs w:val="24"/>
    </w:rPr>
  </w:style>
  <w:style w:type="paragraph" w:styleId="TOC5">
    <w:name w:val="toc 5"/>
    <w:basedOn w:val="Normal"/>
    <w:next w:val="Normal"/>
    <w:autoRedefine/>
    <w:semiHidden/>
    <w:rsid w:val="0058629F"/>
    <w:pPr>
      <w:spacing w:after="100"/>
      <w:ind w:left="720"/>
    </w:pPr>
  </w:style>
  <w:style w:type="paragraph" w:styleId="TOC6">
    <w:name w:val="toc 6"/>
    <w:basedOn w:val="Normal"/>
    <w:next w:val="Normal"/>
    <w:autoRedefine/>
    <w:semiHidden/>
    <w:rsid w:val="0058629F"/>
    <w:pPr>
      <w:spacing w:after="100"/>
      <w:ind w:left="900"/>
    </w:pPr>
  </w:style>
  <w:style w:type="paragraph" w:styleId="TOC7">
    <w:name w:val="toc 7"/>
    <w:basedOn w:val="Normal"/>
    <w:next w:val="Normal"/>
    <w:autoRedefine/>
    <w:semiHidden/>
    <w:rsid w:val="0058629F"/>
    <w:pPr>
      <w:spacing w:after="100"/>
      <w:ind w:left="1080"/>
    </w:pPr>
  </w:style>
  <w:style w:type="paragraph" w:styleId="TOC8">
    <w:name w:val="toc 8"/>
    <w:basedOn w:val="Normal"/>
    <w:next w:val="Normal"/>
    <w:autoRedefine/>
    <w:semiHidden/>
    <w:rsid w:val="0058629F"/>
    <w:pPr>
      <w:spacing w:after="100"/>
      <w:ind w:left="1260"/>
    </w:pPr>
  </w:style>
  <w:style w:type="character" w:customStyle="1" w:styleId="SubtitleChar">
    <w:name w:val="Subtitle Char"/>
    <w:basedOn w:val="DefaultParagraphFont"/>
    <w:link w:val="Subtitle"/>
    <w:uiPriority w:val="11"/>
    <w:rsid w:val="00057C60"/>
    <w:rPr>
      <w:rFonts w:eastAsiaTheme="majorEastAsia" w:cstheme="majorBidi"/>
      <w:iCs/>
      <w:sz w:val="28"/>
      <w:szCs w:val="24"/>
    </w:rPr>
  </w:style>
  <w:style w:type="paragraph" w:styleId="ListContinue2">
    <w:name w:val="List Continue 2"/>
    <w:basedOn w:val="ListContinue3"/>
    <w:qFormat/>
    <w:rsid w:val="00BA0796"/>
    <w:pPr>
      <w:numPr>
        <w:ilvl w:val="1"/>
      </w:numPr>
    </w:pPr>
  </w:style>
  <w:style w:type="paragraph" w:styleId="ListContinue3">
    <w:name w:val="List Continue 3"/>
    <w:basedOn w:val="Normal"/>
    <w:qFormat/>
    <w:rsid w:val="00DB4DFF"/>
    <w:pPr>
      <w:numPr>
        <w:ilvl w:val="2"/>
        <w:numId w:val="6"/>
      </w:numPr>
      <w:spacing w:before="90" w:after="90"/>
    </w:pPr>
  </w:style>
  <w:style w:type="paragraph" w:styleId="NoSpacing">
    <w:name w:val="No Spacing"/>
    <w:basedOn w:val="Normal"/>
    <w:qFormat/>
    <w:rsid w:val="00FB7293"/>
    <w:pPr>
      <w:spacing w:before="0" w:after="0"/>
    </w:pPr>
  </w:style>
  <w:style w:type="paragraph" w:customStyle="1" w:styleId="TableofFiguresHeading">
    <w:name w:val="Table of Figures Heading"/>
    <w:basedOn w:val="Normal"/>
    <w:uiPriority w:val="99"/>
    <w:semiHidden/>
    <w:rsid w:val="0058629F"/>
    <w:pPr>
      <w:spacing w:before="240" w:line="240" w:lineRule="auto"/>
    </w:pPr>
    <w:rPr>
      <w:b/>
      <w:bCs/>
      <w:noProof/>
    </w:rPr>
  </w:style>
  <w:style w:type="character" w:customStyle="1" w:styleId="Heading5Char">
    <w:name w:val="Heading 5 Char"/>
    <w:basedOn w:val="DefaultParagraphFont"/>
    <w:link w:val="Heading5"/>
    <w:rsid w:val="0028513C"/>
    <w:rPr>
      <w:rFonts w:asciiTheme="majorHAnsi" w:eastAsiaTheme="majorEastAsia" w:hAnsiTheme="majorHAnsi" w:cstheme="majorBidi"/>
      <w:b/>
      <w:color w:val="001032" w:themeColor="text2"/>
    </w:rPr>
  </w:style>
  <w:style w:type="character" w:customStyle="1" w:styleId="Heading6Char">
    <w:name w:val="Heading 6 Char"/>
    <w:basedOn w:val="DefaultParagraphFont"/>
    <w:link w:val="Heading6"/>
    <w:semiHidden/>
    <w:rsid w:val="00DB4DFF"/>
    <w:rPr>
      <w:rFonts w:asciiTheme="majorHAnsi" w:eastAsiaTheme="majorEastAsia" w:hAnsiTheme="majorHAnsi" w:cstheme="majorBidi"/>
      <w:i/>
      <w:iCs/>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table" w:styleId="PlainTable2">
    <w:name w:val="Plain Table 2"/>
    <w:basedOn w:val="TableNormal"/>
    <w:uiPriority w:val="42"/>
    <w:semiHidden/>
    <w:rsid w:val="0058629F"/>
    <w:pPr>
      <w:spacing w:line="240" w:lineRule="exact"/>
    </w:pPr>
    <w:rPr>
      <w:sz w:val="18"/>
    </w:r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39"/>
    <w:unhideWhenUsed/>
    <w:qFormat/>
    <w:rsid w:val="00F1218E"/>
    <w:pPr>
      <w:pageBreakBefore/>
      <w:spacing w:before="180" w:after="1080" w:line="240" w:lineRule="auto"/>
    </w:pPr>
    <w:rPr>
      <w:rFonts w:asciiTheme="majorHAnsi" w:hAnsiTheme="majorHAnsi"/>
      <w:bCs/>
      <w:color w:val="009364" w:themeColor="accent2"/>
      <w:sz w:val="52"/>
    </w:rPr>
  </w:style>
  <w:style w:type="paragraph" w:styleId="TOC1">
    <w:name w:val="toc 1"/>
    <w:basedOn w:val="Normal"/>
    <w:next w:val="Normal"/>
    <w:link w:val="TOC1Char"/>
    <w:autoRedefine/>
    <w:uiPriority w:val="39"/>
    <w:rsid w:val="007B6704"/>
    <w:pPr>
      <w:tabs>
        <w:tab w:val="right" w:pos="9582"/>
      </w:tabs>
      <w:spacing w:before="360" w:after="240" w:line="292" w:lineRule="atLeast"/>
      <w:ind w:right="510"/>
    </w:pPr>
    <w:rPr>
      <w:b/>
      <w:noProof/>
      <w:sz w:val="24"/>
    </w:rPr>
  </w:style>
  <w:style w:type="paragraph" w:styleId="TOC2">
    <w:name w:val="toc 2"/>
    <w:basedOn w:val="Normal"/>
    <w:next w:val="Normal"/>
    <w:autoRedefine/>
    <w:uiPriority w:val="39"/>
    <w:rsid w:val="007B6704"/>
    <w:pPr>
      <w:tabs>
        <w:tab w:val="right" w:pos="9582"/>
      </w:tabs>
      <w:spacing w:before="240" w:after="240" w:line="292" w:lineRule="atLeast"/>
      <w:ind w:left="851" w:right="567" w:hanging="624"/>
    </w:pPr>
    <w:rPr>
      <w:rFonts w:eastAsiaTheme="minorEastAsia" w:cstheme="minorBidi"/>
      <w:noProof/>
      <w:sz w:val="24"/>
    </w:rPr>
  </w:style>
  <w:style w:type="table" w:customStyle="1" w:styleId="TablePlaceholder">
    <w:name w:val="Table Placeholder"/>
    <w:basedOn w:val="TableNormal"/>
    <w:uiPriority w:val="99"/>
    <w:rsid w:val="0058629F"/>
    <w:pPr>
      <w:spacing w:line="240" w:lineRule="auto"/>
    </w:pPr>
    <w:tblPr>
      <w:tblCellMar>
        <w:left w:w="0" w:type="dxa"/>
        <w:right w:w="0" w:type="dxa"/>
      </w:tblCellMar>
    </w:tblPr>
  </w:style>
  <w:style w:type="paragraph" w:styleId="Caption">
    <w:name w:val="caption"/>
    <w:basedOn w:val="Normal"/>
    <w:next w:val="Normal"/>
    <w:qFormat/>
    <w:rsid w:val="00397986"/>
    <w:pPr>
      <w:keepNext/>
      <w:tabs>
        <w:tab w:val="left" w:pos="1134"/>
      </w:tabs>
      <w:spacing w:before="0"/>
    </w:pPr>
    <w:rPr>
      <w:b/>
      <w:iCs/>
      <w:color w:val="auto"/>
      <w:szCs w:val="18"/>
    </w:rPr>
  </w:style>
  <w:style w:type="paragraph" w:styleId="FootnoteText">
    <w:name w:val="footnote text"/>
    <w:basedOn w:val="Normal"/>
    <w:link w:val="FootnoteTextChar"/>
    <w:rsid w:val="00D96685"/>
    <w:pPr>
      <w:spacing w:before="40" w:after="0" w:line="220" w:lineRule="atLeast"/>
    </w:pPr>
    <w:rPr>
      <w:sz w:val="16"/>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BAECE7" w:themeFill="accent1" w:themeFillTint="33"/>
    </w:tcPr>
    <w:tblStylePr w:type="firstRow">
      <w:rPr>
        <w:b/>
        <w:bCs/>
      </w:rPr>
      <w:tblPr/>
      <w:tcPr>
        <w:shd w:val="clear" w:color="auto" w:fill="76D9CF" w:themeFill="accent1" w:themeFillTint="66"/>
      </w:tcPr>
    </w:tblStylePr>
    <w:tblStylePr w:type="lastRow">
      <w:rPr>
        <w:b/>
        <w:bCs/>
        <w:color w:val="000000" w:themeColor="text1"/>
      </w:rPr>
      <w:tblPr/>
      <w:tcPr>
        <w:shd w:val="clear" w:color="auto" w:fill="76D9CF" w:themeFill="accent1" w:themeFillTint="66"/>
      </w:tcPr>
    </w:tblStylePr>
    <w:tblStylePr w:type="firstCol">
      <w:rPr>
        <w:color w:val="FFFFFF" w:themeColor="background1"/>
      </w:rPr>
      <w:tblPr/>
      <w:tcPr>
        <w:shd w:val="clear" w:color="auto" w:fill="0C2B28" w:themeFill="accent1" w:themeFillShade="BF"/>
      </w:tcPr>
    </w:tblStylePr>
    <w:tblStylePr w:type="lastCol">
      <w:rPr>
        <w:color w:val="FFFFFF" w:themeColor="background1"/>
      </w:rPr>
      <w:tblPr/>
      <w:tcPr>
        <w:shd w:val="clear" w:color="auto" w:fill="0C2B28" w:themeFill="accent1" w:themeFillShade="BF"/>
      </w:tcPr>
    </w:tblStylePr>
    <w:tblStylePr w:type="band1Vert">
      <w:tblPr/>
      <w:tcPr>
        <w:shd w:val="clear" w:color="auto" w:fill="54D0C3" w:themeFill="accent1" w:themeFillTint="7F"/>
      </w:tcPr>
    </w:tblStylePr>
    <w:tblStylePr w:type="band1Horz">
      <w:tblPr/>
      <w:tcPr>
        <w:shd w:val="clear" w:color="auto" w:fill="54D0C3"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B6FFE7" w:themeFill="accent2" w:themeFillTint="33"/>
    </w:tcPr>
    <w:tblStylePr w:type="firstRow">
      <w:rPr>
        <w:b/>
        <w:bCs/>
      </w:rPr>
      <w:tblPr/>
      <w:tcPr>
        <w:shd w:val="clear" w:color="auto" w:fill="6DFFD0" w:themeFill="accent2" w:themeFillTint="66"/>
      </w:tcPr>
    </w:tblStylePr>
    <w:tblStylePr w:type="lastRow">
      <w:rPr>
        <w:b/>
        <w:bCs/>
        <w:color w:val="000000" w:themeColor="text1"/>
      </w:rPr>
      <w:tblPr/>
      <w:tcPr>
        <w:shd w:val="clear" w:color="auto" w:fill="6DFFD0" w:themeFill="accent2" w:themeFillTint="66"/>
      </w:tcPr>
    </w:tblStylePr>
    <w:tblStylePr w:type="firstCol">
      <w:rPr>
        <w:color w:val="FFFFFF" w:themeColor="background1"/>
      </w:rPr>
      <w:tblPr/>
      <w:tcPr>
        <w:shd w:val="clear" w:color="auto" w:fill="006E4A" w:themeFill="accent2" w:themeFillShade="BF"/>
      </w:tcPr>
    </w:tblStylePr>
    <w:tblStylePr w:type="lastCol">
      <w:rPr>
        <w:color w:val="FFFFFF" w:themeColor="background1"/>
      </w:rPr>
      <w:tblPr/>
      <w:tcPr>
        <w:shd w:val="clear" w:color="auto" w:fill="006E4A" w:themeFill="accent2" w:themeFillShade="BF"/>
      </w:tcPr>
    </w:tblStylePr>
    <w:tblStylePr w:type="band1Vert">
      <w:tblPr/>
      <w:tcPr>
        <w:shd w:val="clear" w:color="auto" w:fill="4AFFC4" w:themeFill="accent2" w:themeFillTint="7F"/>
      </w:tcPr>
    </w:tblStylePr>
    <w:tblStylePr w:type="band1Horz">
      <w:tblPr/>
      <w:tcPr>
        <w:shd w:val="clear" w:color="auto" w:fill="4AFFC4"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DF9E0" w:themeFill="accent3" w:themeFillTint="33"/>
    </w:tcPr>
    <w:tblStylePr w:type="firstRow">
      <w:rPr>
        <w:b/>
        <w:bCs/>
      </w:rPr>
      <w:tblPr/>
      <w:tcPr>
        <w:shd w:val="clear" w:color="auto" w:fill="FBF3C1" w:themeFill="accent3" w:themeFillTint="66"/>
      </w:tcPr>
    </w:tblStylePr>
    <w:tblStylePr w:type="lastRow">
      <w:rPr>
        <w:b/>
        <w:bCs/>
        <w:color w:val="000000" w:themeColor="text1"/>
      </w:rPr>
      <w:tblPr/>
      <w:tcPr>
        <w:shd w:val="clear" w:color="auto" w:fill="FBF3C1" w:themeFill="accent3" w:themeFillTint="66"/>
      </w:tcPr>
    </w:tblStylePr>
    <w:tblStylePr w:type="firstCol">
      <w:rPr>
        <w:color w:val="FFFFFF" w:themeColor="background1"/>
      </w:rPr>
      <w:tblPr/>
      <w:tcPr>
        <w:shd w:val="clear" w:color="auto" w:fill="F1D112" w:themeFill="accent3" w:themeFillShade="BF"/>
      </w:tcPr>
    </w:tblStylePr>
    <w:tblStylePr w:type="lastCol">
      <w:rPr>
        <w:color w:val="FFFFFF" w:themeColor="background1"/>
      </w:rPr>
      <w:tblPr/>
      <w:tcPr>
        <w:shd w:val="clear" w:color="auto" w:fill="F1D112" w:themeFill="accent3" w:themeFillShade="BF"/>
      </w:tcPr>
    </w:tblStylePr>
    <w:tblStylePr w:type="band1Vert">
      <w:tblPr/>
      <w:tcPr>
        <w:shd w:val="clear" w:color="auto" w:fill="FAF0B2" w:themeFill="accent3" w:themeFillTint="7F"/>
      </w:tcPr>
    </w:tblStylePr>
    <w:tblStylePr w:type="band1Horz">
      <w:tblPr/>
      <w:tcPr>
        <w:shd w:val="clear" w:color="auto" w:fill="FAF0B2"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F3E3" w:themeFill="accent4" w:themeFillTint="33"/>
    </w:tcPr>
    <w:tblStylePr w:type="firstRow">
      <w:rPr>
        <w:b/>
        <w:bCs/>
      </w:rPr>
      <w:tblPr/>
      <w:tcPr>
        <w:shd w:val="clear" w:color="auto" w:fill="FFE8C8" w:themeFill="accent4" w:themeFillTint="66"/>
      </w:tcPr>
    </w:tblStylePr>
    <w:tblStylePr w:type="lastRow">
      <w:rPr>
        <w:b/>
        <w:bCs/>
        <w:color w:val="000000" w:themeColor="text1"/>
      </w:rPr>
      <w:tblPr/>
      <w:tcPr>
        <w:shd w:val="clear" w:color="auto" w:fill="FFE8C8" w:themeFill="accent4" w:themeFillTint="66"/>
      </w:tcPr>
    </w:tblStylePr>
    <w:tblStylePr w:type="firstCol">
      <w:rPr>
        <w:color w:val="FFFFFF" w:themeColor="background1"/>
      </w:rPr>
      <w:tblPr/>
      <w:tcPr>
        <w:shd w:val="clear" w:color="auto" w:fill="FF9E19" w:themeFill="accent4" w:themeFillShade="BF"/>
      </w:tcPr>
    </w:tblStylePr>
    <w:tblStylePr w:type="lastCol">
      <w:rPr>
        <w:color w:val="FFFFFF" w:themeColor="background1"/>
      </w:rPr>
      <w:tblPr/>
      <w:tcPr>
        <w:shd w:val="clear" w:color="auto" w:fill="FF9E19" w:themeFill="accent4" w:themeFillShade="BF"/>
      </w:tcPr>
    </w:tblStylePr>
    <w:tblStylePr w:type="band1Vert">
      <w:tblPr/>
      <w:tcPr>
        <w:shd w:val="clear" w:color="auto" w:fill="FFE2BB" w:themeFill="accent4" w:themeFillTint="7F"/>
      </w:tcPr>
    </w:tblStylePr>
    <w:tblStylePr w:type="band1Horz">
      <w:tblPr/>
      <w:tcPr>
        <w:shd w:val="clear" w:color="auto" w:fill="FFE2BB"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E4D6" w:themeFill="accent5" w:themeFillTint="33"/>
    </w:tcPr>
    <w:tblStylePr w:type="firstRow">
      <w:rPr>
        <w:b/>
        <w:bCs/>
      </w:rPr>
      <w:tblPr/>
      <w:tcPr>
        <w:shd w:val="clear" w:color="auto" w:fill="FFC9AD" w:themeFill="accent5" w:themeFillTint="66"/>
      </w:tcPr>
    </w:tblStylePr>
    <w:tblStylePr w:type="lastRow">
      <w:rPr>
        <w:b/>
        <w:bCs/>
        <w:color w:val="000000" w:themeColor="text1"/>
      </w:rPr>
      <w:tblPr/>
      <w:tcPr>
        <w:shd w:val="clear" w:color="auto" w:fill="FFC9AD" w:themeFill="accent5" w:themeFillTint="66"/>
      </w:tcPr>
    </w:tblStylePr>
    <w:tblStylePr w:type="firstCol">
      <w:rPr>
        <w:color w:val="FFFFFF" w:themeColor="background1"/>
      </w:rPr>
      <w:tblPr/>
      <w:tcPr>
        <w:shd w:val="clear" w:color="auto" w:fill="E54E00" w:themeFill="accent5" w:themeFillShade="BF"/>
      </w:tcPr>
    </w:tblStylePr>
    <w:tblStylePr w:type="lastCol">
      <w:rPr>
        <w:color w:val="FFFFFF" w:themeColor="background1"/>
      </w:rPr>
      <w:tblPr/>
      <w:tcPr>
        <w:shd w:val="clear" w:color="auto" w:fill="E54E00" w:themeFill="accent5" w:themeFillShade="BF"/>
      </w:tcPr>
    </w:tblStylePr>
    <w:tblStylePr w:type="band1Vert">
      <w:tblPr/>
      <w:tcPr>
        <w:shd w:val="clear" w:color="auto" w:fill="FFBC99" w:themeFill="accent5" w:themeFillTint="7F"/>
      </w:tcPr>
    </w:tblStylePr>
    <w:tblStylePr w:type="band1Horz">
      <w:tblPr/>
      <w:tcPr>
        <w:shd w:val="clear" w:color="auto" w:fill="FFBC99"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CD8DB" w:themeFill="accent6" w:themeFillTint="33"/>
    </w:tcPr>
    <w:tblStylePr w:type="firstRow">
      <w:rPr>
        <w:b/>
        <w:bCs/>
      </w:rPr>
      <w:tblPr/>
      <w:tcPr>
        <w:shd w:val="clear" w:color="auto" w:fill="F9B2B8" w:themeFill="accent6" w:themeFillTint="66"/>
      </w:tcPr>
    </w:tblStylePr>
    <w:tblStylePr w:type="lastRow">
      <w:rPr>
        <w:b/>
        <w:bCs/>
        <w:color w:val="000000" w:themeColor="text1"/>
      </w:rPr>
      <w:tblPr/>
      <w:tcPr>
        <w:shd w:val="clear" w:color="auto" w:fill="F9B2B8" w:themeFill="accent6" w:themeFillTint="66"/>
      </w:tcPr>
    </w:tblStylePr>
    <w:tblStylePr w:type="firstCol">
      <w:rPr>
        <w:color w:val="FFFFFF" w:themeColor="background1"/>
      </w:rPr>
      <w:tblPr/>
      <w:tcPr>
        <w:shd w:val="clear" w:color="auto" w:fill="D31020" w:themeFill="accent6" w:themeFillShade="BF"/>
      </w:tcPr>
    </w:tblStylePr>
    <w:tblStylePr w:type="lastCol">
      <w:rPr>
        <w:color w:val="FFFFFF" w:themeColor="background1"/>
      </w:rPr>
      <w:tblPr/>
      <w:tcPr>
        <w:shd w:val="clear" w:color="auto" w:fill="D31020" w:themeFill="accent6" w:themeFillShade="BF"/>
      </w:tcPr>
    </w:tblStylePr>
    <w:tblStylePr w:type="band1Vert">
      <w:tblPr/>
      <w:tcPr>
        <w:shd w:val="clear" w:color="auto" w:fill="F79FA6" w:themeFill="accent6" w:themeFillTint="7F"/>
      </w:tcPr>
    </w:tblStylePr>
    <w:tblStylePr w:type="band1Horz">
      <w:tblPr/>
      <w:tcPr>
        <w:shd w:val="clear" w:color="auto" w:fill="F79FA6"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754F" w:themeFill="accent2" w:themeFillShade="CC"/>
      </w:tcPr>
    </w:tblStylePr>
    <w:tblStylePr w:type="lastRow">
      <w:rPr>
        <w:b/>
        <w:bCs/>
        <w:color w:val="00754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DDF5F3" w:themeFill="accent1" w:themeFillTint="19"/>
    </w:tcPr>
    <w:tblStylePr w:type="firstRow">
      <w:rPr>
        <w:b/>
        <w:bCs/>
        <w:color w:val="FFFFFF" w:themeColor="background1"/>
      </w:rPr>
      <w:tblPr/>
      <w:tcPr>
        <w:tcBorders>
          <w:bottom w:val="single" w:sz="12" w:space="0" w:color="FFFFFF" w:themeColor="background1"/>
        </w:tcBorders>
        <w:shd w:val="clear" w:color="auto" w:fill="00754F" w:themeFill="accent2" w:themeFillShade="CC"/>
      </w:tcPr>
    </w:tblStylePr>
    <w:tblStylePr w:type="lastRow">
      <w:rPr>
        <w:b/>
        <w:bCs/>
        <w:color w:val="00754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E7E1" w:themeFill="accent1" w:themeFillTint="3F"/>
      </w:tcPr>
    </w:tblStylePr>
    <w:tblStylePr w:type="band1Horz">
      <w:tblPr/>
      <w:tcPr>
        <w:shd w:val="clear" w:color="auto" w:fill="BAECE7"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DBFFF3" w:themeFill="accent2" w:themeFillTint="19"/>
    </w:tcPr>
    <w:tblStylePr w:type="firstRow">
      <w:rPr>
        <w:b/>
        <w:bCs/>
        <w:color w:val="FFFFFF" w:themeColor="background1"/>
      </w:rPr>
      <w:tblPr/>
      <w:tcPr>
        <w:tcBorders>
          <w:bottom w:val="single" w:sz="12" w:space="0" w:color="FFFFFF" w:themeColor="background1"/>
        </w:tcBorders>
        <w:shd w:val="clear" w:color="auto" w:fill="00754F" w:themeFill="accent2" w:themeFillShade="CC"/>
      </w:tcPr>
    </w:tblStylePr>
    <w:tblStylePr w:type="lastRow">
      <w:rPr>
        <w:b/>
        <w:bCs/>
        <w:color w:val="00754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E2" w:themeFill="accent2" w:themeFillTint="3F"/>
      </w:tcPr>
    </w:tblStylePr>
    <w:tblStylePr w:type="band1Horz">
      <w:tblPr/>
      <w:tcPr>
        <w:shd w:val="clear" w:color="auto" w:fill="B6FFE7"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EFCEF" w:themeFill="accent3" w:themeFillTint="19"/>
    </w:tcPr>
    <w:tblStylePr w:type="firstRow">
      <w:rPr>
        <w:b/>
        <w:bCs/>
        <w:color w:val="FFFFFF" w:themeColor="background1"/>
      </w:rPr>
      <w:tblPr/>
      <w:tcPr>
        <w:tcBorders>
          <w:bottom w:val="single" w:sz="12" w:space="0" w:color="FFFFFF" w:themeColor="background1"/>
        </w:tcBorders>
        <w:shd w:val="clear" w:color="auto" w:fill="FFA62C" w:themeFill="accent4" w:themeFillShade="CC"/>
      </w:tcPr>
    </w:tblStylePr>
    <w:tblStylePr w:type="lastRow">
      <w:rPr>
        <w:b/>
        <w:bCs/>
        <w:color w:val="FFA6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7D8" w:themeFill="accent3" w:themeFillTint="3F"/>
      </w:tcPr>
    </w:tblStylePr>
    <w:tblStylePr w:type="band1Horz">
      <w:tblPr/>
      <w:tcPr>
        <w:shd w:val="clear" w:color="auto" w:fill="FDF9E0"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FF9F1" w:themeFill="accent4" w:themeFillTint="19"/>
    </w:tcPr>
    <w:tblStylePr w:type="firstRow">
      <w:rPr>
        <w:b/>
        <w:bCs/>
        <w:color w:val="FFFFFF" w:themeColor="background1"/>
      </w:rPr>
      <w:tblPr/>
      <w:tcPr>
        <w:tcBorders>
          <w:bottom w:val="single" w:sz="12" w:space="0" w:color="FFFFFF" w:themeColor="background1"/>
        </w:tcBorders>
        <w:shd w:val="clear" w:color="auto" w:fill="F2D423" w:themeFill="accent3" w:themeFillShade="CC"/>
      </w:tcPr>
    </w:tblStylePr>
    <w:tblStylePr w:type="lastRow">
      <w:rPr>
        <w:b/>
        <w:bCs/>
        <w:color w:val="F2D42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0DD" w:themeFill="accent4" w:themeFillTint="3F"/>
      </w:tcPr>
    </w:tblStylePr>
    <w:tblStylePr w:type="band1Horz">
      <w:tblPr/>
      <w:tcPr>
        <w:shd w:val="clear" w:color="auto" w:fill="FFF3E3"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FF1EB" w:themeFill="accent5" w:themeFillTint="19"/>
    </w:tcPr>
    <w:tblStylePr w:type="firstRow">
      <w:rPr>
        <w:b/>
        <w:bCs/>
        <w:color w:val="FFFFFF" w:themeColor="background1"/>
      </w:rPr>
      <w:tblPr/>
      <w:tcPr>
        <w:tcBorders>
          <w:bottom w:val="single" w:sz="12" w:space="0" w:color="FFFFFF" w:themeColor="background1"/>
        </w:tcBorders>
        <w:shd w:val="clear" w:color="auto" w:fill="E11122" w:themeFill="accent6" w:themeFillShade="CC"/>
      </w:tcPr>
    </w:tblStylePr>
    <w:tblStylePr w:type="lastRow">
      <w:rPr>
        <w:b/>
        <w:bCs/>
        <w:color w:val="E1112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C" w:themeFill="accent5" w:themeFillTint="3F"/>
      </w:tcPr>
    </w:tblStylePr>
    <w:tblStylePr w:type="band1Horz">
      <w:tblPr/>
      <w:tcPr>
        <w:shd w:val="clear" w:color="auto" w:fill="FFE4D6"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DECED" w:themeFill="accent6" w:themeFillTint="19"/>
    </w:tcPr>
    <w:tblStylePr w:type="firstRow">
      <w:rPr>
        <w:b/>
        <w:bCs/>
        <w:color w:val="FFFFFF" w:themeColor="background1"/>
      </w:rPr>
      <w:tblPr/>
      <w:tcPr>
        <w:tcBorders>
          <w:bottom w:val="single" w:sz="12" w:space="0" w:color="FFFFFF" w:themeColor="background1"/>
        </w:tcBorders>
        <w:shd w:val="clear" w:color="auto" w:fill="F55300" w:themeFill="accent5" w:themeFillShade="CC"/>
      </w:tcPr>
    </w:tblStylePr>
    <w:tblStylePr w:type="lastRow">
      <w:rPr>
        <w:b/>
        <w:bCs/>
        <w:color w:val="F55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CFD3" w:themeFill="accent6" w:themeFillTint="3F"/>
      </w:tcPr>
    </w:tblStylePr>
    <w:tblStylePr w:type="band1Horz">
      <w:tblPr/>
      <w:tcPr>
        <w:shd w:val="clear" w:color="auto" w:fill="FCD8DB"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00936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936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009364" w:themeColor="accent2"/>
        <w:left w:val="single" w:sz="4" w:space="0" w:color="103A36" w:themeColor="accent1"/>
        <w:bottom w:val="single" w:sz="4" w:space="0" w:color="103A36" w:themeColor="accent1"/>
        <w:right w:val="single" w:sz="4" w:space="0" w:color="103A36" w:themeColor="accent1"/>
        <w:insideH w:val="single" w:sz="4" w:space="0" w:color="FFFFFF" w:themeColor="background1"/>
        <w:insideV w:val="single" w:sz="4" w:space="0" w:color="FFFFFF" w:themeColor="background1"/>
      </w:tblBorders>
    </w:tblPr>
    <w:tcPr>
      <w:shd w:val="clear" w:color="auto" w:fill="DDF5F3" w:themeFill="accent1" w:themeFillTint="19"/>
    </w:tcPr>
    <w:tblStylePr w:type="firstRow">
      <w:rPr>
        <w:b/>
        <w:bCs/>
      </w:rPr>
      <w:tblPr/>
      <w:tcPr>
        <w:tcBorders>
          <w:top w:val="nil"/>
          <w:left w:val="nil"/>
          <w:bottom w:val="single" w:sz="24" w:space="0" w:color="00936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220" w:themeFill="accent1" w:themeFillShade="99"/>
      </w:tcPr>
    </w:tblStylePr>
    <w:tblStylePr w:type="firstCol">
      <w:rPr>
        <w:color w:val="FFFFFF" w:themeColor="background1"/>
      </w:rPr>
      <w:tblPr/>
      <w:tcPr>
        <w:tcBorders>
          <w:top w:val="nil"/>
          <w:left w:val="nil"/>
          <w:bottom w:val="nil"/>
          <w:right w:val="nil"/>
          <w:insideH w:val="single" w:sz="4" w:space="0" w:color="092220" w:themeColor="accent1" w:themeShade="99"/>
          <w:insideV w:val="nil"/>
        </w:tcBorders>
        <w:shd w:val="clear" w:color="auto" w:fill="09222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2220" w:themeFill="accent1" w:themeFillShade="99"/>
      </w:tcPr>
    </w:tblStylePr>
    <w:tblStylePr w:type="band1Vert">
      <w:tblPr/>
      <w:tcPr>
        <w:shd w:val="clear" w:color="auto" w:fill="76D9CF" w:themeFill="accent1" w:themeFillTint="66"/>
      </w:tcPr>
    </w:tblStylePr>
    <w:tblStylePr w:type="band1Horz">
      <w:tblPr/>
      <w:tcPr>
        <w:shd w:val="clear" w:color="auto" w:fill="54D0C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009364" w:themeColor="accent2"/>
        <w:left w:val="single" w:sz="4" w:space="0" w:color="009364" w:themeColor="accent2"/>
        <w:bottom w:val="single" w:sz="4" w:space="0" w:color="009364" w:themeColor="accent2"/>
        <w:right w:val="single" w:sz="4" w:space="0" w:color="009364" w:themeColor="accent2"/>
        <w:insideH w:val="single" w:sz="4" w:space="0" w:color="FFFFFF" w:themeColor="background1"/>
        <w:insideV w:val="single" w:sz="4" w:space="0" w:color="FFFFFF" w:themeColor="background1"/>
      </w:tblBorders>
    </w:tblPr>
    <w:tcPr>
      <w:shd w:val="clear" w:color="auto" w:fill="DBFFF3" w:themeFill="accent2" w:themeFillTint="19"/>
    </w:tcPr>
    <w:tblStylePr w:type="firstRow">
      <w:rPr>
        <w:b/>
        <w:bCs/>
      </w:rPr>
      <w:tblPr/>
      <w:tcPr>
        <w:tcBorders>
          <w:top w:val="nil"/>
          <w:left w:val="nil"/>
          <w:bottom w:val="single" w:sz="24" w:space="0" w:color="00936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83B" w:themeFill="accent2" w:themeFillShade="99"/>
      </w:tcPr>
    </w:tblStylePr>
    <w:tblStylePr w:type="firstCol">
      <w:rPr>
        <w:color w:val="FFFFFF" w:themeColor="background1"/>
      </w:rPr>
      <w:tblPr/>
      <w:tcPr>
        <w:tcBorders>
          <w:top w:val="nil"/>
          <w:left w:val="nil"/>
          <w:bottom w:val="nil"/>
          <w:right w:val="nil"/>
          <w:insideH w:val="single" w:sz="4" w:space="0" w:color="00583B" w:themeColor="accent2" w:themeShade="99"/>
          <w:insideV w:val="nil"/>
        </w:tcBorders>
        <w:shd w:val="clear" w:color="auto" w:fill="0058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83B" w:themeFill="accent2" w:themeFillShade="99"/>
      </w:tcPr>
    </w:tblStylePr>
    <w:tblStylePr w:type="band1Vert">
      <w:tblPr/>
      <w:tcPr>
        <w:shd w:val="clear" w:color="auto" w:fill="6DFFD0" w:themeFill="accent2" w:themeFillTint="66"/>
      </w:tcPr>
    </w:tblStylePr>
    <w:tblStylePr w:type="band1Horz">
      <w:tblPr/>
      <w:tcPr>
        <w:shd w:val="clear" w:color="auto" w:fill="4AFFC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FC677" w:themeColor="accent4"/>
        <w:left w:val="single" w:sz="4" w:space="0" w:color="F6E265" w:themeColor="accent3"/>
        <w:bottom w:val="single" w:sz="4" w:space="0" w:color="F6E265" w:themeColor="accent3"/>
        <w:right w:val="single" w:sz="4" w:space="0" w:color="F6E265" w:themeColor="accent3"/>
        <w:insideH w:val="single" w:sz="4" w:space="0" w:color="FFFFFF" w:themeColor="background1"/>
        <w:insideV w:val="single" w:sz="4" w:space="0" w:color="FFFFFF" w:themeColor="background1"/>
      </w:tblBorders>
    </w:tblPr>
    <w:tcPr>
      <w:shd w:val="clear" w:color="auto" w:fill="FEFCEF" w:themeFill="accent3" w:themeFillTint="19"/>
    </w:tcPr>
    <w:tblStylePr w:type="firstRow">
      <w:rPr>
        <w:b/>
        <w:bCs/>
      </w:rPr>
      <w:tblPr/>
      <w:tcPr>
        <w:tcBorders>
          <w:top w:val="nil"/>
          <w:left w:val="nil"/>
          <w:bottom w:val="single" w:sz="24" w:space="0" w:color="FFC67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4AA0B" w:themeFill="accent3" w:themeFillShade="99"/>
      </w:tcPr>
    </w:tblStylePr>
    <w:tblStylePr w:type="firstCol">
      <w:rPr>
        <w:color w:val="FFFFFF" w:themeColor="background1"/>
      </w:rPr>
      <w:tblPr/>
      <w:tcPr>
        <w:tcBorders>
          <w:top w:val="nil"/>
          <w:left w:val="nil"/>
          <w:bottom w:val="nil"/>
          <w:right w:val="nil"/>
          <w:insideH w:val="single" w:sz="4" w:space="0" w:color="C4AA0B" w:themeColor="accent3" w:themeShade="99"/>
          <w:insideV w:val="nil"/>
        </w:tcBorders>
        <w:shd w:val="clear" w:color="auto" w:fill="C4AA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4AA0B" w:themeFill="accent3" w:themeFillShade="99"/>
      </w:tcPr>
    </w:tblStylePr>
    <w:tblStylePr w:type="band1Vert">
      <w:tblPr/>
      <w:tcPr>
        <w:shd w:val="clear" w:color="auto" w:fill="FBF3C1" w:themeFill="accent3" w:themeFillTint="66"/>
      </w:tcPr>
    </w:tblStylePr>
    <w:tblStylePr w:type="band1Horz">
      <w:tblPr/>
      <w:tcPr>
        <w:shd w:val="clear" w:color="auto" w:fill="FAF0B2"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F6E265" w:themeColor="accent3"/>
        <w:left w:val="single" w:sz="4" w:space="0" w:color="FFC677" w:themeColor="accent4"/>
        <w:bottom w:val="single" w:sz="4" w:space="0" w:color="FFC677" w:themeColor="accent4"/>
        <w:right w:val="single" w:sz="4" w:space="0" w:color="FFC677" w:themeColor="accent4"/>
        <w:insideH w:val="single" w:sz="4" w:space="0" w:color="FFFFFF" w:themeColor="background1"/>
        <w:insideV w:val="single" w:sz="4" w:space="0" w:color="FFFFFF" w:themeColor="background1"/>
      </w:tblBorders>
    </w:tblPr>
    <w:tcPr>
      <w:shd w:val="clear" w:color="auto" w:fill="FFF9F1" w:themeFill="accent4" w:themeFillTint="19"/>
    </w:tcPr>
    <w:tblStylePr w:type="firstRow">
      <w:rPr>
        <w:b/>
        <w:bCs/>
      </w:rPr>
      <w:tblPr/>
      <w:tcPr>
        <w:tcBorders>
          <w:top w:val="nil"/>
          <w:left w:val="nil"/>
          <w:bottom w:val="single" w:sz="24" w:space="0" w:color="F6E26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08200" w:themeFill="accent4" w:themeFillShade="99"/>
      </w:tcPr>
    </w:tblStylePr>
    <w:tblStylePr w:type="firstCol">
      <w:rPr>
        <w:color w:val="FFFFFF" w:themeColor="background1"/>
      </w:rPr>
      <w:tblPr/>
      <w:tcPr>
        <w:tcBorders>
          <w:top w:val="nil"/>
          <w:left w:val="nil"/>
          <w:bottom w:val="nil"/>
          <w:right w:val="nil"/>
          <w:insideH w:val="single" w:sz="4" w:space="0" w:color="E08200" w:themeColor="accent4" w:themeShade="99"/>
          <w:insideV w:val="nil"/>
        </w:tcBorders>
        <w:shd w:val="clear" w:color="auto" w:fill="E082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E08200" w:themeFill="accent4" w:themeFillShade="99"/>
      </w:tcPr>
    </w:tblStylePr>
    <w:tblStylePr w:type="band1Vert">
      <w:tblPr/>
      <w:tcPr>
        <w:shd w:val="clear" w:color="auto" w:fill="FFE8C8" w:themeFill="accent4" w:themeFillTint="66"/>
      </w:tcPr>
    </w:tblStylePr>
    <w:tblStylePr w:type="band1Horz">
      <w:tblPr/>
      <w:tcPr>
        <w:shd w:val="clear" w:color="auto" w:fill="FFE2B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F0404F" w:themeColor="accent6"/>
        <w:left w:val="single" w:sz="4" w:space="0" w:color="FF7A34" w:themeColor="accent5"/>
        <w:bottom w:val="single" w:sz="4" w:space="0" w:color="FF7A34" w:themeColor="accent5"/>
        <w:right w:val="single" w:sz="4" w:space="0" w:color="FF7A34" w:themeColor="accent5"/>
        <w:insideH w:val="single" w:sz="4" w:space="0" w:color="FFFFFF" w:themeColor="background1"/>
        <w:insideV w:val="single" w:sz="4" w:space="0" w:color="FFFFFF" w:themeColor="background1"/>
      </w:tblBorders>
    </w:tblPr>
    <w:tcPr>
      <w:shd w:val="clear" w:color="auto" w:fill="FFF1EB" w:themeFill="accent5" w:themeFillTint="19"/>
    </w:tcPr>
    <w:tblStylePr w:type="firstRow">
      <w:rPr>
        <w:b/>
        <w:bCs/>
      </w:rPr>
      <w:tblPr/>
      <w:tcPr>
        <w:tcBorders>
          <w:top w:val="nil"/>
          <w:left w:val="nil"/>
          <w:bottom w:val="single" w:sz="24" w:space="0" w:color="F0404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83E00" w:themeFill="accent5" w:themeFillShade="99"/>
      </w:tcPr>
    </w:tblStylePr>
    <w:tblStylePr w:type="firstCol">
      <w:rPr>
        <w:color w:val="FFFFFF" w:themeColor="background1"/>
      </w:rPr>
      <w:tblPr/>
      <w:tcPr>
        <w:tcBorders>
          <w:top w:val="nil"/>
          <w:left w:val="nil"/>
          <w:bottom w:val="nil"/>
          <w:right w:val="nil"/>
          <w:insideH w:val="single" w:sz="4" w:space="0" w:color="B83E00" w:themeColor="accent5" w:themeShade="99"/>
          <w:insideV w:val="nil"/>
        </w:tcBorders>
        <w:shd w:val="clear" w:color="auto" w:fill="B83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83E00" w:themeFill="accent5" w:themeFillShade="99"/>
      </w:tcPr>
    </w:tblStylePr>
    <w:tblStylePr w:type="band1Vert">
      <w:tblPr/>
      <w:tcPr>
        <w:shd w:val="clear" w:color="auto" w:fill="FFC9AD" w:themeFill="accent5" w:themeFillTint="66"/>
      </w:tcPr>
    </w:tblStylePr>
    <w:tblStylePr w:type="band1Horz">
      <w:tblPr/>
      <w:tcPr>
        <w:shd w:val="clear" w:color="auto" w:fill="FFBC99"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FF7A34" w:themeColor="accent5"/>
        <w:left w:val="single" w:sz="4" w:space="0" w:color="F0404F" w:themeColor="accent6"/>
        <w:bottom w:val="single" w:sz="4" w:space="0" w:color="F0404F" w:themeColor="accent6"/>
        <w:right w:val="single" w:sz="4" w:space="0" w:color="F0404F" w:themeColor="accent6"/>
        <w:insideH w:val="single" w:sz="4" w:space="0" w:color="FFFFFF" w:themeColor="background1"/>
        <w:insideV w:val="single" w:sz="4" w:space="0" w:color="FFFFFF" w:themeColor="background1"/>
      </w:tblBorders>
    </w:tblPr>
    <w:tcPr>
      <w:shd w:val="clear" w:color="auto" w:fill="FDECED" w:themeFill="accent6" w:themeFillTint="19"/>
    </w:tcPr>
    <w:tblStylePr w:type="firstRow">
      <w:rPr>
        <w:b/>
        <w:bCs/>
      </w:rPr>
      <w:tblPr/>
      <w:tcPr>
        <w:tcBorders>
          <w:top w:val="nil"/>
          <w:left w:val="nil"/>
          <w:bottom w:val="single" w:sz="24" w:space="0" w:color="FF7A3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90D1A" w:themeFill="accent6" w:themeFillShade="99"/>
      </w:tcPr>
    </w:tblStylePr>
    <w:tblStylePr w:type="firstCol">
      <w:rPr>
        <w:color w:val="FFFFFF" w:themeColor="background1"/>
      </w:rPr>
      <w:tblPr/>
      <w:tcPr>
        <w:tcBorders>
          <w:top w:val="nil"/>
          <w:left w:val="nil"/>
          <w:bottom w:val="nil"/>
          <w:right w:val="nil"/>
          <w:insideH w:val="single" w:sz="4" w:space="0" w:color="A90D1A" w:themeColor="accent6" w:themeShade="99"/>
          <w:insideV w:val="nil"/>
        </w:tcBorders>
        <w:shd w:val="clear" w:color="auto" w:fill="A90D1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90D1A" w:themeFill="accent6" w:themeFillShade="99"/>
      </w:tcPr>
    </w:tblStylePr>
    <w:tblStylePr w:type="band1Vert">
      <w:tblPr/>
      <w:tcPr>
        <w:shd w:val="clear" w:color="auto" w:fill="F9B2B8" w:themeFill="accent6" w:themeFillTint="66"/>
      </w:tcPr>
    </w:tblStylePr>
    <w:tblStylePr w:type="band1Horz">
      <w:tblPr/>
      <w:tcPr>
        <w:shd w:val="clear" w:color="auto" w:fill="F79F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103A3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1C1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C2B2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C2B28" w:themeFill="accent1" w:themeFillShade="BF"/>
      </w:tcPr>
    </w:tblStylePr>
    <w:tblStylePr w:type="band1Vert">
      <w:tblPr/>
      <w:tcPr>
        <w:tcBorders>
          <w:top w:val="nil"/>
          <w:left w:val="nil"/>
          <w:bottom w:val="nil"/>
          <w:right w:val="nil"/>
          <w:insideH w:val="nil"/>
          <w:insideV w:val="nil"/>
        </w:tcBorders>
        <w:shd w:val="clear" w:color="auto" w:fill="0C2B28" w:themeFill="accent1" w:themeFillShade="BF"/>
      </w:tcPr>
    </w:tblStylePr>
    <w:tblStylePr w:type="band1Horz">
      <w:tblPr/>
      <w:tcPr>
        <w:tcBorders>
          <w:top w:val="nil"/>
          <w:left w:val="nil"/>
          <w:bottom w:val="nil"/>
          <w:right w:val="nil"/>
          <w:insideH w:val="nil"/>
          <w:insideV w:val="nil"/>
        </w:tcBorders>
        <w:shd w:val="clear" w:color="auto" w:fill="0C2B28"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00936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9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E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E4A" w:themeFill="accent2" w:themeFillShade="BF"/>
      </w:tcPr>
    </w:tblStylePr>
    <w:tblStylePr w:type="band1Vert">
      <w:tblPr/>
      <w:tcPr>
        <w:tcBorders>
          <w:top w:val="nil"/>
          <w:left w:val="nil"/>
          <w:bottom w:val="nil"/>
          <w:right w:val="nil"/>
          <w:insideH w:val="nil"/>
          <w:insideV w:val="nil"/>
        </w:tcBorders>
        <w:shd w:val="clear" w:color="auto" w:fill="006E4A" w:themeFill="accent2" w:themeFillShade="BF"/>
      </w:tcPr>
    </w:tblStylePr>
    <w:tblStylePr w:type="band1Horz">
      <w:tblPr/>
      <w:tcPr>
        <w:tcBorders>
          <w:top w:val="nil"/>
          <w:left w:val="nil"/>
          <w:bottom w:val="nil"/>
          <w:right w:val="nil"/>
          <w:insideH w:val="nil"/>
          <w:insideV w:val="nil"/>
        </w:tcBorders>
        <w:shd w:val="clear" w:color="auto" w:fill="006E4A"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F6E26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38D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F1D11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F1D112" w:themeFill="accent3" w:themeFillShade="BF"/>
      </w:tcPr>
    </w:tblStylePr>
    <w:tblStylePr w:type="band1Vert">
      <w:tblPr/>
      <w:tcPr>
        <w:tcBorders>
          <w:top w:val="nil"/>
          <w:left w:val="nil"/>
          <w:bottom w:val="nil"/>
          <w:right w:val="nil"/>
          <w:insideH w:val="nil"/>
          <w:insideV w:val="nil"/>
        </w:tcBorders>
        <w:shd w:val="clear" w:color="auto" w:fill="F1D112" w:themeFill="accent3" w:themeFillShade="BF"/>
      </w:tcPr>
    </w:tblStylePr>
    <w:tblStylePr w:type="band1Horz">
      <w:tblPr/>
      <w:tcPr>
        <w:tcBorders>
          <w:top w:val="nil"/>
          <w:left w:val="nil"/>
          <w:bottom w:val="nil"/>
          <w:right w:val="nil"/>
          <w:insideH w:val="nil"/>
          <w:insideV w:val="nil"/>
        </w:tcBorders>
        <w:shd w:val="clear" w:color="auto" w:fill="F1D112"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FC67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A6B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9E1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9E19" w:themeFill="accent4" w:themeFillShade="BF"/>
      </w:tcPr>
    </w:tblStylePr>
    <w:tblStylePr w:type="band1Vert">
      <w:tblPr/>
      <w:tcPr>
        <w:tcBorders>
          <w:top w:val="nil"/>
          <w:left w:val="nil"/>
          <w:bottom w:val="nil"/>
          <w:right w:val="nil"/>
          <w:insideH w:val="nil"/>
          <w:insideV w:val="nil"/>
        </w:tcBorders>
        <w:shd w:val="clear" w:color="auto" w:fill="FF9E19" w:themeFill="accent4" w:themeFillShade="BF"/>
      </w:tcPr>
    </w:tblStylePr>
    <w:tblStylePr w:type="band1Horz">
      <w:tblPr/>
      <w:tcPr>
        <w:tcBorders>
          <w:top w:val="nil"/>
          <w:left w:val="nil"/>
          <w:bottom w:val="nil"/>
          <w:right w:val="nil"/>
          <w:insideH w:val="nil"/>
          <w:insideV w:val="nil"/>
        </w:tcBorders>
        <w:shd w:val="clear" w:color="auto" w:fill="FF9E19"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FF7A3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34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54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54E00" w:themeFill="accent5" w:themeFillShade="BF"/>
      </w:tcPr>
    </w:tblStylePr>
    <w:tblStylePr w:type="band1Vert">
      <w:tblPr/>
      <w:tcPr>
        <w:tcBorders>
          <w:top w:val="nil"/>
          <w:left w:val="nil"/>
          <w:bottom w:val="nil"/>
          <w:right w:val="nil"/>
          <w:insideH w:val="nil"/>
          <w:insideV w:val="nil"/>
        </w:tcBorders>
        <w:shd w:val="clear" w:color="auto" w:fill="E54E00" w:themeFill="accent5" w:themeFillShade="BF"/>
      </w:tcPr>
    </w:tblStylePr>
    <w:tblStylePr w:type="band1Horz">
      <w:tblPr/>
      <w:tcPr>
        <w:tcBorders>
          <w:top w:val="nil"/>
          <w:left w:val="nil"/>
          <w:bottom w:val="nil"/>
          <w:right w:val="nil"/>
          <w:insideH w:val="nil"/>
          <w:insideV w:val="nil"/>
        </w:tcBorders>
        <w:shd w:val="clear" w:color="auto" w:fill="E54E00"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F0404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C0B1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102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1020" w:themeFill="accent6" w:themeFillShade="BF"/>
      </w:tcPr>
    </w:tblStylePr>
    <w:tblStylePr w:type="band1Vert">
      <w:tblPr/>
      <w:tcPr>
        <w:tcBorders>
          <w:top w:val="nil"/>
          <w:left w:val="nil"/>
          <w:bottom w:val="nil"/>
          <w:right w:val="nil"/>
          <w:insideH w:val="nil"/>
          <w:insideV w:val="nil"/>
        </w:tcBorders>
        <w:shd w:val="clear" w:color="auto" w:fill="D31020" w:themeFill="accent6" w:themeFillShade="BF"/>
      </w:tcPr>
    </w:tblStylePr>
    <w:tblStylePr w:type="band1Horz">
      <w:tblPr/>
      <w:tcPr>
        <w:tcBorders>
          <w:top w:val="nil"/>
          <w:left w:val="nil"/>
          <w:bottom w:val="nil"/>
          <w:right w:val="nil"/>
          <w:insideH w:val="nil"/>
          <w:insideV w:val="nil"/>
        </w:tcBorders>
        <w:shd w:val="clear" w:color="auto" w:fill="D31020"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76D9CF" w:themeColor="accent1" w:themeTint="66"/>
        <w:left w:val="single" w:sz="4" w:space="0" w:color="76D9CF" w:themeColor="accent1" w:themeTint="66"/>
        <w:bottom w:val="single" w:sz="4" w:space="0" w:color="76D9CF" w:themeColor="accent1" w:themeTint="66"/>
        <w:right w:val="single" w:sz="4" w:space="0" w:color="76D9CF" w:themeColor="accent1" w:themeTint="66"/>
        <w:insideH w:val="single" w:sz="4" w:space="0" w:color="76D9CF" w:themeColor="accent1" w:themeTint="66"/>
        <w:insideV w:val="single" w:sz="4" w:space="0" w:color="76D9CF" w:themeColor="accent1" w:themeTint="66"/>
      </w:tblBorders>
    </w:tblPr>
    <w:tblStylePr w:type="firstRow">
      <w:rPr>
        <w:b/>
        <w:bCs/>
      </w:rPr>
      <w:tblPr/>
      <w:tcPr>
        <w:tcBorders>
          <w:bottom w:val="single" w:sz="12" w:space="0" w:color="35C2B4" w:themeColor="accent1" w:themeTint="99"/>
        </w:tcBorders>
      </w:tcPr>
    </w:tblStylePr>
    <w:tblStylePr w:type="lastRow">
      <w:rPr>
        <w:b/>
        <w:bCs/>
      </w:rPr>
      <w:tblPr/>
      <w:tcPr>
        <w:tcBorders>
          <w:top w:val="double" w:sz="2" w:space="0" w:color="35C2B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6DFFD0" w:themeColor="accent2" w:themeTint="66"/>
        <w:left w:val="single" w:sz="4" w:space="0" w:color="6DFFD0" w:themeColor="accent2" w:themeTint="66"/>
        <w:bottom w:val="single" w:sz="4" w:space="0" w:color="6DFFD0" w:themeColor="accent2" w:themeTint="66"/>
        <w:right w:val="single" w:sz="4" w:space="0" w:color="6DFFD0" w:themeColor="accent2" w:themeTint="66"/>
        <w:insideH w:val="single" w:sz="4" w:space="0" w:color="6DFFD0" w:themeColor="accent2" w:themeTint="66"/>
        <w:insideV w:val="single" w:sz="4" w:space="0" w:color="6DFFD0" w:themeColor="accent2" w:themeTint="66"/>
      </w:tblBorders>
    </w:tblPr>
    <w:tblStylePr w:type="firstRow">
      <w:rPr>
        <w:b/>
        <w:bCs/>
      </w:rPr>
      <w:tblPr/>
      <w:tcPr>
        <w:tcBorders>
          <w:bottom w:val="single" w:sz="12" w:space="0" w:color="25FFB8" w:themeColor="accent2" w:themeTint="99"/>
        </w:tcBorders>
      </w:tcPr>
    </w:tblStylePr>
    <w:tblStylePr w:type="lastRow">
      <w:rPr>
        <w:b/>
        <w:bCs/>
      </w:rPr>
      <w:tblPr/>
      <w:tcPr>
        <w:tcBorders>
          <w:top w:val="double" w:sz="2" w:space="0" w:color="25FFB8"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BF3C1" w:themeColor="accent3" w:themeTint="66"/>
        <w:left w:val="single" w:sz="4" w:space="0" w:color="FBF3C1" w:themeColor="accent3" w:themeTint="66"/>
        <w:bottom w:val="single" w:sz="4" w:space="0" w:color="FBF3C1" w:themeColor="accent3" w:themeTint="66"/>
        <w:right w:val="single" w:sz="4" w:space="0" w:color="FBF3C1" w:themeColor="accent3" w:themeTint="66"/>
        <w:insideH w:val="single" w:sz="4" w:space="0" w:color="FBF3C1" w:themeColor="accent3" w:themeTint="66"/>
        <w:insideV w:val="single" w:sz="4" w:space="0" w:color="FBF3C1" w:themeColor="accent3" w:themeTint="66"/>
      </w:tblBorders>
    </w:tblPr>
    <w:tblStylePr w:type="firstRow">
      <w:rPr>
        <w:b/>
        <w:bCs/>
      </w:rPr>
      <w:tblPr/>
      <w:tcPr>
        <w:tcBorders>
          <w:bottom w:val="single" w:sz="12" w:space="0" w:color="F9EDA2" w:themeColor="accent3" w:themeTint="99"/>
        </w:tcBorders>
      </w:tcPr>
    </w:tblStylePr>
    <w:tblStylePr w:type="lastRow">
      <w:rPr>
        <w:b/>
        <w:bCs/>
      </w:rPr>
      <w:tblPr/>
      <w:tcPr>
        <w:tcBorders>
          <w:top w:val="double" w:sz="2" w:space="0" w:color="F9EDA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FE8C8" w:themeColor="accent4" w:themeTint="66"/>
        <w:left w:val="single" w:sz="4" w:space="0" w:color="FFE8C8" w:themeColor="accent4" w:themeTint="66"/>
        <w:bottom w:val="single" w:sz="4" w:space="0" w:color="FFE8C8" w:themeColor="accent4" w:themeTint="66"/>
        <w:right w:val="single" w:sz="4" w:space="0" w:color="FFE8C8" w:themeColor="accent4" w:themeTint="66"/>
        <w:insideH w:val="single" w:sz="4" w:space="0" w:color="FFE8C8" w:themeColor="accent4" w:themeTint="66"/>
        <w:insideV w:val="single" w:sz="4" w:space="0" w:color="FFE8C8" w:themeColor="accent4" w:themeTint="66"/>
      </w:tblBorders>
    </w:tblPr>
    <w:tblStylePr w:type="firstRow">
      <w:rPr>
        <w:b/>
        <w:bCs/>
      </w:rPr>
      <w:tblPr/>
      <w:tcPr>
        <w:tcBorders>
          <w:bottom w:val="single" w:sz="12" w:space="0" w:color="FFDCAD" w:themeColor="accent4" w:themeTint="99"/>
        </w:tcBorders>
      </w:tcPr>
    </w:tblStylePr>
    <w:tblStylePr w:type="lastRow">
      <w:rPr>
        <w:b/>
        <w:bCs/>
      </w:rPr>
      <w:tblPr/>
      <w:tcPr>
        <w:tcBorders>
          <w:top w:val="double" w:sz="2" w:space="0" w:color="FFDCAD"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FFC9AD" w:themeColor="accent5" w:themeTint="66"/>
        <w:left w:val="single" w:sz="4" w:space="0" w:color="FFC9AD" w:themeColor="accent5" w:themeTint="66"/>
        <w:bottom w:val="single" w:sz="4" w:space="0" w:color="FFC9AD" w:themeColor="accent5" w:themeTint="66"/>
        <w:right w:val="single" w:sz="4" w:space="0" w:color="FFC9AD" w:themeColor="accent5" w:themeTint="66"/>
        <w:insideH w:val="single" w:sz="4" w:space="0" w:color="FFC9AD" w:themeColor="accent5" w:themeTint="66"/>
        <w:insideV w:val="single" w:sz="4" w:space="0" w:color="FFC9AD" w:themeColor="accent5" w:themeTint="66"/>
      </w:tblBorders>
    </w:tblPr>
    <w:tblStylePr w:type="firstRow">
      <w:rPr>
        <w:b/>
        <w:bCs/>
      </w:rPr>
      <w:tblPr/>
      <w:tcPr>
        <w:tcBorders>
          <w:bottom w:val="single" w:sz="12" w:space="0" w:color="FFAE85" w:themeColor="accent5" w:themeTint="99"/>
        </w:tcBorders>
      </w:tcPr>
    </w:tblStylePr>
    <w:tblStylePr w:type="lastRow">
      <w:rPr>
        <w:b/>
        <w:bCs/>
      </w:rPr>
      <w:tblPr/>
      <w:tcPr>
        <w:tcBorders>
          <w:top w:val="double" w:sz="2" w:space="0" w:color="FFAE8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F9B2B8" w:themeColor="accent6" w:themeTint="66"/>
        <w:left w:val="single" w:sz="4" w:space="0" w:color="F9B2B8" w:themeColor="accent6" w:themeTint="66"/>
        <w:bottom w:val="single" w:sz="4" w:space="0" w:color="F9B2B8" w:themeColor="accent6" w:themeTint="66"/>
        <w:right w:val="single" w:sz="4" w:space="0" w:color="F9B2B8" w:themeColor="accent6" w:themeTint="66"/>
        <w:insideH w:val="single" w:sz="4" w:space="0" w:color="F9B2B8" w:themeColor="accent6" w:themeTint="66"/>
        <w:insideV w:val="single" w:sz="4" w:space="0" w:color="F9B2B8" w:themeColor="accent6" w:themeTint="66"/>
      </w:tblBorders>
    </w:tblPr>
    <w:tblStylePr w:type="firstRow">
      <w:rPr>
        <w:b/>
        <w:bCs/>
      </w:rPr>
      <w:tblPr/>
      <w:tcPr>
        <w:tcBorders>
          <w:bottom w:val="single" w:sz="12" w:space="0" w:color="F68C95" w:themeColor="accent6" w:themeTint="99"/>
        </w:tcBorders>
      </w:tcPr>
    </w:tblStylePr>
    <w:tblStylePr w:type="lastRow">
      <w:rPr>
        <w:b/>
        <w:bCs/>
      </w:rPr>
      <w:tblPr/>
      <w:tcPr>
        <w:tcBorders>
          <w:top w:val="double" w:sz="2" w:space="0" w:color="F68C95"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35C2B4" w:themeColor="accent1" w:themeTint="99"/>
        <w:bottom w:val="single" w:sz="2" w:space="0" w:color="35C2B4" w:themeColor="accent1" w:themeTint="99"/>
        <w:insideH w:val="single" w:sz="2" w:space="0" w:color="35C2B4" w:themeColor="accent1" w:themeTint="99"/>
        <w:insideV w:val="single" w:sz="2" w:space="0" w:color="35C2B4" w:themeColor="accent1" w:themeTint="99"/>
      </w:tblBorders>
    </w:tblPr>
    <w:tblStylePr w:type="firstRow">
      <w:rPr>
        <w:b/>
        <w:bCs/>
      </w:rPr>
      <w:tblPr/>
      <w:tcPr>
        <w:tcBorders>
          <w:top w:val="nil"/>
          <w:bottom w:val="single" w:sz="12" w:space="0" w:color="35C2B4" w:themeColor="accent1" w:themeTint="99"/>
          <w:insideH w:val="nil"/>
          <w:insideV w:val="nil"/>
        </w:tcBorders>
        <w:shd w:val="clear" w:color="auto" w:fill="FFFFFF" w:themeFill="background1"/>
      </w:tcPr>
    </w:tblStylePr>
    <w:tblStylePr w:type="lastRow">
      <w:rPr>
        <w:b/>
        <w:bCs/>
      </w:rPr>
      <w:tblPr/>
      <w:tcPr>
        <w:tcBorders>
          <w:top w:val="double" w:sz="2" w:space="0" w:color="35C2B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25FFB8" w:themeColor="accent2" w:themeTint="99"/>
        <w:bottom w:val="single" w:sz="2" w:space="0" w:color="25FFB8" w:themeColor="accent2" w:themeTint="99"/>
        <w:insideH w:val="single" w:sz="2" w:space="0" w:color="25FFB8" w:themeColor="accent2" w:themeTint="99"/>
        <w:insideV w:val="single" w:sz="2" w:space="0" w:color="25FFB8" w:themeColor="accent2" w:themeTint="99"/>
      </w:tblBorders>
    </w:tblPr>
    <w:tblStylePr w:type="firstRow">
      <w:rPr>
        <w:b/>
        <w:bCs/>
      </w:rPr>
      <w:tblPr/>
      <w:tcPr>
        <w:tcBorders>
          <w:top w:val="nil"/>
          <w:bottom w:val="single" w:sz="12" w:space="0" w:color="25FFB8" w:themeColor="accent2" w:themeTint="99"/>
          <w:insideH w:val="nil"/>
          <w:insideV w:val="nil"/>
        </w:tcBorders>
        <w:shd w:val="clear" w:color="auto" w:fill="FFFFFF" w:themeFill="background1"/>
      </w:tcPr>
    </w:tblStylePr>
    <w:tblStylePr w:type="lastRow">
      <w:rPr>
        <w:b/>
        <w:bCs/>
      </w:rPr>
      <w:tblPr/>
      <w:tcPr>
        <w:tcBorders>
          <w:top w:val="double" w:sz="2" w:space="0" w:color="25FF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9EDA2" w:themeColor="accent3" w:themeTint="99"/>
        <w:bottom w:val="single" w:sz="2" w:space="0" w:color="F9EDA2" w:themeColor="accent3" w:themeTint="99"/>
        <w:insideH w:val="single" w:sz="2" w:space="0" w:color="F9EDA2" w:themeColor="accent3" w:themeTint="99"/>
        <w:insideV w:val="single" w:sz="2" w:space="0" w:color="F9EDA2" w:themeColor="accent3" w:themeTint="99"/>
      </w:tblBorders>
    </w:tblPr>
    <w:tblStylePr w:type="firstRow">
      <w:rPr>
        <w:b/>
        <w:bCs/>
      </w:rPr>
      <w:tblPr/>
      <w:tcPr>
        <w:tcBorders>
          <w:top w:val="nil"/>
          <w:bottom w:val="single" w:sz="12" w:space="0" w:color="F9EDA2" w:themeColor="accent3" w:themeTint="99"/>
          <w:insideH w:val="nil"/>
          <w:insideV w:val="nil"/>
        </w:tcBorders>
        <w:shd w:val="clear" w:color="auto" w:fill="FFFFFF" w:themeFill="background1"/>
      </w:tcPr>
    </w:tblStylePr>
    <w:tblStylePr w:type="lastRow">
      <w:rPr>
        <w:b/>
        <w:bCs/>
      </w:rPr>
      <w:tblPr/>
      <w:tcPr>
        <w:tcBorders>
          <w:top w:val="double" w:sz="2" w:space="0" w:color="F9EDA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FDCAD" w:themeColor="accent4" w:themeTint="99"/>
        <w:bottom w:val="single" w:sz="2" w:space="0" w:color="FFDCAD" w:themeColor="accent4" w:themeTint="99"/>
        <w:insideH w:val="single" w:sz="2" w:space="0" w:color="FFDCAD" w:themeColor="accent4" w:themeTint="99"/>
        <w:insideV w:val="single" w:sz="2" w:space="0" w:color="FFDCAD" w:themeColor="accent4" w:themeTint="99"/>
      </w:tblBorders>
    </w:tblPr>
    <w:tblStylePr w:type="firstRow">
      <w:rPr>
        <w:b/>
        <w:bCs/>
      </w:rPr>
      <w:tblPr/>
      <w:tcPr>
        <w:tcBorders>
          <w:top w:val="nil"/>
          <w:bottom w:val="single" w:sz="12" w:space="0" w:color="FFDCAD" w:themeColor="accent4" w:themeTint="99"/>
          <w:insideH w:val="nil"/>
          <w:insideV w:val="nil"/>
        </w:tcBorders>
        <w:shd w:val="clear" w:color="auto" w:fill="FFFFFF" w:themeFill="background1"/>
      </w:tcPr>
    </w:tblStylePr>
    <w:tblStylePr w:type="lastRow">
      <w:rPr>
        <w:b/>
        <w:bCs/>
      </w:rPr>
      <w:tblPr/>
      <w:tcPr>
        <w:tcBorders>
          <w:top w:val="double" w:sz="2" w:space="0" w:color="FFDCA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FFAE85" w:themeColor="accent5" w:themeTint="99"/>
        <w:bottom w:val="single" w:sz="2" w:space="0" w:color="FFAE85" w:themeColor="accent5" w:themeTint="99"/>
        <w:insideH w:val="single" w:sz="2" w:space="0" w:color="FFAE85" w:themeColor="accent5" w:themeTint="99"/>
        <w:insideV w:val="single" w:sz="2" w:space="0" w:color="FFAE85" w:themeColor="accent5" w:themeTint="99"/>
      </w:tblBorders>
    </w:tblPr>
    <w:tblStylePr w:type="firstRow">
      <w:rPr>
        <w:b/>
        <w:bCs/>
      </w:rPr>
      <w:tblPr/>
      <w:tcPr>
        <w:tcBorders>
          <w:top w:val="nil"/>
          <w:bottom w:val="single" w:sz="12" w:space="0" w:color="FFAE85" w:themeColor="accent5" w:themeTint="99"/>
          <w:insideH w:val="nil"/>
          <w:insideV w:val="nil"/>
        </w:tcBorders>
        <w:shd w:val="clear" w:color="auto" w:fill="FFFFFF" w:themeFill="background1"/>
      </w:tcPr>
    </w:tblStylePr>
    <w:tblStylePr w:type="lastRow">
      <w:rPr>
        <w:b/>
        <w:bCs/>
      </w:rPr>
      <w:tblPr/>
      <w:tcPr>
        <w:tcBorders>
          <w:top w:val="double" w:sz="2" w:space="0" w:color="FFAE8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F68C95" w:themeColor="accent6" w:themeTint="99"/>
        <w:bottom w:val="single" w:sz="2" w:space="0" w:color="F68C95" w:themeColor="accent6" w:themeTint="99"/>
        <w:insideH w:val="single" w:sz="2" w:space="0" w:color="F68C95" w:themeColor="accent6" w:themeTint="99"/>
        <w:insideV w:val="single" w:sz="2" w:space="0" w:color="F68C95" w:themeColor="accent6" w:themeTint="99"/>
      </w:tblBorders>
    </w:tblPr>
    <w:tblStylePr w:type="firstRow">
      <w:rPr>
        <w:b/>
        <w:bCs/>
      </w:rPr>
      <w:tblPr/>
      <w:tcPr>
        <w:tcBorders>
          <w:top w:val="nil"/>
          <w:bottom w:val="single" w:sz="12" w:space="0" w:color="F68C95" w:themeColor="accent6" w:themeTint="99"/>
          <w:insideH w:val="nil"/>
          <w:insideV w:val="nil"/>
        </w:tcBorders>
        <w:shd w:val="clear" w:color="auto" w:fill="FFFFFF" w:themeFill="background1"/>
      </w:tcPr>
    </w:tblStylePr>
    <w:tblStylePr w:type="lastRow">
      <w:rPr>
        <w:b/>
        <w:bCs/>
      </w:rPr>
      <w:tblPr/>
      <w:tcPr>
        <w:tcBorders>
          <w:top w:val="double" w:sz="2" w:space="0" w:color="F68C9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35C2B4" w:themeColor="accent1" w:themeTint="99"/>
        <w:left w:val="single" w:sz="4" w:space="0" w:color="35C2B4" w:themeColor="accent1" w:themeTint="99"/>
        <w:bottom w:val="single" w:sz="4" w:space="0" w:color="35C2B4" w:themeColor="accent1" w:themeTint="99"/>
        <w:right w:val="single" w:sz="4" w:space="0" w:color="35C2B4" w:themeColor="accent1" w:themeTint="99"/>
        <w:insideH w:val="single" w:sz="4" w:space="0" w:color="35C2B4" w:themeColor="accent1" w:themeTint="99"/>
        <w:insideV w:val="single" w:sz="4" w:space="0" w:color="35C2B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ECE7" w:themeFill="accent1" w:themeFillTint="33"/>
      </w:tcPr>
    </w:tblStylePr>
    <w:tblStylePr w:type="band1Horz">
      <w:tblPr/>
      <w:tcPr>
        <w:shd w:val="clear" w:color="auto" w:fill="BAECE7" w:themeFill="accent1" w:themeFillTint="33"/>
      </w:tcPr>
    </w:tblStylePr>
    <w:tblStylePr w:type="neCell">
      <w:tblPr/>
      <w:tcPr>
        <w:tcBorders>
          <w:bottom w:val="single" w:sz="4" w:space="0" w:color="35C2B4" w:themeColor="accent1" w:themeTint="99"/>
        </w:tcBorders>
      </w:tcPr>
    </w:tblStylePr>
    <w:tblStylePr w:type="nwCell">
      <w:tblPr/>
      <w:tcPr>
        <w:tcBorders>
          <w:bottom w:val="single" w:sz="4" w:space="0" w:color="35C2B4" w:themeColor="accent1" w:themeTint="99"/>
        </w:tcBorders>
      </w:tcPr>
    </w:tblStylePr>
    <w:tblStylePr w:type="seCell">
      <w:tblPr/>
      <w:tcPr>
        <w:tcBorders>
          <w:top w:val="single" w:sz="4" w:space="0" w:color="35C2B4" w:themeColor="accent1" w:themeTint="99"/>
        </w:tcBorders>
      </w:tcPr>
    </w:tblStylePr>
    <w:tblStylePr w:type="swCell">
      <w:tblPr/>
      <w:tcPr>
        <w:tcBorders>
          <w:top w:val="single" w:sz="4" w:space="0" w:color="35C2B4"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25FFB8" w:themeColor="accent2" w:themeTint="99"/>
        <w:left w:val="single" w:sz="4" w:space="0" w:color="25FFB8" w:themeColor="accent2" w:themeTint="99"/>
        <w:bottom w:val="single" w:sz="4" w:space="0" w:color="25FFB8" w:themeColor="accent2" w:themeTint="99"/>
        <w:right w:val="single" w:sz="4" w:space="0" w:color="25FFB8" w:themeColor="accent2" w:themeTint="99"/>
        <w:insideH w:val="single" w:sz="4" w:space="0" w:color="25FFB8" w:themeColor="accent2" w:themeTint="99"/>
        <w:insideV w:val="single" w:sz="4" w:space="0" w:color="25FF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FE7" w:themeFill="accent2" w:themeFillTint="33"/>
      </w:tcPr>
    </w:tblStylePr>
    <w:tblStylePr w:type="band1Horz">
      <w:tblPr/>
      <w:tcPr>
        <w:shd w:val="clear" w:color="auto" w:fill="B6FFE7" w:themeFill="accent2" w:themeFillTint="33"/>
      </w:tcPr>
    </w:tblStylePr>
    <w:tblStylePr w:type="neCell">
      <w:tblPr/>
      <w:tcPr>
        <w:tcBorders>
          <w:bottom w:val="single" w:sz="4" w:space="0" w:color="25FFB8" w:themeColor="accent2" w:themeTint="99"/>
        </w:tcBorders>
      </w:tcPr>
    </w:tblStylePr>
    <w:tblStylePr w:type="nwCell">
      <w:tblPr/>
      <w:tcPr>
        <w:tcBorders>
          <w:bottom w:val="single" w:sz="4" w:space="0" w:color="25FFB8" w:themeColor="accent2" w:themeTint="99"/>
        </w:tcBorders>
      </w:tcPr>
    </w:tblStylePr>
    <w:tblStylePr w:type="seCell">
      <w:tblPr/>
      <w:tcPr>
        <w:tcBorders>
          <w:top w:val="single" w:sz="4" w:space="0" w:color="25FFB8" w:themeColor="accent2" w:themeTint="99"/>
        </w:tcBorders>
      </w:tcPr>
    </w:tblStylePr>
    <w:tblStylePr w:type="swCell">
      <w:tblPr/>
      <w:tcPr>
        <w:tcBorders>
          <w:top w:val="single" w:sz="4" w:space="0" w:color="25FFB8"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9EDA2" w:themeColor="accent3" w:themeTint="99"/>
        <w:left w:val="single" w:sz="4" w:space="0" w:color="F9EDA2" w:themeColor="accent3" w:themeTint="99"/>
        <w:bottom w:val="single" w:sz="4" w:space="0" w:color="F9EDA2" w:themeColor="accent3" w:themeTint="99"/>
        <w:right w:val="single" w:sz="4" w:space="0" w:color="F9EDA2" w:themeColor="accent3" w:themeTint="99"/>
        <w:insideH w:val="single" w:sz="4" w:space="0" w:color="F9EDA2" w:themeColor="accent3" w:themeTint="99"/>
        <w:insideV w:val="single" w:sz="4" w:space="0" w:color="F9EDA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9E0" w:themeFill="accent3" w:themeFillTint="33"/>
      </w:tcPr>
    </w:tblStylePr>
    <w:tblStylePr w:type="band1Horz">
      <w:tblPr/>
      <w:tcPr>
        <w:shd w:val="clear" w:color="auto" w:fill="FDF9E0" w:themeFill="accent3" w:themeFillTint="33"/>
      </w:tcPr>
    </w:tblStylePr>
    <w:tblStylePr w:type="neCell">
      <w:tblPr/>
      <w:tcPr>
        <w:tcBorders>
          <w:bottom w:val="single" w:sz="4" w:space="0" w:color="F9EDA2" w:themeColor="accent3" w:themeTint="99"/>
        </w:tcBorders>
      </w:tcPr>
    </w:tblStylePr>
    <w:tblStylePr w:type="nwCell">
      <w:tblPr/>
      <w:tcPr>
        <w:tcBorders>
          <w:bottom w:val="single" w:sz="4" w:space="0" w:color="F9EDA2" w:themeColor="accent3" w:themeTint="99"/>
        </w:tcBorders>
      </w:tcPr>
    </w:tblStylePr>
    <w:tblStylePr w:type="seCell">
      <w:tblPr/>
      <w:tcPr>
        <w:tcBorders>
          <w:top w:val="single" w:sz="4" w:space="0" w:color="F9EDA2" w:themeColor="accent3" w:themeTint="99"/>
        </w:tcBorders>
      </w:tcPr>
    </w:tblStylePr>
    <w:tblStylePr w:type="swCell">
      <w:tblPr/>
      <w:tcPr>
        <w:tcBorders>
          <w:top w:val="single" w:sz="4" w:space="0" w:color="F9EDA2"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FDCAD" w:themeColor="accent4" w:themeTint="99"/>
        <w:left w:val="single" w:sz="4" w:space="0" w:color="FFDCAD" w:themeColor="accent4" w:themeTint="99"/>
        <w:bottom w:val="single" w:sz="4" w:space="0" w:color="FFDCAD" w:themeColor="accent4" w:themeTint="99"/>
        <w:right w:val="single" w:sz="4" w:space="0" w:color="FFDCAD" w:themeColor="accent4" w:themeTint="99"/>
        <w:insideH w:val="single" w:sz="4" w:space="0" w:color="FFDCAD" w:themeColor="accent4" w:themeTint="99"/>
        <w:insideV w:val="single" w:sz="4" w:space="0" w:color="FFDC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E3" w:themeFill="accent4" w:themeFillTint="33"/>
      </w:tcPr>
    </w:tblStylePr>
    <w:tblStylePr w:type="band1Horz">
      <w:tblPr/>
      <w:tcPr>
        <w:shd w:val="clear" w:color="auto" w:fill="FFF3E3" w:themeFill="accent4" w:themeFillTint="33"/>
      </w:tcPr>
    </w:tblStylePr>
    <w:tblStylePr w:type="neCell">
      <w:tblPr/>
      <w:tcPr>
        <w:tcBorders>
          <w:bottom w:val="single" w:sz="4" w:space="0" w:color="FFDCAD" w:themeColor="accent4" w:themeTint="99"/>
        </w:tcBorders>
      </w:tcPr>
    </w:tblStylePr>
    <w:tblStylePr w:type="nwCell">
      <w:tblPr/>
      <w:tcPr>
        <w:tcBorders>
          <w:bottom w:val="single" w:sz="4" w:space="0" w:color="FFDCAD" w:themeColor="accent4" w:themeTint="99"/>
        </w:tcBorders>
      </w:tcPr>
    </w:tblStylePr>
    <w:tblStylePr w:type="seCell">
      <w:tblPr/>
      <w:tcPr>
        <w:tcBorders>
          <w:top w:val="single" w:sz="4" w:space="0" w:color="FFDCAD" w:themeColor="accent4" w:themeTint="99"/>
        </w:tcBorders>
      </w:tcPr>
    </w:tblStylePr>
    <w:tblStylePr w:type="swCell">
      <w:tblPr/>
      <w:tcPr>
        <w:tcBorders>
          <w:top w:val="single" w:sz="4" w:space="0" w:color="FFDCAD"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FFAE85" w:themeColor="accent5" w:themeTint="99"/>
        <w:left w:val="single" w:sz="4" w:space="0" w:color="FFAE85" w:themeColor="accent5" w:themeTint="99"/>
        <w:bottom w:val="single" w:sz="4" w:space="0" w:color="FFAE85" w:themeColor="accent5" w:themeTint="99"/>
        <w:right w:val="single" w:sz="4" w:space="0" w:color="FFAE85" w:themeColor="accent5" w:themeTint="99"/>
        <w:insideH w:val="single" w:sz="4" w:space="0" w:color="FFAE85" w:themeColor="accent5" w:themeTint="99"/>
        <w:insideV w:val="single" w:sz="4" w:space="0" w:color="FFAE8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4D6" w:themeFill="accent5" w:themeFillTint="33"/>
      </w:tcPr>
    </w:tblStylePr>
    <w:tblStylePr w:type="band1Horz">
      <w:tblPr/>
      <w:tcPr>
        <w:shd w:val="clear" w:color="auto" w:fill="FFE4D6" w:themeFill="accent5" w:themeFillTint="33"/>
      </w:tcPr>
    </w:tblStylePr>
    <w:tblStylePr w:type="neCell">
      <w:tblPr/>
      <w:tcPr>
        <w:tcBorders>
          <w:bottom w:val="single" w:sz="4" w:space="0" w:color="FFAE85" w:themeColor="accent5" w:themeTint="99"/>
        </w:tcBorders>
      </w:tcPr>
    </w:tblStylePr>
    <w:tblStylePr w:type="nwCell">
      <w:tblPr/>
      <w:tcPr>
        <w:tcBorders>
          <w:bottom w:val="single" w:sz="4" w:space="0" w:color="FFAE85" w:themeColor="accent5" w:themeTint="99"/>
        </w:tcBorders>
      </w:tcPr>
    </w:tblStylePr>
    <w:tblStylePr w:type="seCell">
      <w:tblPr/>
      <w:tcPr>
        <w:tcBorders>
          <w:top w:val="single" w:sz="4" w:space="0" w:color="FFAE85" w:themeColor="accent5" w:themeTint="99"/>
        </w:tcBorders>
      </w:tcPr>
    </w:tblStylePr>
    <w:tblStylePr w:type="swCell">
      <w:tblPr/>
      <w:tcPr>
        <w:tcBorders>
          <w:top w:val="single" w:sz="4" w:space="0" w:color="FFAE85"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F68C95" w:themeColor="accent6" w:themeTint="99"/>
        <w:left w:val="single" w:sz="4" w:space="0" w:color="F68C95" w:themeColor="accent6" w:themeTint="99"/>
        <w:bottom w:val="single" w:sz="4" w:space="0" w:color="F68C95" w:themeColor="accent6" w:themeTint="99"/>
        <w:right w:val="single" w:sz="4" w:space="0" w:color="F68C95" w:themeColor="accent6" w:themeTint="99"/>
        <w:insideH w:val="single" w:sz="4" w:space="0" w:color="F68C95" w:themeColor="accent6" w:themeTint="99"/>
        <w:insideV w:val="single" w:sz="4" w:space="0" w:color="F68C9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8DB" w:themeFill="accent6" w:themeFillTint="33"/>
      </w:tcPr>
    </w:tblStylePr>
    <w:tblStylePr w:type="band1Horz">
      <w:tblPr/>
      <w:tcPr>
        <w:shd w:val="clear" w:color="auto" w:fill="FCD8DB" w:themeFill="accent6" w:themeFillTint="33"/>
      </w:tcPr>
    </w:tblStylePr>
    <w:tblStylePr w:type="neCell">
      <w:tblPr/>
      <w:tcPr>
        <w:tcBorders>
          <w:bottom w:val="single" w:sz="4" w:space="0" w:color="F68C95" w:themeColor="accent6" w:themeTint="99"/>
        </w:tcBorders>
      </w:tcPr>
    </w:tblStylePr>
    <w:tblStylePr w:type="nwCell">
      <w:tblPr/>
      <w:tcPr>
        <w:tcBorders>
          <w:bottom w:val="single" w:sz="4" w:space="0" w:color="F68C95" w:themeColor="accent6" w:themeTint="99"/>
        </w:tcBorders>
      </w:tcPr>
    </w:tblStylePr>
    <w:tblStylePr w:type="seCell">
      <w:tblPr/>
      <w:tcPr>
        <w:tcBorders>
          <w:top w:val="single" w:sz="4" w:space="0" w:color="F68C95" w:themeColor="accent6" w:themeTint="99"/>
        </w:tcBorders>
      </w:tcPr>
    </w:tblStylePr>
    <w:tblStylePr w:type="swCell">
      <w:tblPr/>
      <w:tcPr>
        <w:tcBorders>
          <w:top w:val="single" w:sz="4" w:space="0" w:color="F68C95"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35C2B4" w:themeColor="accent1" w:themeTint="99"/>
        <w:left w:val="single" w:sz="4" w:space="0" w:color="35C2B4" w:themeColor="accent1" w:themeTint="99"/>
        <w:bottom w:val="single" w:sz="4" w:space="0" w:color="35C2B4" w:themeColor="accent1" w:themeTint="99"/>
        <w:right w:val="single" w:sz="4" w:space="0" w:color="35C2B4" w:themeColor="accent1" w:themeTint="99"/>
        <w:insideH w:val="single" w:sz="4" w:space="0" w:color="35C2B4" w:themeColor="accent1" w:themeTint="99"/>
        <w:insideV w:val="single" w:sz="4" w:space="0" w:color="35C2B4" w:themeColor="accent1" w:themeTint="99"/>
      </w:tblBorders>
    </w:tblPr>
    <w:tblStylePr w:type="firstRow">
      <w:rPr>
        <w:b/>
        <w:bCs/>
        <w:color w:val="FFFFFF" w:themeColor="background1"/>
      </w:rPr>
      <w:tblPr/>
      <w:tcPr>
        <w:tcBorders>
          <w:top w:val="single" w:sz="4" w:space="0" w:color="103A36" w:themeColor="accent1"/>
          <w:left w:val="single" w:sz="4" w:space="0" w:color="103A36" w:themeColor="accent1"/>
          <w:bottom w:val="single" w:sz="4" w:space="0" w:color="103A36" w:themeColor="accent1"/>
          <w:right w:val="single" w:sz="4" w:space="0" w:color="103A36" w:themeColor="accent1"/>
          <w:insideH w:val="nil"/>
          <w:insideV w:val="nil"/>
        </w:tcBorders>
        <w:shd w:val="clear" w:color="auto" w:fill="103A36" w:themeFill="accent1"/>
      </w:tcPr>
    </w:tblStylePr>
    <w:tblStylePr w:type="lastRow">
      <w:rPr>
        <w:b/>
        <w:bCs/>
      </w:rPr>
      <w:tblPr/>
      <w:tcPr>
        <w:tcBorders>
          <w:top w:val="double" w:sz="4" w:space="0" w:color="103A36" w:themeColor="accent1"/>
        </w:tcBorders>
      </w:tc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25FFB8" w:themeColor="accent2" w:themeTint="99"/>
        <w:left w:val="single" w:sz="4" w:space="0" w:color="25FFB8" w:themeColor="accent2" w:themeTint="99"/>
        <w:bottom w:val="single" w:sz="4" w:space="0" w:color="25FFB8" w:themeColor="accent2" w:themeTint="99"/>
        <w:right w:val="single" w:sz="4" w:space="0" w:color="25FFB8" w:themeColor="accent2" w:themeTint="99"/>
        <w:insideH w:val="single" w:sz="4" w:space="0" w:color="25FFB8" w:themeColor="accent2" w:themeTint="99"/>
        <w:insideV w:val="single" w:sz="4" w:space="0" w:color="25FFB8" w:themeColor="accent2" w:themeTint="99"/>
      </w:tblBorders>
    </w:tblPr>
    <w:tblStylePr w:type="firstRow">
      <w:rPr>
        <w:b/>
        <w:bCs/>
        <w:color w:val="FFFFFF" w:themeColor="background1"/>
      </w:rPr>
      <w:tblPr/>
      <w:tcPr>
        <w:tcBorders>
          <w:top w:val="single" w:sz="4" w:space="0" w:color="009364" w:themeColor="accent2"/>
          <w:left w:val="single" w:sz="4" w:space="0" w:color="009364" w:themeColor="accent2"/>
          <w:bottom w:val="single" w:sz="4" w:space="0" w:color="009364" w:themeColor="accent2"/>
          <w:right w:val="single" w:sz="4" w:space="0" w:color="009364" w:themeColor="accent2"/>
          <w:insideH w:val="nil"/>
          <w:insideV w:val="nil"/>
        </w:tcBorders>
        <w:shd w:val="clear" w:color="auto" w:fill="009364" w:themeFill="accent2"/>
      </w:tcPr>
    </w:tblStylePr>
    <w:tblStylePr w:type="lastRow">
      <w:rPr>
        <w:b/>
        <w:bCs/>
      </w:rPr>
      <w:tblPr/>
      <w:tcPr>
        <w:tcBorders>
          <w:top w:val="double" w:sz="4" w:space="0" w:color="009364" w:themeColor="accent2"/>
        </w:tcBorders>
      </w:tc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9EDA2" w:themeColor="accent3" w:themeTint="99"/>
        <w:left w:val="single" w:sz="4" w:space="0" w:color="F9EDA2" w:themeColor="accent3" w:themeTint="99"/>
        <w:bottom w:val="single" w:sz="4" w:space="0" w:color="F9EDA2" w:themeColor="accent3" w:themeTint="99"/>
        <w:right w:val="single" w:sz="4" w:space="0" w:color="F9EDA2" w:themeColor="accent3" w:themeTint="99"/>
        <w:insideH w:val="single" w:sz="4" w:space="0" w:color="F9EDA2" w:themeColor="accent3" w:themeTint="99"/>
        <w:insideV w:val="single" w:sz="4" w:space="0" w:color="F9EDA2" w:themeColor="accent3" w:themeTint="99"/>
      </w:tblBorders>
    </w:tblPr>
    <w:tblStylePr w:type="firstRow">
      <w:rPr>
        <w:b/>
        <w:bCs/>
        <w:color w:val="FFFFFF" w:themeColor="background1"/>
      </w:rPr>
      <w:tblPr/>
      <w:tcPr>
        <w:tcBorders>
          <w:top w:val="single" w:sz="4" w:space="0" w:color="F6E265" w:themeColor="accent3"/>
          <w:left w:val="single" w:sz="4" w:space="0" w:color="F6E265" w:themeColor="accent3"/>
          <w:bottom w:val="single" w:sz="4" w:space="0" w:color="F6E265" w:themeColor="accent3"/>
          <w:right w:val="single" w:sz="4" w:space="0" w:color="F6E265" w:themeColor="accent3"/>
          <w:insideH w:val="nil"/>
          <w:insideV w:val="nil"/>
        </w:tcBorders>
        <w:shd w:val="clear" w:color="auto" w:fill="F6E265" w:themeFill="accent3"/>
      </w:tcPr>
    </w:tblStylePr>
    <w:tblStylePr w:type="lastRow">
      <w:rPr>
        <w:b/>
        <w:bCs/>
      </w:rPr>
      <w:tblPr/>
      <w:tcPr>
        <w:tcBorders>
          <w:top w:val="double" w:sz="4" w:space="0" w:color="F6E265" w:themeColor="accent3"/>
        </w:tcBorders>
      </w:tc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FDCAD" w:themeColor="accent4" w:themeTint="99"/>
        <w:left w:val="single" w:sz="4" w:space="0" w:color="FFDCAD" w:themeColor="accent4" w:themeTint="99"/>
        <w:bottom w:val="single" w:sz="4" w:space="0" w:color="FFDCAD" w:themeColor="accent4" w:themeTint="99"/>
        <w:right w:val="single" w:sz="4" w:space="0" w:color="FFDCAD" w:themeColor="accent4" w:themeTint="99"/>
        <w:insideH w:val="single" w:sz="4" w:space="0" w:color="FFDCAD" w:themeColor="accent4" w:themeTint="99"/>
        <w:insideV w:val="single" w:sz="4" w:space="0" w:color="FFDCAD" w:themeColor="accent4" w:themeTint="99"/>
      </w:tblBorders>
    </w:tblPr>
    <w:tblStylePr w:type="firstRow">
      <w:rPr>
        <w:b/>
        <w:bCs/>
        <w:color w:val="FFFFFF" w:themeColor="background1"/>
      </w:rPr>
      <w:tblPr/>
      <w:tcPr>
        <w:tcBorders>
          <w:top w:val="single" w:sz="4" w:space="0" w:color="FFC677" w:themeColor="accent4"/>
          <w:left w:val="single" w:sz="4" w:space="0" w:color="FFC677" w:themeColor="accent4"/>
          <w:bottom w:val="single" w:sz="4" w:space="0" w:color="FFC677" w:themeColor="accent4"/>
          <w:right w:val="single" w:sz="4" w:space="0" w:color="FFC677" w:themeColor="accent4"/>
          <w:insideH w:val="nil"/>
          <w:insideV w:val="nil"/>
        </w:tcBorders>
        <w:shd w:val="clear" w:color="auto" w:fill="FFC677" w:themeFill="accent4"/>
      </w:tcPr>
    </w:tblStylePr>
    <w:tblStylePr w:type="lastRow">
      <w:rPr>
        <w:b/>
        <w:bCs/>
      </w:rPr>
      <w:tblPr/>
      <w:tcPr>
        <w:tcBorders>
          <w:top w:val="double" w:sz="4" w:space="0" w:color="FFC677" w:themeColor="accent4"/>
        </w:tcBorders>
      </w:tc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FFAE85" w:themeColor="accent5" w:themeTint="99"/>
        <w:left w:val="single" w:sz="4" w:space="0" w:color="FFAE85" w:themeColor="accent5" w:themeTint="99"/>
        <w:bottom w:val="single" w:sz="4" w:space="0" w:color="FFAE85" w:themeColor="accent5" w:themeTint="99"/>
        <w:right w:val="single" w:sz="4" w:space="0" w:color="FFAE85" w:themeColor="accent5" w:themeTint="99"/>
        <w:insideH w:val="single" w:sz="4" w:space="0" w:color="FFAE85" w:themeColor="accent5" w:themeTint="99"/>
        <w:insideV w:val="single" w:sz="4" w:space="0" w:color="FFAE85" w:themeColor="accent5" w:themeTint="99"/>
      </w:tblBorders>
    </w:tblPr>
    <w:tblStylePr w:type="firstRow">
      <w:rPr>
        <w:b/>
        <w:bCs/>
        <w:color w:val="FFFFFF" w:themeColor="background1"/>
      </w:rPr>
      <w:tblPr/>
      <w:tcPr>
        <w:tcBorders>
          <w:top w:val="single" w:sz="4" w:space="0" w:color="FF7A34" w:themeColor="accent5"/>
          <w:left w:val="single" w:sz="4" w:space="0" w:color="FF7A34" w:themeColor="accent5"/>
          <w:bottom w:val="single" w:sz="4" w:space="0" w:color="FF7A34" w:themeColor="accent5"/>
          <w:right w:val="single" w:sz="4" w:space="0" w:color="FF7A34" w:themeColor="accent5"/>
          <w:insideH w:val="nil"/>
          <w:insideV w:val="nil"/>
        </w:tcBorders>
        <w:shd w:val="clear" w:color="auto" w:fill="FF7A34" w:themeFill="accent5"/>
      </w:tcPr>
    </w:tblStylePr>
    <w:tblStylePr w:type="lastRow">
      <w:rPr>
        <w:b/>
        <w:bCs/>
      </w:rPr>
      <w:tblPr/>
      <w:tcPr>
        <w:tcBorders>
          <w:top w:val="double" w:sz="4" w:space="0" w:color="FF7A34" w:themeColor="accent5"/>
        </w:tcBorders>
      </w:tc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F68C95" w:themeColor="accent6" w:themeTint="99"/>
        <w:left w:val="single" w:sz="4" w:space="0" w:color="F68C95" w:themeColor="accent6" w:themeTint="99"/>
        <w:bottom w:val="single" w:sz="4" w:space="0" w:color="F68C95" w:themeColor="accent6" w:themeTint="99"/>
        <w:right w:val="single" w:sz="4" w:space="0" w:color="F68C95" w:themeColor="accent6" w:themeTint="99"/>
        <w:insideH w:val="single" w:sz="4" w:space="0" w:color="F68C95" w:themeColor="accent6" w:themeTint="99"/>
        <w:insideV w:val="single" w:sz="4" w:space="0" w:color="F68C95" w:themeColor="accent6" w:themeTint="99"/>
      </w:tblBorders>
    </w:tblPr>
    <w:tblStylePr w:type="firstRow">
      <w:rPr>
        <w:b/>
        <w:bCs/>
        <w:color w:val="FFFFFF" w:themeColor="background1"/>
      </w:rPr>
      <w:tblPr/>
      <w:tcPr>
        <w:tcBorders>
          <w:top w:val="single" w:sz="4" w:space="0" w:color="F0404F" w:themeColor="accent6"/>
          <w:left w:val="single" w:sz="4" w:space="0" w:color="F0404F" w:themeColor="accent6"/>
          <w:bottom w:val="single" w:sz="4" w:space="0" w:color="F0404F" w:themeColor="accent6"/>
          <w:right w:val="single" w:sz="4" w:space="0" w:color="F0404F" w:themeColor="accent6"/>
          <w:insideH w:val="nil"/>
          <w:insideV w:val="nil"/>
        </w:tcBorders>
        <w:shd w:val="clear" w:color="auto" w:fill="F0404F" w:themeFill="accent6"/>
      </w:tcPr>
    </w:tblStylePr>
    <w:tblStylePr w:type="lastRow">
      <w:rPr>
        <w:b/>
        <w:bCs/>
      </w:rPr>
      <w:tblPr/>
      <w:tcPr>
        <w:tcBorders>
          <w:top w:val="double" w:sz="4" w:space="0" w:color="F0404F" w:themeColor="accent6"/>
        </w:tcBorders>
      </w:tc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EC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3A3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3A3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3A3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3A36" w:themeFill="accent1"/>
      </w:tcPr>
    </w:tblStylePr>
    <w:tblStylePr w:type="band1Vert">
      <w:tblPr/>
      <w:tcPr>
        <w:shd w:val="clear" w:color="auto" w:fill="76D9CF" w:themeFill="accent1" w:themeFillTint="66"/>
      </w:tcPr>
    </w:tblStylePr>
    <w:tblStylePr w:type="band1Horz">
      <w:tblPr/>
      <w:tcPr>
        <w:shd w:val="clear" w:color="auto" w:fill="76D9CF"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6FF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36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36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36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364" w:themeFill="accent2"/>
      </w:tcPr>
    </w:tblStylePr>
    <w:tblStylePr w:type="band1Vert">
      <w:tblPr/>
      <w:tcPr>
        <w:shd w:val="clear" w:color="auto" w:fill="6DFFD0" w:themeFill="accent2" w:themeFillTint="66"/>
      </w:tcPr>
    </w:tblStylePr>
    <w:tblStylePr w:type="band1Horz">
      <w:tblPr/>
      <w:tcPr>
        <w:shd w:val="clear" w:color="auto" w:fill="6DFFD0"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9E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E26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E26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E26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E265" w:themeFill="accent3"/>
      </w:tcPr>
    </w:tblStylePr>
    <w:tblStylePr w:type="band1Vert">
      <w:tblPr/>
      <w:tcPr>
        <w:shd w:val="clear" w:color="auto" w:fill="FBF3C1" w:themeFill="accent3" w:themeFillTint="66"/>
      </w:tcPr>
    </w:tblStylePr>
    <w:tblStylePr w:type="band1Horz">
      <w:tblPr/>
      <w:tcPr>
        <w:shd w:val="clear" w:color="auto" w:fill="FBF3C1"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3E3"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67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67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67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677" w:themeFill="accent4"/>
      </w:tcPr>
    </w:tblStylePr>
    <w:tblStylePr w:type="band1Vert">
      <w:tblPr/>
      <w:tcPr>
        <w:shd w:val="clear" w:color="auto" w:fill="FFE8C8" w:themeFill="accent4" w:themeFillTint="66"/>
      </w:tcPr>
    </w:tblStylePr>
    <w:tblStylePr w:type="band1Horz">
      <w:tblPr/>
      <w:tcPr>
        <w:shd w:val="clear" w:color="auto" w:fill="FFE8C8"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4D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7A3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7A3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7A3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7A34" w:themeFill="accent5"/>
      </w:tcPr>
    </w:tblStylePr>
    <w:tblStylePr w:type="band1Vert">
      <w:tblPr/>
      <w:tcPr>
        <w:shd w:val="clear" w:color="auto" w:fill="FFC9AD" w:themeFill="accent5" w:themeFillTint="66"/>
      </w:tcPr>
    </w:tblStylePr>
    <w:tblStylePr w:type="band1Horz">
      <w:tblPr/>
      <w:tcPr>
        <w:shd w:val="clear" w:color="auto" w:fill="FFC9AD"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8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04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04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04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04F" w:themeFill="accent6"/>
      </w:tcPr>
    </w:tblStylePr>
    <w:tblStylePr w:type="band1Vert">
      <w:tblPr/>
      <w:tcPr>
        <w:shd w:val="clear" w:color="auto" w:fill="F9B2B8" w:themeFill="accent6" w:themeFillTint="66"/>
      </w:tcPr>
    </w:tblStylePr>
    <w:tblStylePr w:type="band1Horz">
      <w:tblPr/>
      <w:tcPr>
        <w:shd w:val="clear" w:color="auto" w:fill="F9B2B8"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0C2B28" w:themeColor="accent1" w:themeShade="BF"/>
    </w:rPr>
    <w:tblPr>
      <w:tblStyleRowBandSize w:val="1"/>
      <w:tblStyleColBandSize w:val="1"/>
      <w:tblBorders>
        <w:top w:val="single" w:sz="4" w:space="0" w:color="35C2B4" w:themeColor="accent1" w:themeTint="99"/>
        <w:left w:val="single" w:sz="4" w:space="0" w:color="35C2B4" w:themeColor="accent1" w:themeTint="99"/>
        <w:bottom w:val="single" w:sz="4" w:space="0" w:color="35C2B4" w:themeColor="accent1" w:themeTint="99"/>
        <w:right w:val="single" w:sz="4" w:space="0" w:color="35C2B4" w:themeColor="accent1" w:themeTint="99"/>
        <w:insideH w:val="single" w:sz="4" w:space="0" w:color="35C2B4" w:themeColor="accent1" w:themeTint="99"/>
        <w:insideV w:val="single" w:sz="4" w:space="0" w:color="35C2B4" w:themeColor="accent1" w:themeTint="99"/>
      </w:tblBorders>
    </w:tblPr>
    <w:tblStylePr w:type="firstRow">
      <w:rPr>
        <w:b/>
        <w:bCs/>
      </w:rPr>
      <w:tblPr/>
      <w:tcPr>
        <w:tcBorders>
          <w:bottom w:val="single" w:sz="12" w:space="0" w:color="35C2B4" w:themeColor="accent1" w:themeTint="99"/>
        </w:tcBorders>
      </w:tcPr>
    </w:tblStylePr>
    <w:tblStylePr w:type="lastRow">
      <w:rPr>
        <w:b/>
        <w:bCs/>
      </w:rPr>
      <w:tblPr/>
      <w:tcPr>
        <w:tcBorders>
          <w:top w:val="double" w:sz="4" w:space="0" w:color="35C2B4" w:themeColor="accent1" w:themeTint="99"/>
        </w:tcBorders>
      </w:tc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006E4A" w:themeColor="accent2" w:themeShade="BF"/>
    </w:rPr>
    <w:tblPr>
      <w:tblStyleRowBandSize w:val="1"/>
      <w:tblStyleColBandSize w:val="1"/>
      <w:tblBorders>
        <w:top w:val="single" w:sz="4" w:space="0" w:color="25FFB8" w:themeColor="accent2" w:themeTint="99"/>
        <w:left w:val="single" w:sz="4" w:space="0" w:color="25FFB8" w:themeColor="accent2" w:themeTint="99"/>
        <w:bottom w:val="single" w:sz="4" w:space="0" w:color="25FFB8" w:themeColor="accent2" w:themeTint="99"/>
        <w:right w:val="single" w:sz="4" w:space="0" w:color="25FFB8" w:themeColor="accent2" w:themeTint="99"/>
        <w:insideH w:val="single" w:sz="4" w:space="0" w:color="25FFB8" w:themeColor="accent2" w:themeTint="99"/>
        <w:insideV w:val="single" w:sz="4" w:space="0" w:color="25FFB8" w:themeColor="accent2" w:themeTint="99"/>
      </w:tblBorders>
    </w:tblPr>
    <w:tblStylePr w:type="firstRow">
      <w:rPr>
        <w:b/>
        <w:bCs/>
      </w:rPr>
      <w:tblPr/>
      <w:tcPr>
        <w:tcBorders>
          <w:bottom w:val="single" w:sz="12" w:space="0" w:color="25FFB8" w:themeColor="accent2" w:themeTint="99"/>
        </w:tcBorders>
      </w:tcPr>
    </w:tblStylePr>
    <w:tblStylePr w:type="lastRow">
      <w:rPr>
        <w:b/>
        <w:bCs/>
      </w:rPr>
      <w:tblPr/>
      <w:tcPr>
        <w:tcBorders>
          <w:top w:val="double" w:sz="4" w:space="0" w:color="25FFB8" w:themeColor="accent2" w:themeTint="99"/>
        </w:tcBorders>
      </w:tc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F1D112" w:themeColor="accent3" w:themeShade="BF"/>
    </w:rPr>
    <w:tblPr>
      <w:tblStyleRowBandSize w:val="1"/>
      <w:tblStyleColBandSize w:val="1"/>
      <w:tblBorders>
        <w:top w:val="single" w:sz="4" w:space="0" w:color="F9EDA2" w:themeColor="accent3" w:themeTint="99"/>
        <w:left w:val="single" w:sz="4" w:space="0" w:color="F9EDA2" w:themeColor="accent3" w:themeTint="99"/>
        <w:bottom w:val="single" w:sz="4" w:space="0" w:color="F9EDA2" w:themeColor="accent3" w:themeTint="99"/>
        <w:right w:val="single" w:sz="4" w:space="0" w:color="F9EDA2" w:themeColor="accent3" w:themeTint="99"/>
        <w:insideH w:val="single" w:sz="4" w:space="0" w:color="F9EDA2" w:themeColor="accent3" w:themeTint="99"/>
        <w:insideV w:val="single" w:sz="4" w:space="0" w:color="F9EDA2" w:themeColor="accent3" w:themeTint="99"/>
      </w:tblBorders>
    </w:tblPr>
    <w:tblStylePr w:type="firstRow">
      <w:rPr>
        <w:b/>
        <w:bCs/>
      </w:rPr>
      <w:tblPr/>
      <w:tcPr>
        <w:tcBorders>
          <w:bottom w:val="single" w:sz="12" w:space="0" w:color="F9EDA2" w:themeColor="accent3" w:themeTint="99"/>
        </w:tcBorders>
      </w:tcPr>
    </w:tblStylePr>
    <w:tblStylePr w:type="lastRow">
      <w:rPr>
        <w:b/>
        <w:bCs/>
      </w:rPr>
      <w:tblPr/>
      <w:tcPr>
        <w:tcBorders>
          <w:top w:val="double" w:sz="4" w:space="0" w:color="F9EDA2" w:themeColor="accent3" w:themeTint="99"/>
        </w:tcBorders>
      </w:tc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FF9E19" w:themeColor="accent4" w:themeShade="BF"/>
    </w:rPr>
    <w:tblPr>
      <w:tblStyleRowBandSize w:val="1"/>
      <w:tblStyleColBandSize w:val="1"/>
      <w:tblBorders>
        <w:top w:val="single" w:sz="4" w:space="0" w:color="FFDCAD" w:themeColor="accent4" w:themeTint="99"/>
        <w:left w:val="single" w:sz="4" w:space="0" w:color="FFDCAD" w:themeColor="accent4" w:themeTint="99"/>
        <w:bottom w:val="single" w:sz="4" w:space="0" w:color="FFDCAD" w:themeColor="accent4" w:themeTint="99"/>
        <w:right w:val="single" w:sz="4" w:space="0" w:color="FFDCAD" w:themeColor="accent4" w:themeTint="99"/>
        <w:insideH w:val="single" w:sz="4" w:space="0" w:color="FFDCAD" w:themeColor="accent4" w:themeTint="99"/>
        <w:insideV w:val="single" w:sz="4" w:space="0" w:color="FFDCAD" w:themeColor="accent4" w:themeTint="99"/>
      </w:tblBorders>
    </w:tblPr>
    <w:tblStylePr w:type="firstRow">
      <w:rPr>
        <w:b/>
        <w:bCs/>
      </w:rPr>
      <w:tblPr/>
      <w:tcPr>
        <w:tcBorders>
          <w:bottom w:val="single" w:sz="12" w:space="0" w:color="FFDCAD" w:themeColor="accent4" w:themeTint="99"/>
        </w:tcBorders>
      </w:tcPr>
    </w:tblStylePr>
    <w:tblStylePr w:type="lastRow">
      <w:rPr>
        <w:b/>
        <w:bCs/>
      </w:rPr>
      <w:tblPr/>
      <w:tcPr>
        <w:tcBorders>
          <w:top w:val="double" w:sz="4" w:space="0" w:color="FFDCAD" w:themeColor="accent4" w:themeTint="99"/>
        </w:tcBorders>
      </w:tc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E54E00" w:themeColor="accent5" w:themeShade="BF"/>
    </w:rPr>
    <w:tblPr>
      <w:tblStyleRowBandSize w:val="1"/>
      <w:tblStyleColBandSize w:val="1"/>
      <w:tblBorders>
        <w:top w:val="single" w:sz="4" w:space="0" w:color="FFAE85" w:themeColor="accent5" w:themeTint="99"/>
        <w:left w:val="single" w:sz="4" w:space="0" w:color="FFAE85" w:themeColor="accent5" w:themeTint="99"/>
        <w:bottom w:val="single" w:sz="4" w:space="0" w:color="FFAE85" w:themeColor="accent5" w:themeTint="99"/>
        <w:right w:val="single" w:sz="4" w:space="0" w:color="FFAE85" w:themeColor="accent5" w:themeTint="99"/>
        <w:insideH w:val="single" w:sz="4" w:space="0" w:color="FFAE85" w:themeColor="accent5" w:themeTint="99"/>
        <w:insideV w:val="single" w:sz="4" w:space="0" w:color="FFAE85" w:themeColor="accent5" w:themeTint="99"/>
      </w:tblBorders>
    </w:tblPr>
    <w:tblStylePr w:type="firstRow">
      <w:rPr>
        <w:b/>
        <w:bCs/>
      </w:rPr>
      <w:tblPr/>
      <w:tcPr>
        <w:tcBorders>
          <w:bottom w:val="single" w:sz="12" w:space="0" w:color="FFAE85" w:themeColor="accent5" w:themeTint="99"/>
        </w:tcBorders>
      </w:tcPr>
    </w:tblStylePr>
    <w:tblStylePr w:type="lastRow">
      <w:rPr>
        <w:b/>
        <w:bCs/>
      </w:rPr>
      <w:tblPr/>
      <w:tcPr>
        <w:tcBorders>
          <w:top w:val="double" w:sz="4" w:space="0" w:color="FFAE85" w:themeColor="accent5" w:themeTint="99"/>
        </w:tcBorders>
      </w:tc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D31020" w:themeColor="accent6" w:themeShade="BF"/>
    </w:rPr>
    <w:tblPr>
      <w:tblStyleRowBandSize w:val="1"/>
      <w:tblStyleColBandSize w:val="1"/>
      <w:tblBorders>
        <w:top w:val="single" w:sz="4" w:space="0" w:color="F68C95" w:themeColor="accent6" w:themeTint="99"/>
        <w:left w:val="single" w:sz="4" w:space="0" w:color="F68C95" w:themeColor="accent6" w:themeTint="99"/>
        <w:bottom w:val="single" w:sz="4" w:space="0" w:color="F68C95" w:themeColor="accent6" w:themeTint="99"/>
        <w:right w:val="single" w:sz="4" w:space="0" w:color="F68C95" w:themeColor="accent6" w:themeTint="99"/>
        <w:insideH w:val="single" w:sz="4" w:space="0" w:color="F68C95" w:themeColor="accent6" w:themeTint="99"/>
        <w:insideV w:val="single" w:sz="4" w:space="0" w:color="F68C95" w:themeColor="accent6" w:themeTint="99"/>
      </w:tblBorders>
    </w:tblPr>
    <w:tblStylePr w:type="firstRow">
      <w:rPr>
        <w:b/>
        <w:bCs/>
      </w:rPr>
      <w:tblPr/>
      <w:tcPr>
        <w:tcBorders>
          <w:bottom w:val="single" w:sz="12" w:space="0" w:color="F68C95" w:themeColor="accent6" w:themeTint="99"/>
        </w:tcBorders>
      </w:tcPr>
    </w:tblStylePr>
    <w:tblStylePr w:type="lastRow">
      <w:rPr>
        <w:b/>
        <w:bCs/>
      </w:rPr>
      <w:tblPr/>
      <w:tcPr>
        <w:tcBorders>
          <w:top w:val="double" w:sz="4" w:space="0" w:color="F68C95" w:themeColor="accent6" w:themeTint="99"/>
        </w:tcBorders>
      </w:tc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0C2B28" w:themeColor="accent1" w:themeShade="BF"/>
    </w:rPr>
    <w:tblPr>
      <w:tblStyleRowBandSize w:val="1"/>
      <w:tblStyleColBandSize w:val="1"/>
      <w:tblBorders>
        <w:top w:val="single" w:sz="4" w:space="0" w:color="35C2B4" w:themeColor="accent1" w:themeTint="99"/>
        <w:left w:val="single" w:sz="4" w:space="0" w:color="35C2B4" w:themeColor="accent1" w:themeTint="99"/>
        <w:bottom w:val="single" w:sz="4" w:space="0" w:color="35C2B4" w:themeColor="accent1" w:themeTint="99"/>
        <w:right w:val="single" w:sz="4" w:space="0" w:color="35C2B4" w:themeColor="accent1" w:themeTint="99"/>
        <w:insideH w:val="single" w:sz="4" w:space="0" w:color="35C2B4" w:themeColor="accent1" w:themeTint="99"/>
        <w:insideV w:val="single" w:sz="4" w:space="0" w:color="35C2B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ECE7" w:themeFill="accent1" w:themeFillTint="33"/>
      </w:tcPr>
    </w:tblStylePr>
    <w:tblStylePr w:type="band1Horz">
      <w:tblPr/>
      <w:tcPr>
        <w:shd w:val="clear" w:color="auto" w:fill="BAECE7" w:themeFill="accent1" w:themeFillTint="33"/>
      </w:tcPr>
    </w:tblStylePr>
    <w:tblStylePr w:type="neCell">
      <w:tblPr/>
      <w:tcPr>
        <w:tcBorders>
          <w:bottom w:val="single" w:sz="4" w:space="0" w:color="35C2B4" w:themeColor="accent1" w:themeTint="99"/>
        </w:tcBorders>
      </w:tcPr>
    </w:tblStylePr>
    <w:tblStylePr w:type="nwCell">
      <w:tblPr/>
      <w:tcPr>
        <w:tcBorders>
          <w:bottom w:val="single" w:sz="4" w:space="0" w:color="35C2B4" w:themeColor="accent1" w:themeTint="99"/>
        </w:tcBorders>
      </w:tcPr>
    </w:tblStylePr>
    <w:tblStylePr w:type="seCell">
      <w:tblPr/>
      <w:tcPr>
        <w:tcBorders>
          <w:top w:val="single" w:sz="4" w:space="0" w:color="35C2B4" w:themeColor="accent1" w:themeTint="99"/>
        </w:tcBorders>
      </w:tcPr>
    </w:tblStylePr>
    <w:tblStylePr w:type="swCell">
      <w:tblPr/>
      <w:tcPr>
        <w:tcBorders>
          <w:top w:val="single" w:sz="4" w:space="0" w:color="35C2B4"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006E4A" w:themeColor="accent2" w:themeShade="BF"/>
    </w:rPr>
    <w:tblPr>
      <w:tblStyleRowBandSize w:val="1"/>
      <w:tblStyleColBandSize w:val="1"/>
      <w:tblBorders>
        <w:top w:val="single" w:sz="4" w:space="0" w:color="25FFB8" w:themeColor="accent2" w:themeTint="99"/>
        <w:left w:val="single" w:sz="4" w:space="0" w:color="25FFB8" w:themeColor="accent2" w:themeTint="99"/>
        <w:bottom w:val="single" w:sz="4" w:space="0" w:color="25FFB8" w:themeColor="accent2" w:themeTint="99"/>
        <w:right w:val="single" w:sz="4" w:space="0" w:color="25FFB8" w:themeColor="accent2" w:themeTint="99"/>
        <w:insideH w:val="single" w:sz="4" w:space="0" w:color="25FFB8" w:themeColor="accent2" w:themeTint="99"/>
        <w:insideV w:val="single" w:sz="4" w:space="0" w:color="25FF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FE7" w:themeFill="accent2" w:themeFillTint="33"/>
      </w:tcPr>
    </w:tblStylePr>
    <w:tblStylePr w:type="band1Horz">
      <w:tblPr/>
      <w:tcPr>
        <w:shd w:val="clear" w:color="auto" w:fill="B6FFE7" w:themeFill="accent2" w:themeFillTint="33"/>
      </w:tcPr>
    </w:tblStylePr>
    <w:tblStylePr w:type="neCell">
      <w:tblPr/>
      <w:tcPr>
        <w:tcBorders>
          <w:bottom w:val="single" w:sz="4" w:space="0" w:color="25FFB8" w:themeColor="accent2" w:themeTint="99"/>
        </w:tcBorders>
      </w:tcPr>
    </w:tblStylePr>
    <w:tblStylePr w:type="nwCell">
      <w:tblPr/>
      <w:tcPr>
        <w:tcBorders>
          <w:bottom w:val="single" w:sz="4" w:space="0" w:color="25FFB8" w:themeColor="accent2" w:themeTint="99"/>
        </w:tcBorders>
      </w:tcPr>
    </w:tblStylePr>
    <w:tblStylePr w:type="seCell">
      <w:tblPr/>
      <w:tcPr>
        <w:tcBorders>
          <w:top w:val="single" w:sz="4" w:space="0" w:color="25FFB8" w:themeColor="accent2" w:themeTint="99"/>
        </w:tcBorders>
      </w:tcPr>
    </w:tblStylePr>
    <w:tblStylePr w:type="swCell">
      <w:tblPr/>
      <w:tcPr>
        <w:tcBorders>
          <w:top w:val="single" w:sz="4" w:space="0" w:color="25FFB8"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F1D112" w:themeColor="accent3" w:themeShade="BF"/>
    </w:rPr>
    <w:tblPr>
      <w:tblStyleRowBandSize w:val="1"/>
      <w:tblStyleColBandSize w:val="1"/>
      <w:tblBorders>
        <w:top w:val="single" w:sz="4" w:space="0" w:color="F9EDA2" w:themeColor="accent3" w:themeTint="99"/>
        <w:left w:val="single" w:sz="4" w:space="0" w:color="F9EDA2" w:themeColor="accent3" w:themeTint="99"/>
        <w:bottom w:val="single" w:sz="4" w:space="0" w:color="F9EDA2" w:themeColor="accent3" w:themeTint="99"/>
        <w:right w:val="single" w:sz="4" w:space="0" w:color="F9EDA2" w:themeColor="accent3" w:themeTint="99"/>
        <w:insideH w:val="single" w:sz="4" w:space="0" w:color="F9EDA2" w:themeColor="accent3" w:themeTint="99"/>
        <w:insideV w:val="single" w:sz="4" w:space="0" w:color="F9EDA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9E0" w:themeFill="accent3" w:themeFillTint="33"/>
      </w:tcPr>
    </w:tblStylePr>
    <w:tblStylePr w:type="band1Horz">
      <w:tblPr/>
      <w:tcPr>
        <w:shd w:val="clear" w:color="auto" w:fill="FDF9E0" w:themeFill="accent3" w:themeFillTint="33"/>
      </w:tcPr>
    </w:tblStylePr>
    <w:tblStylePr w:type="neCell">
      <w:tblPr/>
      <w:tcPr>
        <w:tcBorders>
          <w:bottom w:val="single" w:sz="4" w:space="0" w:color="F9EDA2" w:themeColor="accent3" w:themeTint="99"/>
        </w:tcBorders>
      </w:tcPr>
    </w:tblStylePr>
    <w:tblStylePr w:type="nwCell">
      <w:tblPr/>
      <w:tcPr>
        <w:tcBorders>
          <w:bottom w:val="single" w:sz="4" w:space="0" w:color="F9EDA2" w:themeColor="accent3" w:themeTint="99"/>
        </w:tcBorders>
      </w:tcPr>
    </w:tblStylePr>
    <w:tblStylePr w:type="seCell">
      <w:tblPr/>
      <w:tcPr>
        <w:tcBorders>
          <w:top w:val="single" w:sz="4" w:space="0" w:color="F9EDA2" w:themeColor="accent3" w:themeTint="99"/>
        </w:tcBorders>
      </w:tcPr>
    </w:tblStylePr>
    <w:tblStylePr w:type="swCell">
      <w:tblPr/>
      <w:tcPr>
        <w:tcBorders>
          <w:top w:val="single" w:sz="4" w:space="0" w:color="F9EDA2"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FF9E19" w:themeColor="accent4" w:themeShade="BF"/>
    </w:rPr>
    <w:tblPr>
      <w:tblStyleRowBandSize w:val="1"/>
      <w:tblStyleColBandSize w:val="1"/>
      <w:tblBorders>
        <w:top w:val="single" w:sz="4" w:space="0" w:color="FFDCAD" w:themeColor="accent4" w:themeTint="99"/>
        <w:left w:val="single" w:sz="4" w:space="0" w:color="FFDCAD" w:themeColor="accent4" w:themeTint="99"/>
        <w:bottom w:val="single" w:sz="4" w:space="0" w:color="FFDCAD" w:themeColor="accent4" w:themeTint="99"/>
        <w:right w:val="single" w:sz="4" w:space="0" w:color="FFDCAD" w:themeColor="accent4" w:themeTint="99"/>
        <w:insideH w:val="single" w:sz="4" w:space="0" w:color="FFDCAD" w:themeColor="accent4" w:themeTint="99"/>
        <w:insideV w:val="single" w:sz="4" w:space="0" w:color="FFDC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E3" w:themeFill="accent4" w:themeFillTint="33"/>
      </w:tcPr>
    </w:tblStylePr>
    <w:tblStylePr w:type="band1Horz">
      <w:tblPr/>
      <w:tcPr>
        <w:shd w:val="clear" w:color="auto" w:fill="FFF3E3" w:themeFill="accent4" w:themeFillTint="33"/>
      </w:tcPr>
    </w:tblStylePr>
    <w:tblStylePr w:type="neCell">
      <w:tblPr/>
      <w:tcPr>
        <w:tcBorders>
          <w:bottom w:val="single" w:sz="4" w:space="0" w:color="FFDCAD" w:themeColor="accent4" w:themeTint="99"/>
        </w:tcBorders>
      </w:tcPr>
    </w:tblStylePr>
    <w:tblStylePr w:type="nwCell">
      <w:tblPr/>
      <w:tcPr>
        <w:tcBorders>
          <w:bottom w:val="single" w:sz="4" w:space="0" w:color="FFDCAD" w:themeColor="accent4" w:themeTint="99"/>
        </w:tcBorders>
      </w:tcPr>
    </w:tblStylePr>
    <w:tblStylePr w:type="seCell">
      <w:tblPr/>
      <w:tcPr>
        <w:tcBorders>
          <w:top w:val="single" w:sz="4" w:space="0" w:color="FFDCAD" w:themeColor="accent4" w:themeTint="99"/>
        </w:tcBorders>
      </w:tcPr>
    </w:tblStylePr>
    <w:tblStylePr w:type="swCell">
      <w:tblPr/>
      <w:tcPr>
        <w:tcBorders>
          <w:top w:val="single" w:sz="4" w:space="0" w:color="FFDCAD"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E54E00" w:themeColor="accent5" w:themeShade="BF"/>
    </w:rPr>
    <w:tblPr>
      <w:tblStyleRowBandSize w:val="1"/>
      <w:tblStyleColBandSize w:val="1"/>
      <w:tblBorders>
        <w:top w:val="single" w:sz="4" w:space="0" w:color="FFAE85" w:themeColor="accent5" w:themeTint="99"/>
        <w:left w:val="single" w:sz="4" w:space="0" w:color="FFAE85" w:themeColor="accent5" w:themeTint="99"/>
        <w:bottom w:val="single" w:sz="4" w:space="0" w:color="FFAE85" w:themeColor="accent5" w:themeTint="99"/>
        <w:right w:val="single" w:sz="4" w:space="0" w:color="FFAE85" w:themeColor="accent5" w:themeTint="99"/>
        <w:insideH w:val="single" w:sz="4" w:space="0" w:color="FFAE85" w:themeColor="accent5" w:themeTint="99"/>
        <w:insideV w:val="single" w:sz="4" w:space="0" w:color="FFAE8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4D6" w:themeFill="accent5" w:themeFillTint="33"/>
      </w:tcPr>
    </w:tblStylePr>
    <w:tblStylePr w:type="band1Horz">
      <w:tblPr/>
      <w:tcPr>
        <w:shd w:val="clear" w:color="auto" w:fill="FFE4D6" w:themeFill="accent5" w:themeFillTint="33"/>
      </w:tcPr>
    </w:tblStylePr>
    <w:tblStylePr w:type="neCell">
      <w:tblPr/>
      <w:tcPr>
        <w:tcBorders>
          <w:bottom w:val="single" w:sz="4" w:space="0" w:color="FFAE85" w:themeColor="accent5" w:themeTint="99"/>
        </w:tcBorders>
      </w:tcPr>
    </w:tblStylePr>
    <w:tblStylePr w:type="nwCell">
      <w:tblPr/>
      <w:tcPr>
        <w:tcBorders>
          <w:bottom w:val="single" w:sz="4" w:space="0" w:color="FFAE85" w:themeColor="accent5" w:themeTint="99"/>
        </w:tcBorders>
      </w:tcPr>
    </w:tblStylePr>
    <w:tblStylePr w:type="seCell">
      <w:tblPr/>
      <w:tcPr>
        <w:tcBorders>
          <w:top w:val="single" w:sz="4" w:space="0" w:color="FFAE85" w:themeColor="accent5" w:themeTint="99"/>
        </w:tcBorders>
      </w:tcPr>
    </w:tblStylePr>
    <w:tblStylePr w:type="swCell">
      <w:tblPr/>
      <w:tcPr>
        <w:tcBorders>
          <w:top w:val="single" w:sz="4" w:space="0" w:color="FFAE85"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D31020" w:themeColor="accent6" w:themeShade="BF"/>
    </w:rPr>
    <w:tblPr>
      <w:tblStyleRowBandSize w:val="1"/>
      <w:tblStyleColBandSize w:val="1"/>
      <w:tblBorders>
        <w:top w:val="single" w:sz="4" w:space="0" w:color="F68C95" w:themeColor="accent6" w:themeTint="99"/>
        <w:left w:val="single" w:sz="4" w:space="0" w:color="F68C95" w:themeColor="accent6" w:themeTint="99"/>
        <w:bottom w:val="single" w:sz="4" w:space="0" w:color="F68C95" w:themeColor="accent6" w:themeTint="99"/>
        <w:right w:val="single" w:sz="4" w:space="0" w:color="F68C95" w:themeColor="accent6" w:themeTint="99"/>
        <w:insideH w:val="single" w:sz="4" w:space="0" w:color="F68C95" w:themeColor="accent6" w:themeTint="99"/>
        <w:insideV w:val="single" w:sz="4" w:space="0" w:color="F68C9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8DB" w:themeFill="accent6" w:themeFillTint="33"/>
      </w:tcPr>
    </w:tblStylePr>
    <w:tblStylePr w:type="band1Horz">
      <w:tblPr/>
      <w:tcPr>
        <w:shd w:val="clear" w:color="auto" w:fill="FCD8DB" w:themeFill="accent6" w:themeFillTint="33"/>
      </w:tcPr>
    </w:tblStylePr>
    <w:tblStylePr w:type="neCell">
      <w:tblPr/>
      <w:tcPr>
        <w:tcBorders>
          <w:bottom w:val="single" w:sz="4" w:space="0" w:color="F68C95" w:themeColor="accent6" w:themeTint="99"/>
        </w:tcBorders>
      </w:tcPr>
    </w:tblStylePr>
    <w:tblStylePr w:type="nwCell">
      <w:tblPr/>
      <w:tcPr>
        <w:tcBorders>
          <w:bottom w:val="single" w:sz="4" w:space="0" w:color="F68C95" w:themeColor="accent6" w:themeTint="99"/>
        </w:tcBorders>
      </w:tcPr>
    </w:tblStylePr>
    <w:tblStylePr w:type="seCell">
      <w:tblPr/>
      <w:tcPr>
        <w:tcBorders>
          <w:top w:val="single" w:sz="4" w:space="0" w:color="F68C95" w:themeColor="accent6" w:themeTint="99"/>
        </w:tcBorders>
      </w:tcPr>
    </w:tblStylePr>
    <w:tblStylePr w:type="swCell">
      <w:tblPr/>
      <w:tcPr>
        <w:tcBorders>
          <w:top w:val="single" w:sz="4" w:space="0" w:color="F68C95"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103A36" w:themeColor="accent1"/>
        <w:left w:val="single" w:sz="8" w:space="0" w:color="103A36" w:themeColor="accent1"/>
        <w:bottom w:val="single" w:sz="8" w:space="0" w:color="103A36" w:themeColor="accent1"/>
        <w:right w:val="single" w:sz="8" w:space="0" w:color="103A36" w:themeColor="accent1"/>
        <w:insideH w:val="single" w:sz="8" w:space="0" w:color="103A36" w:themeColor="accent1"/>
        <w:insideV w:val="single" w:sz="8" w:space="0" w:color="103A3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3A36" w:themeColor="accent1"/>
          <w:left w:val="single" w:sz="8" w:space="0" w:color="103A36" w:themeColor="accent1"/>
          <w:bottom w:val="single" w:sz="18" w:space="0" w:color="103A36" w:themeColor="accent1"/>
          <w:right w:val="single" w:sz="8" w:space="0" w:color="103A36" w:themeColor="accent1"/>
          <w:insideH w:val="nil"/>
          <w:insideV w:val="single" w:sz="8" w:space="0" w:color="103A3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3A36" w:themeColor="accent1"/>
          <w:left w:val="single" w:sz="8" w:space="0" w:color="103A36" w:themeColor="accent1"/>
          <w:bottom w:val="single" w:sz="8" w:space="0" w:color="103A36" w:themeColor="accent1"/>
          <w:right w:val="single" w:sz="8" w:space="0" w:color="103A36" w:themeColor="accent1"/>
          <w:insideH w:val="nil"/>
          <w:insideV w:val="single" w:sz="8" w:space="0" w:color="103A3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3A36" w:themeColor="accent1"/>
          <w:left w:val="single" w:sz="8" w:space="0" w:color="103A36" w:themeColor="accent1"/>
          <w:bottom w:val="single" w:sz="8" w:space="0" w:color="103A36" w:themeColor="accent1"/>
          <w:right w:val="single" w:sz="8" w:space="0" w:color="103A36" w:themeColor="accent1"/>
        </w:tcBorders>
      </w:tcPr>
    </w:tblStylePr>
    <w:tblStylePr w:type="band1Vert">
      <w:tblPr/>
      <w:tcPr>
        <w:tcBorders>
          <w:top w:val="single" w:sz="8" w:space="0" w:color="103A36" w:themeColor="accent1"/>
          <w:left w:val="single" w:sz="8" w:space="0" w:color="103A36" w:themeColor="accent1"/>
          <w:bottom w:val="single" w:sz="8" w:space="0" w:color="103A36" w:themeColor="accent1"/>
          <w:right w:val="single" w:sz="8" w:space="0" w:color="103A36" w:themeColor="accent1"/>
        </w:tcBorders>
        <w:shd w:val="clear" w:color="auto" w:fill="AAE7E1" w:themeFill="accent1" w:themeFillTint="3F"/>
      </w:tcPr>
    </w:tblStylePr>
    <w:tblStylePr w:type="band1Horz">
      <w:tblPr/>
      <w:tcPr>
        <w:tcBorders>
          <w:top w:val="single" w:sz="8" w:space="0" w:color="103A36" w:themeColor="accent1"/>
          <w:left w:val="single" w:sz="8" w:space="0" w:color="103A36" w:themeColor="accent1"/>
          <w:bottom w:val="single" w:sz="8" w:space="0" w:color="103A36" w:themeColor="accent1"/>
          <w:right w:val="single" w:sz="8" w:space="0" w:color="103A36" w:themeColor="accent1"/>
          <w:insideV w:val="single" w:sz="8" w:space="0" w:color="103A36" w:themeColor="accent1"/>
        </w:tcBorders>
        <w:shd w:val="clear" w:color="auto" w:fill="AAE7E1" w:themeFill="accent1" w:themeFillTint="3F"/>
      </w:tcPr>
    </w:tblStylePr>
    <w:tblStylePr w:type="band2Horz">
      <w:tblPr/>
      <w:tcPr>
        <w:tcBorders>
          <w:top w:val="single" w:sz="8" w:space="0" w:color="103A36" w:themeColor="accent1"/>
          <w:left w:val="single" w:sz="8" w:space="0" w:color="103A36" w:themeColor="accent1"/>
          <w:bottom w:val="single" w:sz="8" w:space="0" w:color="103A36" w:themeColor="accent1"/>
          <w:right w:val="single" w:sz="8" w:space="0" w:color="103A36" w:themeColor="accent1"/>
          <w:insideV w:val="single" w:sz="8" w:space="0" w:color="103A36"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009364" w:themeColor="accent2"/>
        <w:left w:val="single" w:sz="8" w:space="0" w:color="009364" w:themeColor="accent2"/>
        <w:bottom w:val="single" w:sz="8" w:space="0" w:color="009364" w:themeColor="accent2"/>
        <w:right w:val="single" w:sz="8" w:space="0" w:color="009364" w:themeColor="accent2"/>
        <w:insideH w:val="single" w:sz="8" w:space="0" w:color="009364" w:themeColor="accent2"/>
        <w:insideV w:val="single" w:sz="8" w:space="0" w:color="00936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364" w:themeColor="accent2"/>
          <w:left w:val="single" w:sz="8" w:space="0" w:color="009364" w:themeColor="accent2"/>
          <w:bottom w:val="single" w:sz="18" w:space="0" w:color="009364" w:themeColor="accent2"/>
          <w:right w:val="single" w:sz="8" w:space="0" w:color="009364" w:themeColor="accent2"/>
          <w:insideH w:val="nil"/>
          <w:insideV w:val="single" w:sz="8" w:space="0" w:color="00936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364" w:themeColor="accent2"/>
          <w:left w:val="single" w:sz="8" w:space="0" w:color="009364" w:themeColor="accent2"/>
          <w:bottom w:val="single" w:sz="8" w:space="0" w:color="009364" w:themeColor="accent2"/>
          <w:right w:val="single" w:sz="8" w:space="0" w:color="009364" w:themeColor="accent2"/>
          <w:insideH w:val="nil"/>
          <w:insideV w:val="single" w:sz="8" w:space="0" w:color="00936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364" w:themeColor="accent2"/>
          <w:left w:val="single" w:sz="8" w:space="0" w:color="009364" w:themeColor="accent2"/>
          <w:bottom w:val="single" w:sz="8" w:space="0" w:color="009364" w:themeColor="accent2"/>
          <w:right w:val="single" w:sz="8" w:space="0" w:color="009364" w:themeColor="accent2"/>
        </w:tcBorders>
      </w:tcPr>
    </w:tblStylePr>
    <w:tblStylePr w:type="band1Vert">
      <w:tblPr/>
      <w:tcPr>
        <w:tcBorders>
          <w:top w:val="single" w:sz="8" w:space="0" w:color="009364" w:themeColor="accent2"/>
          <w:left w:val="single" w:sz="8" w:space="0" w:color="009364" w:themeColor="accent2"/>
          <w:bottom w:val="single" w:sz="8" w:space="0" w:color="009364" w:themeColor="accent2"/>
          <w:right w:val="single" w:sz="8" w:space="0" w:color="009364" w:themeColor="accent2"/>
        </w:tcBorders>
        <w:shd w:val="clear" w:color="auto" w:fill="A5FFE2" w:themeFill="accent2" w:themeFillTint="3F"/>
      </w:tcPr>
    </w:tblStylePr>
    <w:tblStylePr w:type="band1Horz">
      <w:tblPr/>
      <w:tcPr>
        <w:tcBorders>
          <w:top w:val="single" w:sz="8" w:space="0" w:color="009364" w:themeColor="accent2"/>
          <w:left w:val="single" w:sz="8" w:space="0" w:color="009364" w:themeColor="accent2"/>
          <w:bottom w:val="single" w:sz="8" w:space="0" w:color="009364" w:themeColor="accent2"/>
          <w:right w:val="single" w:sz="8" w:space="0" w:color="009364" w:themeColor="accent2"/>
          <w:insideV w:val="single" w:sz="8" w:space="0" w:color="009364" w:themeColor="accent2"/>
        </w:tcBorders>
        <w:shd w:val="clear" w:color="auto" w:fill="A5FFE2" w:themeFill="accent2" w:themeFillTint="3F"/>
      </w:tcPr>
    </w:tblStylePr>
    <w:tblStylePr w:type="band2Horz">
      <w:tblPr/>
      <w:tcPr>
        <w:tcBorders>
          <w:top w:val="single" w:sz="8" w:space="0" w:color="009364" w:themeColor="accent2"/>
          <w:left w:val="single" w:sz="8" w:space="0" w:color="009364" w:themeColor="accent2"/>
          <w:bottom w:val="single" w:sz="8" w:space="0" w:color="009364" w:themeColor="accent2"/>
          <w:right w:val="single" w:sz="8" w:space="0" w:color="009364" w:themeColor="accent2"/>
          <w:insideV w:val="single" w:sz="8" w:space="0" w:color="009364"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F6E265" w:themeColor="accent3"/>
        <w:left w:val="single" w:sz="8" w:space="0" w:color="F6E265" w:themeColor="accent3"/>
        <w:bottom w:val="single" w:sz="8" w:space="0" w:color="F6E265" w:themeColor="accent3"/>
        <w:right w:val="single" w:sz="8" w:space="0" w:color="F6E265" w:themeColor="accent3"/>
        <w:insideH w:val="single" w:sz="8" w:space="0" w:color="F6E265" w:themeColor="accent3"/>
        <w:insideV w:val="single" w:sz="8" w:space="0" w:color="F6E26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265" w:themeColor="accent3"/>
          <w:left w:val="single" w:sz="8" w:space="0" w:color="F6E265" w:themeColor="accent3"/>
          <w:bottom w:val="single" w:sz="18" w:space="0" w:color="F6E265" w:themeColor="accent3"/>
          <w:right w:val="single" w:sz="8" w:space="0" w:color="F6E265" w:themeColor="accent3"/>
          <w:insideH w:val="nil"/>
          <w:insideV w:val="single" w:sz="8" w:space="0" w:color="F6E26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265" w:themeColor="accent3"/>
          <w:left w:val="single" w:sz="8" w:space="0" w:color="F6E265" w:themeColor="accent3"/>
          <w:bottom w:val="single" w:sz="8" w:space="0" w:color="F6E265" w:themeColor="accent3"/>
          <w:right w:val="single" w:sz="8" w:space="0" w:color="F6E265" w:themeColor="accent3"/>
          <w:insideH w:val="nil"/>
          <w:insideV w:val="single" w:sz="8" w:space="0" w:color="F6E26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265" w:themeColor="accent3"/>
          <w:left w:val="single" w:sz="8" w:space="0" w:color="F6E265" w:themeColor="accent3"/>
          <w:bottom w:val="single" w:sz="8" w:space="0" w:color="F6E265" w:themeColor="accent3"/>
          <w:right w:val="single" w:sz="8" w:space="0" w:color="F6E265" w:themeColor="accent3"/>
        </w:tcBorders>
      </w:tcPr>
    </w:tblStylePr>
    <w:tblStylePr w:type="band1Vert">
      <w:tblPr/>
      <w:tcPr>
        <w:tcBorders>
          <w:top w:val="single" w:sz="8" w:space="0" w:color="F6E265" w:themeColor="accent3"/>
          <w:left w:val="single" w:sz="8" w:space="0" w:color="F6E265" w:themeColor="accent3"/>
          <w:bottom w:val="single" w:sz="8" w:space="0" w:color="F6E265" w:themeColor="accent3"/>
          <w:right w:val="single" w:sz="8" w:space="0" w:color="F6E265" w:themeColor="accent3"/>
        </w:tcBorders>
        <w:shd w:val="clear" w:color="auto" w:fill="FCF7D8" w:themeFill="accent3" w:themeFillTint="3F"/>
      </w:tcPr>
    </w:tblStylePr>
    <w:tblStylePr w:type="band1Horz">
      <w:tblPr/>
      <w:tcPr>
        <w:tcBorders>
          <w:top w:val="single" w:sz="8" w:space="0" w:color="F6E265" w:themeColor="accent3"/>
          <w:left w:val="single" w:sz="8" w:space="0" w:color="F6E265" w:themeColor="accent3"/>
          <w:bottom w:val="single" w:sz="8" w:space="0" w:color="F6E265" w:themeColor="accent3"/>
          <w:right w:val="single" w:sz="8" w:space="0" w:color="F6E265" w:themeColor="accent3"/>
          <w:insideV w:val="single" w:sz="8" w:space="0" w:color="F6E265" w:themeColor="accent3"/>
        </w:tcBorders>
        <w:shd w:val="clear" w:color="auto" w:fill="FCF7D8" w:themeFill="accent3" w:themeFillTint="3F"/>
      </w:tcPr>
    </w:tblStylePr>
    <w:tblStylePr w:type="band2Horz">
      <w:tblPr/>
      <w:tcPr>
        <w:tcBorders>
          <w:top w:val="single" w:sz="8" w:space="0" w:color="F6E265" w:themeColor="accent3"/>
          <w:left w:val="single" w:sz="8" w:space="0" w:color="F6E265" w:themeColor="accent3"/>
          <w:bottom w:val="single" w:sz="8" w:space="0" w:color="F6E265" w:themeColor="accent3"/>
          <w:right w:val="single" w:sz="8" w:space="0" w:color="F6E265" w:themeColor="accent3"/>
          <w:insideV w:val="single" w:sz="8" w:space="0" w:color="F6E265"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FC677" w:themeColor="accent4"/>
        <w:left w:val="single" w:sz="8" w:space="0" w:color="FFC677" w:themeColor="accent4"/>
        <w:bottom w:val="single" w:sz="8" w:space="0" w:color="FFC677" w:themeColor="accent4"/>
        <w:right w:val="single" w:sz="8" w:space="0" w:color="FFC677" w:themeColor="accent4"/>
        <w:insideH w:val="single" w:sz="8" w:space="0" w:color="FFC677" w:themeColor="accent4"/>
        <w:insideV w:val="single" w:sz="8" w:space="0" w:color="FFC67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677" w:themeColor="accent4"/>
          <w:left w:val="single" w:sz="8" w:space="0" w:color="FFC677" w:themeColor="accent4"/>
          <w:bottom w:val="single" w:sz="18" w:space="0" w:color="FFC677" w:themeColor="accent4"/>
          <w:right w:val="single" w:sz="8" w:space="0" w:color="FFC677" w:themeColor="accent4"/>
          <w:insideH w:val="nil"/>
          <w:insideV w:val="single" w:sz="8" w:space="0" w:color="FFC67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677" w:themeColor="accent4"/>
          <w:left w:val="single" w:sz="8" w:space="0" w:color="FFC677" w:themeColor="accent4"/>
          <w:bottom w:val="single" w:sz="8" w:space="0" w:color="FFC677" w:themeColor="accent4"/>
          <w:right w:val="single" w:sz="8" w:space="0" w:color="FFC677" w:themeColor="accent4"/>
          <w:insideH w:val="nil"/>
          <w:insideV w:val="single" w:sz="8" w:space="0" w:color="FFC67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677" w:themeColor="accent4"/>
          <w:left w:val="single" w:sz="8" w:space="0" w:color="FFC677" w:themeColor="accent4"/>
          <w:bottom w:val="single" w:sz="8" w:space="0" w:color="FFC677" w:themeColor="accent4"/>
          <w:right w:val="single" w:sz="8" w:space="0" w:color="FFC677" w:themeColor="accent4"/>
        </w:tcBorders>
      </w:tcPr>
    </w:tblStylePr>
    <w:tblStylePr w:type="band1Vert">
      <w:tblPr/>
      <w:tcPr>
        <w:tcBorders>
          <w:top w:val="single" w:sz="8" w:space="0" w:color="FFC677" w:themeColor="accent4"/>
          <w:left w:val="single" w:sz="8" w:space="0" w:color="FFC677" w:themeColor="accent4"/>
          <w:bottom w:val="single" w:sz="8" w:space="0" w:color="FFC677" w:themeColor="accent4"/>
          <w:right w:val="single" w:sz="8" w:space="0" w:color="FFC677" w:themeColor="accent4"/>
        </w:tcBorders>
        <w:shd w:val="clear" w:color="auto" w:fill="FFF0DD" w:themeFill="accent4" w:themeFillTint="3F"/>
      </w:tcPr>
    </w:tblStylePr>
    <w:tblStylePr w:type="band1Horz">
      <w:tblPr/>
      <w:tcPr>
        <w:tcBorders>
          <w:top w:val="single" w:sz="8" w:space="0" w:color="FFC677" w:themeColor="accent4"/>
          <w:left w:val="single" w:sz="8" w:space="0" w:color="FFC677" w:themeColor="accent4"/>
          <w:bottom w:val="single" w:sz="8" w:space="0" w:color="FFC677" w:themeColor="accent4"/>
          <w:right w:val="single" w:sz="8" w:space="0" w:color="FFC677" w:themeColor="accent4"/>
          <w:insideV w:val="single" w:sz="8" w:space="0" w:color="FFC677" w:themeColor="accent4"/>
        </w:tcBorders>
        <w:shd w:val="clear" w:color="auto" w:fill="FFF0DD" w:themeFill="accent4" w:themeFillTint="3F"/>
      </w:tcPr>
    </w:tblStylePr>
    <w:tblStylePr w:type="band2Horz">
      <w:tblPr/>
      <w:tcPr>
        <w:tcBorders>
          <w:top w:val="single" w:sz="8" w:space="0" w:color="FFC677" w:themeColor="accent4"/>
          <w:left w:val="single" w:sz="8" w:space="0" w:color="FFC677" w:themeColor="accent4"/>
          <w:bottom w:val="single" w:sz="8" w:space="0" w:color="FFC677" w:themeColor="accent4"/>
          <w:right w:val="single" w:sz="8" w:space="0" w:color="FFC677" w:themeColor="accent4"/>
          <w:insideV w:val="single" w:sz="8" w:space="0" w:color="FFC677"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FF7A34" w:themeColor="accent5"/>
        <w:left w:val="single" w:sz="8" w:space="0" w:color="FF7A34" w:themeColor="accent5"/>
        <w:bottom w:val="single" w:sz="8" w:space="0" w:color="FF7A34" w:themeColor="accent5"/>
        <w:right w:val="single" w:sz="8" w:space="0" w:color="FF7A34" w:themeColor="accent5"/>
        <w:insideH w:val="single" w:sz="8" w:space="0" w:color="FF7A34" w:themeColor="accent5"/>
        <w:insideV w:val="single" w:sz="8" w:space="0" w:color="FF7A3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A34" w:themeColor="accent5"/>
          <w:left w:val="single" w:sz="8" w:space="0" w:color="FF7A34" w:themeColor="accent5"/>
          <w:bottom w:val="single" w:sz="18" w:space="0" w:color="FF7A34" w:themeColor="accent5"/>
          <w:right w:val="single" w:sz="8" w:space="0" w:color="FF7A34" w:themeColor="accent5"/>
          <w:insideH w:val="nil"/>
          <w:insideV w:val="single" w:sz="8" w:space="0" w:color="FF7A3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A34" w:themeColor="accent5"/>
          <w:left w:val="single" w:sz="8" w:space="0" w:color="FF7A34" w:themeColor="accent5"/>
          <w:bottom w:val="single" w:sz="8" w:space="0" w:color="FF7A34" w:themeColor="accent5"/>
          <w:right w:val="single" w:sz="8" w:space="0" w:color="FF7A34" w:themeColor="accent5"/>
          <w:insideH w:val="nil"/>
          <w:insideV w:val="single" w:sz="8" w:space="0" w:color="FF7A3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A34" w:themeColor="accent5"/>
          <w:left w:val="single" w:sz="8" w:space="0" w:color="FF7A34" w:themeColor="accent5"/>
          <w:bottom w:val="single" w:sz="8" w:space="0" w:color="FF7A34" w:themeColor="accent5"/>
          <w:right w:val="single" w:sz="8" w:space="0" w:color="FF7A34" w:themeColor="accent5"/>
        </w:tcBorders>
      </w:tcPr>
    </w:tblStylePr>
    <w:tblStylePr w:type="band1Vert">
      <w:tblPr/>
      <w:tcPr>
        <w:tcBorders>
          <w:top w:val="single" w:sz="8" w:space="0" w:color="FF7A34" w:themeColor="accent5"/>
          <w:left w:val="single" w:sz="8" w:space="0" w:color="FF7A34" w:themeColor="accent5"/>
          <w:bottom w:val="single" w:sz="8" w:space="0" w:color="FF7A34" w:themeColor="accent5"/>
          <w:right w:val="single" w:sz="8" w:space="0" w:color="FF7A34" w:themeColor="accent5"/>
        </w:tcBorders>
        <w:shd w:val="clear" w:color="auto" w:fill="FFDDCC" w:themeFill="accent5" w:themeFillTint="3F"/>
      </w:tcPr>
    </w:tblStylePr>
    <w:tblStylePr w:type="band1Horz">
      <w:tblPr/>
      <w:tcPr>
        <w:tcBorders>
          <w:top w:val="single" w:sz="8" w:space="0" w:color="FF7A34" w:themeColor="accent5"/>
          <w:left w:val="single" w:sz="8" w:space="0" w:color="FF7A34" w:themeColor="accent5"/>
          <w:bottom w:val="single" w:sz="8" w:space="0" w:color="FF7A34" w:themeColor="accent5"/>
          <w:right w:val="single" w:sz="8" w:space="0" w:color="FF7A34" w:themeColor="accent5"/>
          <w:insideV w:val="single" w:sz="8" w:space="0" w:color="FF7A34" w:themeColor="accent5"/>
        </w:tcBorders>
        <w:shd w:val="clear" w:color="auto" w:fill="FFDDCC" w:themeFill="accent5" w:themeFillTint="3F"/>
      </w:tcPr>
    </w:tblStylePr>
    <w:tblStylePr w:type="band2Horz">
      <w:tblPr/>
      <w:tcPr>
        <w:tcBorders>
          <w:top w:val="single" w:sz="8" w:space="0" w:color="FF7A34" w:themeColor="accent5"/>
          <w:left w:val="single" w:sz="8" w:space="0" w:color="FF7A34" w:themeColor="accent5"/>
          <w:bottom w:val="single" w:sz="8" w:space="0" w:color="FF7A34" w:themeColor="accent5"/>
          <w:right w:val="single" w:sz="8" w:space="0" w:color="FF7A34" w:themeColor="accent5"/>
          <w:insideV w:val="single" w:sz="8" w:space="0" w:color="FF7A34"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F0404F" w:themeColor="accent6"/>
        <w:left w:val="single" w:sz="8" w:space="0" w:color="F0404F" w:themeColor="accent6"/>
        <w:bottom w:val="single" w:sz="8" w:space="0" w:color="F0404F" w:themeColor="accent6"/>
        <w:right w:val="single" w:sz="8" w:space="0" w:color="F0404F" w:themeColor="accent6"/>
        <w:insideH w:val="single" w:sz="8" w:space="0" w:color="F0404F" w:themeColor="accent6"/>
        <w:insideV w:val="single" w:sz="8" w:space="0" w:color="F0404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04F" w:themeColor="accent6"/>
          <w:left w:val="single" w:sz="8" w:space="0" w:color="F0404F" w:themeColor="accent6"/>
          <w:bottom w:val="single" w:sz="18" w:space="0" w:color="F0404F" w:themeColor="accent6"/>
          <w:right w:val="single" w:sz="8" w:space="0" w:color="F0404F" w:themeColor="accent6"/>
          <w:insideH w:val="nil"/>
          <w:insideV w:val="single" w:sz="8" w:space="0" w:color="F0404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04F" w:themeColor="accent6"/>
          <w:left w:val="single" w:sz="8" w:space="0" w:color="F0404F" w:themeColor="accent6"/>
          <w:bottom w:val="single" w:sz="8" w:space="0" w:color="F0404F" w:themeColor="accent6"/>
          <w:right w:val="single" w:sz="8" w:space="0" w:color="F0404F" w:themeColor="accent6"/>
          <w:insideH w:val="nil"/>
          <w:insideV w:val="single" w:sz="8" w:space="0" w:color="F0404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04F" w:themeColor="accent6"/>
          <w:left w:val="single" w:sz="8" w:space="0" w:color="F0404F" w:themeColor="accent6"/>
          <w:bottom w:val="single" w:sz="8" w:space="0" w:color="F0404F" w:themeColor="accent6"/>
          <w:right w:val="single" w:sz="8" w:space="0" w:color="F0404F" w:themeColor="accent6"/>
        </w:tcBorders>
      </w:tcPr>
    </w:tblStylePr>
    <w:tblStylePr w:type="band1Vert">
      <w:tblPr/>
      <w:tcPr>
        <w:tcBorders>
          <w:top w:val="single" w:sz="8" w:space="0" w:color="F0404F" w:themeColor="accent6"/>
          <w:left w:val="single" w:sz="8" w:space="0" w:color="F0404F" w:themeColor="accent6"/>
          <w:bottom w:val="single" w:sz="8" w:space="0" w:color="F0404F" w:themeColor="accent6"/>
          <w:right w:val="single" w:sz="8" w:space="0" w:color="F0404F" w:themeColor="accent6"/>
        </w:tcBorders>
        <w:shd w:val="clear" w:color="auto" w:fill="FBCFD3" w:themeFill="accent6" w:themeFillTint="3F"/>
      </w:tcPr>
    </w:tblStylePr>
    <w:tblStylePr w:type="band1Horz">
      <w:tblPr/>
      <w:tcPr>
        <w:tcBorders>
          <w:top w:val="single" w:sz="8" w:space="0" w:color="F0404F" w:themeColor="accent6"/>
          <w:left w:val="single" w:sz="8" w:space="0" w:color="F0404F" w:themeColor="accent6"/>
          <w:bottom w:val="single" w:sz="8" w:space="0" w:color="F0404F" w:themeColor="accent6"/>
          <w:right w:val="single" w:sz="8" w:space="0" w:color="F0404F" w:themeColor="accent6"/>
          <w:insideV w:val="single" w:sz="8" w:space="0" w:color="F0404F" w:themeColor="accent6"/>
        </w:tcBorders>
        <w:shd w:val="clear" w:color="auto" w:fill="FBCFD3" w:themeFill="accent6" w:themeFillTint="3F"/>
      </w:tcPr>
    </w:tblStylePr>
    <w:tblStylePr w:type="band2Horz">
      <w:tblPr/>
      <w:tcPr>
        <w:tcBorders>
          <w:top w:val="single" w:sz="8" w:space="0" w:color="F0404F" w:themeColor="accent6"/>
          <w:left w:val="single" w:sz="8" w:space="0" w:color="F0404F" w:themeColor="accent6"/>
          <w:bottom w:val="single" w:sz="8" w:space="0" w:color="F0404F" w:themeColor="accent6"/>
          <w:right w:val="single" w:sz="8" w:space="0" w:color="F0404F" w:themeColor="accent6"/>
          <w:insideV w:val="single" w:sz="8" w:space="0" w:color="F0404F"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103A36" w:themeColor="accent1"/>
        <w:left w:val="single" w:sz="8" w:space="0" w:color="103A36" w:themeColor="accent1"/>
        <w:bottom w:val="single" w:sz="8" w:space="0" w:color="103A36" w:themeColor="accent1"/>
        <w:right w:val="single" w:sz="8" w:space="0" w:color="103A36" w:themeColor="accent1"/>
      </w:tblBorders>
    </w:tblPr>
    <w:tblStylePr w:type="firstRow">
      <w:pPr>
        <w:spacing w:before="0" w:after="0" w:line="240" w:lineRule="auto"/>
      </w:pPr>
      <w:rPr>
        <w:b/>
        <w:bCs/>
        <w:color w:val="FFFFFF" w:themeColor="background1"/>
      </w:rPr>
      <w:tblPr/>
      <w:tcPr>
        <w:shd w:val="clear" w:color="auto" w:fill="103A36" w:themeFill="accent1"/>
      </w:tcPr>
    </w:tblStylePr>
    <w:tblStylePr w:type="lastRow">
      <w:pPr>
        <w:spacing w:before="0" w:after="0" w:line="240" w:lineRule="auto"/>
      </w:pPr>
      <w:rPr>
        <w:b/>
        <w:bCs/>
      </w:rPr>
      <w:tblPr/>
      <w:tcPr>
        <w:tcBorders>
          <w:top w:val="double" w:sz="6" w:space="0" w:color="103A36" w:themeColor="accent1"/>
          <w:left w:val="single" w:sz="8" w:space="0" w:color="103A36" w:themeColor="accent1"/>
          <w:bottom w:val="single" w:sz="8" w:space="0" w:color="103A36" w:themeColor="accent1"/>
          <w:right w:val="single" w:sz="8" w:space="0" w:color="103A36" w:themeColor="accent1"/>
        </w:tcBorders>
      </w:tcPr>
    </w:tblStylePr>
    <w:tblStylePr w:type="firstCol">
      <w:rPr>
        <w:b/>
        <w:bCs/>
      </w:rPr>
    </w:tblStylePr>
    <w:tblStylePr w:type="lastCol">
      <w:rPr>
        <w:b/>
        <w:bCs/>
      </w:rPr>
    </w:tblStylePr>
    <w:tblStylePr w:type="band1Vert">
      <w:tblPr/>
      <w:tcPr>
        <w:tcBorders>
          <w:top w:val="single" w:sz="8" w:space="0" w:color="103A36" w:themeColor="accent1"/>
          <w:left w:val="single" w:sz="8" w:space="0" w:color="103A36" w:themeColor="accent1"/>
          <w:bottom w:val="single" w:sz="8" w:space="0" w:color="103A36" w:themeColor="accent1"/>
          <w:right w:val="single" w:sz="8" w:space="0" w:color="103A36" w:themeColor="accent1"/>
        </w:tcBorders>
      </w:tcPr>
    </w:tblStylePr>
    <w:tblStylePr w:type="band1Horz">
      <w:tblPr/>
      <w:tcPr>
        <w:tcBorders>
          <w:top w:val="single" w:sz="8" w:space="0" w:color="103A36" w:themeColor="accent1"/>
          <w:left w:val="single" w:sz="8" w:space="0" w:color="103A36" w:themeColor="accent1"/>
          <w:bottom w:val="single" w:sz="8" w:space="0" w:color="103A36" w:themeColor="accent1"/>
          <w:right w:val="single" w:sz="8" w:space="0" w:color="103A36"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009364" w:themeColor="accent2"/>
        <w:left w:val="single" w:sz="8" w:space="0" w:color="009364" w:themeColor="accent2"/>
        <w:bottom w:val="single" w:sz="8" w:space="0" w:color="009364" w:themeColor="accent2"/>
        <w:right w:val="single" w:sz="8" w:space="0" w:color="009364" w:themeColor="accent2"/>
      </w:tblBorders>
    </w:tblPr>
    <w:tblStylePr w:type="firstRow">
      <w:pPr>
        <w:spacing w:before="0" w:after="0" w:line="240" w:lineRule="auto"/>
      </w:pPr>
      <w:rPr>
        <w:b/>
        <w:bCs/>
        <w:color w:val="FFFFFF" w:themeColor="background1"/>
      </w:rPr>
      <w:tblPr/>
      <w:tcPr>
        <w:shd w:val="clear" w:color="auto" w:fill="009364" w:themeFill="accent2"/>
      </w:tcPr>
    </w:tblStylePr>
    <w:tblStylePr w:type="lastRow">
      <w:pPr>
        <w:spacing w:before="0" w:after="0" w:line="240" w:lineRule="auto"/>
      </w:pPr>
      <w:rPr>
        <w:b/>
        <w:bCs/>
      </w:rPr>
      <w:tblPr/>
      <w:tcPr>
        <w:tcBorders>
          <w:top w:val="double" w:sz="6" w:space="0" w:color="009364" w:themeColor="accent2"/>
          <w:left w:val="single" w:sz="8" w:space="0" w:color="009364" w:themeColor="accent2"/>
          <w:bottom w:val="single" w:sz="8" w:space="0" w:color="009364" w:themeColor="accent2"/>
          <w:right w:val="single" w:sz="8" w:space="0" w:color="009364" w:themeColor="accent2"/>
        </w:tcBorders>
      </w:tcPr>
    </w:tblStylePr>
    <w:tblStylePr w:type="firstCol">
      <w:rPr>
        <w:b/>
        <w:bCs/>
      </w:rPr>
    </w:tblStylePr>
    <w:tblStylePr w:type="lastCol">
      <w:rPr>
        <w:b/>
        <w:bCs/>
      </w:rPr>
    </w:tblStylePr>
    <w:tblStylePr w:type="band1Vert">
      <w:tblPr/>
      <w:tcPr>
        <w:tcBorders>
          <w:top w:val="single" w:sz="8" w:space="0" w:color="009364" w:themeColor="accent2"/>
          <w:left w:val="single" w:sz="8" w:space="0" w:color="009364" w:themeColor="accent2"/>
          <w:bottom w:val="single" w:sz="8" w:space="0" w:color="009364" w:themeColor="accent2"/>
          <w:right w:val="single" w:sz="8" w:space="0" w:color="009364" w:themeColor="accent2"/>
        </w:tcBorders>
      </w:tcPr>
    </w:tblStylePr>
    <w:tblStylePr w:type="band1Horz">
      <w:tblPr/>
      <w:tcPr>
        <w:tcBorders>
          <w:top w:val="single" w:sz="8" w:space="0" w:color="009364" w:themeColor="accent2"/>
          <w:left w:val="single" w:sz="8" w:space="0" w:color="009364" w:themeColor="accent2"/>
          <w:bottom w:val="single" w:sz="8" w:space="0" w:color="009364" w:themeColor="accent2"/>
          <w:right w:val="single" w:sz="8" w:space="0" w:color="009364"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F6E265" w:themeColor="accent3"/>
        <w:left w:val="single" w:sz="8" w:space="0" w:color="F6E265" w:themeColor="accent3"/>
        <w:bottom w:val="single" w:sz="8" w:space="0" w:color="F6E265" w:themeColor="accent3"/>
        <w:right w:val="single" w:sz="8" w:space="0" w:color="F6E265" w:themeColor="accent3"/>
      </w:tblBorders>
    </w:tblPr>
    <w:tblStylePr w:type="firstRow">
      <w:pPr>
        <w:spacing w:before="0" w:after="0" w:line="240" w:lineRule="auto"/>
      </w:pPr>
      <w:rPr>
        <w:b/>
        <w:bCs/>
        <w:color w:val="FFFFFF" w:themeColor="background1"/>
      </w:rPr>
      <w:tblPr/>
      <w:tcPr>
        <w:shd w:val="clear" w:color="auto" w:fill="F6E265" w:themeFill="accent3"/>
      </w:tcPr>
    </w:tblStylePr>
    <w:tblStylePr w:type="lastRow">
      <w:pPr>
        <w:spacing w:before="0" w:after="0" w:line="240" w:lineRule="auto"/>
      </w:pPr>
      <w:rPr>
        <w:b/>
        <w:bCs/>
      </w:rPr>
      <w:tblPr/>
      <w:tcPr>
        <w:tcBorders>
          <w:top w:val="double" w:sz="6" w:space="0" w:color="F6E265" w:themeColor="accent3"/>
          <w:left w:val="single" w:sz="8" w:space="0" w:color="F6E265" w:themeColor="accent3"/>
          <w:bottom w:val="single" w:sz="8" w:space="0" w:color="F6E265" w:themeColor="accent3"/>
          <w:right w:val="single" w:sz="8" w:space="0" w:color="F6E265" w:themeColor="accent3"/>
        </w:tcBorders>
      </w:tcPr>
    </w:tblStylePr>
    <w:tblStylePr w:type="firstCol">
      <w:rPr>
        <w:b/>
        <w:bCs/>
      </w:rPr>
    </w:tblStylePr>
    <w:tblStylePr w:type="lastCol">
      <w:rPr>
        <w:b/>
        <w:bCs/>
      </w:rPr>
    </w:tblStylePr>
    <w:tblStylePr w:type="band1Vert">
      <w:tblPr/>
      <w:tcPr>
        <w:tcBorders>
          <w:top w:val="single" w:sz="8" w:space="0" w:color="F6E265" w:themeColor="accent3"/>
          <w:left w:val="single" w:sz="8" w:space="0" w:color="F6E265" w:themeColor="accent3"/>
          <w:bottom w:val="single" w:sz="8" w:space="0" w:color="F6E265" w:themeColor="accent3"/>
          <w:right w:val="single" w:sz="8" w:space="0" w:color="F6E265" w:themeColor="accent3"/>
        </w:tcBorders>
      </w:tcPr>
    </w:tblStylePr>
    <w:tblStylePr w:type="band1Horz">
      <w:tblPr/>
      <w:tcPr>
        <w:tcBorders>
          <w:top w:val="single" w:sz="8" w:space="0" w:color="F6E265" w:themeColor="accent3"/>
          <w:left w:val="single" w:sz="8" w:space="0" w:color="F6E265" w:themeColor="accent3"/>
          <w:bottom w:val="single" w:sz="8" w:space="0" w:color="F6E265" w:themeColor="accent3"/>
          <w:right w:val="single" w:sz="8" w:space="0" w:color="F6E265"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FC677" w:themeColor="accent4"/>
        <w:left w:val="single" w:sz="8" w:space="0" w:color="FFC677" w:themeColor="accent4"/>
        <w:bottom w:val="single" w:sz="8" w:space="0" w:color="FFC677" w:themeColor="accent4"/>
        <w:right w:val="single" w:sz="8" w:space="0" w:color="FFC677" w:themeColor="accent4"/>
      </w:tblBorders>
    </w:tblPr>
    <w:tblStylePr w:type="firstRow">
      <w:pPr>
        <w:spacing w:before="0" w:after="0" w:line="240" w:lineRule="auto"/>
      </w:pPr>
      <w:rPr>
        <w:b/>
        <w:bCs/>
        <w:color w:val="FFFFFF" w:themeColor="background1"/>
      </w:rPr>
      <w:tblPr/>
      <w:tcPr>
        <w:shd w:val="clear" w:color="auto" w:fill="FFC677" w:themeFill="accent4"/>
      </w:tcPr>
    </w:tblStylePr>
    <w:tblStylePr w:type="lastRow">
      <w:pPr>
        <w:spacing w:before="0" w:after="0" w:line="240" w:lineRule="auto"/>
      </w:pPr>
      <w:rPr>
        <w:b/>
        <w:bCs/>
      </w:rPr>
      <w:tblPr/>
      <w:tcPr>
        <w:tcBorders>
          <w:top w:val="double" w:sz="6" w:space="0" w:color="FFC677" w:themeColor="accent4"/>
          <w:left w:val="single" w:sz="8" w:space="0" w:color="FFC677" w:themeColor="accent4"/>
          <w:bottom w:val="single" w:sz="8" w:space="0" w:color="FFC677" w:themeColor="accent4"/>
          <w:right w:val="single" w:sz="8" w:space="0" w:color="FFC677" w:themeColor="accent4"/>
        </w:tcBorders>
      </w:tcPr>
    </w:tblStylePr>
    <w:tblStylePr w:type="firstCol">
      <w:rPr>
        <w:b/>
        <w:bCs/>
      </w:rPr>
    </w:tblStylePr>
    <w:tblStylePr w:type="lastCol">
      <w:rPr>
        <w:b/>
        <w:bCs/>
      </w:rPr>
    </w:tblStylePr>
    <w:tblStylePr w:type="band1Vert">
      <w:tblPr/>
      <w:tcPr>
        <w:tcBorders>
          <w:top w:val="single" w:sz="8" w:space="0" w:color="FFC677" w:themeColor="accent4"/>
          <w:left w:val="single" w:sz="8" w:space="0" w:color="FFC677" w:themeColor="accent4"/>
          <w:bottom w:val="single" w:sz="8" w:space="0" w:color="FFC677" w:themeColor="accent4"/>
          <w:right w:val="single" w:sz="8" w:space="0" w:color="FFC677" w:themeColor="accent4"/>
        </w:tcBorders>
      </w:tcPr>
    </w:tblStylePr>
    <w:tblStylePr w:type="band1Horz">
      <w:tblPr/>
      <w:tcPr>
        <w:tcBorders>
          <w:top w:val="single" w:sz="8" w:space="0" w:color="FFC677" w:themeColor="accent4"/>
          <w:left w:val="single" w:sz="8" w:space="0" w:color="FFC677" w:themeColor="accent4"/>
          <w:bottom w:val="single" w:sz="8" w:space="0" w:color="FFC677" w:themeColor="accent4"/>
          <w:right w:val="single" w:sz="8" w:space="0" w:color="FFC677"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FF7A34" w:themeColor="accent5"/>
        <w:left w:val="single" w:sz="8" w:space="0" w:color="FF7A34" w:themeColor="accent5"/>
        <w:bottom w:val="single" w:sz="8" w:space="0" w:color="FF7A34" w:themeColor="accent5"/>
        <w:right w:val="single" w:sz="8" w:space="0" w:color="FF7A34" w:themeColor="accent5"/>
      </w:tblBorders>
    </w:tblPr>
    <w:tblStylePr w:type="firstRow">
      <w:pPr>
        <w:spacing w:before="0" w:after="0" w:line="240" w:lineRule="auto"/>
      </w:pPr>
      <w:rPr>
        <w:b/>
        <w:bCs/>
        <w:color w:val="FFFFFF" w:themeColor="background1"/>
      </w:rPr>
      <w:tblPr/>
      <w:tcPr>
        <w:shd w:val="clear" w:color="auto" w:fill="FF7A34" w:themeFill="accent5"/>
      </w:tcPr>
    </w:tblStylePr>
    <w:tblStylePr w:type="lastRow">
      <w:pPr>
        <w:spacing w:before="0" w:after="0" w:line="240" w:lineRule="auto"/>
      </w:pPr>
      <w:rPr>
        <w:b/>
        <w:bCs/>
      </w:rPr>
      <w:tblPr/>
      <w:tcPr>
        <w:tcBorders>
          <w:top w:val="double" w:sz="6" w:space="0" w:color="FF7A34" w:themeColor="accent5"/>
          <w:left w:val="single" w:sz="8" w:space="0" w:color="FF7A34" w:themeColor="accent5"/>
          <w:bottom w:val="single" w:sz="8" w:space="0" w:color="FF7A34" w:themeColor="accent5"/>
          <w:right w:val="single" w:sz="8" w:space="0" w:color="FF7A34" w:themeColor="accent5"/>
        </w:tcBorders>
      </w:tcPr>
    </w:tblStylePr>
    <w:tblStylePr w:type="firstCol">
      <w:rPr>
        <w:b/>
        <w:bCs/>
      </w:rPr>
    </w:tblStylePr>
    <w:tblStylePr w:type="lastCol">
      <w:rPr>
        <w:b/>
        <w:bCs/>
      </w:rPr>
    </w:tblStylePr>
    <w:tblStylePr w:type="band1Vert">
      <w:tblPr/>
      <w:tcPr>
        <w:tcBorders>
          <w:top w:val="single" w:sz="8" w:space="0" w:color="FF7A34" w:themeColor="accent5"/>
          <w:left w:val="single" w:sz="8" w:space="0" w:color="FF7A34" w:themeColor="accent5"/>
          <w:bottom w:val="single" w:sz="8" w:space="0" w:color="FF7A34" w:themeColor="accent5"/>
          <w:right w:val="single" w:sz="8" w:space="0" w:color="FF7A34" w:themeColor="accent5"/>
        </w:tcBorders>
      </w:tcPr>
    </w:tblStylePr>
    <w:tblStylePr w:type="band1Horz">
      <w:tblPr/>
      <w:tcPr>
        <w:tcBorders>
          <w:top w:val="single" w:sz="8" w:space="0" w:color="FF7A34" w:themeColor="accent5"/>
          <w:left w:val="single" w:sz="8" w:space="0" w:color="FF7A34" w:themeColor="accent5"/>
          <w:bottom w:val="single" w:sz="8" w:space="0" w:color="FF7A34" w:themeColor="accent5"/>
          <w:right w:val="single" w:sz="8" w:space="0" w:color="FF7A34"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F0404F" w:themeColor="accent6"/>
        <w:left w:val="single" w:sz="8" w:space="0" w:color="F0404F" w:themeColor="accent6"/>
        <w:bottom w:val="single" w:sz="8" w:space="0" w:color="F0404F" w:themeColor="accent6"/>
        <w:right w:val="single" w:sz="8" w:space="0" w:color="F0404F" w:themeColor="accent6"/>
      </w:tblBorders>
    </w:tblPr>
    <w:tblStylePr w:type="firstRow">
      <w:pPr>
        <w:spacing w:before="0" w:after="0" w:line="240" w:lineRule="auto"/>
      </w:pPr>
      <w:rPr>
        <w:b/>
        <w:bCs/>
        <w:color w:val="FFFFFF" w:themeColor="background1"/>
      </w:rPr>
      <w:tblPr/>
      <w:tcPr>
        <w:shd w:val="clear" w:color="auto" w:fill="F0404F" w:themeFill="accent6"/>
      </w:tcPr>
    </w:tblStylePr>
    <w:tblStylePr w:type="lastRow">
      <w:pPr>
        <w:spacing w:before="0" w:after="0" w:line="240" w:lineRule="auto"/>
      </w:pPr>
      <w:rPr>
        <w:b/>
        <w:bCs/>
      </w:rPr>
      <w:tblPr/>
      <w:tcPr>
        <w:tcBorders>
          <w:top w:val="double" w:sz="6" w:space="0" w:color="F0404F" w:themeColor="accent6"/>
          <w:left w:val="single" w:sz="8" w:space="0" w:color="F0404F" w:themeColor="accent6"/>
          <w:bottom w:val="single" w:sz="8" w:space="0" w:color="F0404F" w:themeColor="accent6"/>
          <w:right w:val="single" w:sz="8" w:space="0" w:color="F0404F" w:themeColor="accent6"/>
        </w:tcBorders>
      </w:tcPr>
    </w:tblStylePr>
    <w:tblStylePr w:type="firstCol">
      <w:rPr>
        <w:b/>
        <w:bCs/>
      </w:rPr>
    </w:tblStylePr>
    <w:tblStylePr w:type="lastCol">
      <w:rPr>
        <w:b/>
        <w:bCs/>
      </w:rPr>
    </w:tblStylePr>
    <w:tblStylePr w:type="band1Vert">
      <w:tblPr/>
      <w:tcPr>
        <w:tcBorders>
          <w:top w:val="single" w:sz="8" w:space="0" w:color="F0404F" w:themeColor="accent6"/>
          <w:left w:val="single" w:sz="8" w:space="0" w:color="F0404F" w:themeColor="accent6"/>
          <w:bottom w:val="single" w:sz="8" w:space="0" w:color="F0404F" w:themeColor="accent6"/>
          <w:right w:val="single" w:sz="8" w:space="0" w:color="F0404F" w:themeColor="accent6"/>
        </w:tcBorders>
      </w:tcPr>
    </w:tblStylePr>
    <w:tblStylePr w:type="band1Horz">
      <w:tblPr/>
      <w:tcPr>
        <w:tcBorders>
          <w:top w:val="single" w:sz="8" w:space="0" w:color="F0404F" w:themeColor="accent6"/>
          <w:left w:val="single" w:sz="8" w:space="0" w:color="F0404F" w:themeColor="accent6"/>
          <w:bottom w:val="single" w:sz="8" w:space="0" w:color="F0404F" w:themeColor="accent6"/>
          <w:right w:val="single" w:sz="8" w:space="0" w:color="F0404F"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0C2B28" w:themeColor="accent1" w:themeShade="BF"/>
    </w:rPr>
    <w:tblPr>
      <w:tblStyleRowBandSize w:val="1"/>
      <w:tblStyleColBandSize w:val="1"/>
      <w:tblBorders>
        <w:top w:val="single" w:sz="8" w:space="0" w:color="103A36" w:themeColor="accent1"/>
        <w:bottom w:val="single" w:sz="8" w:space="0" w:color="103A36" w:themeColor="accent1"/>
      </w:tblBorders>
    </w:tblPr>
    <w:tblStylePr w:type="firstRow">
      <w:pPr>
        <w:spacing w:before="0" w:after="0" w:line="240" w:lineRule="auto"/>
      </w:pPr>
      <w:rPr>
        <w:b/>
        <w:bCs/>
      </w:rPr>
      <w:tblPr/>
      <w:tcPr>
        <w:tcBorders>
          <w:top w:val="single" w:sz="8" w:space="0" w:color="103A36" w:themeColor="accent1"/>
          <w:left w:val="nil"/>
          <w:bottom w:val="single" w:sz="8" w:space="0" w:color="103A36" w:themeColor="accent1"/>
          <w:right w:val="nil"/>
          <w:insideH w:val="nil"/>
          <w:insideV w:val="nil"/>
        </w:tcBorders>
      </w:tcPr>
    </w:tblStylePr>
    <w:tblStylePr w:type="lastRow">
      <w:pPr>
        <w:spacing w:before="0" w:after="0" w:line="240" w:lineRule="auto"/>
      </w:pPr>
      <w:rPr>
        <w:b/>
        <w:bCs/>
      </w:rPr>
      <w:tblPr/>
      <w:tcPr>
        <w:tcBorders>
          <w:top w:val="single" w:sz="8" w:space="0" w:color="103A36" w:themeColor="accent1"/>
          <w:left w:val="nil"/>
          <w:bottom w:val="single" w:sz="8" w:space="0" w:color="103A3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E7E1" w:themeFill="accent1" w:themeFillTint="3F"/>
      </w:tcPr>
    </w:tblStylePr>
    <w:tblStylePr w:type="band1Horz">
      <w:tblPr/>
      <w:tcPr>
        <w:tcBorders>
          <w:left w:val="nil"/>
          <w:right w:val="nil"/>
          <w:insideH w:val="nil"/>
          <w:insideV w:val="nil"/>
        </w:tcBorders>
        <w:shd w:val="clear" w:color="auto" w:fill="AAE7E1" w:themeFill="accent1" w:themeFillTint="3F"/>
      </w:tcPr>
    </w:tblStylePr>
  </w:style>
  <w:style w:type="table" w:styleId="LightShading-Accent2">
    <w:name w:val="Light Shading Accent 2"/>
    <w:basedOn w:val="TableNormal"/>
    <w:uiPriority w:val="60"/>
    <w:semiHidden/>
    <w:rsid w:val="0058629F"/>
    <w:pPr>
      <w:spacing w:line="240" w:lineRule="auto"/>
    </w:pPr>
    <w:rPr>
      <w:color w:val="006E4A" w:themeColor="accent2" w:themeShade="BF"/>
    </w:rPr>
    <w:tblPr>
      <w:tblStyleRowBandSize w:val="1"/>
      <w:tblStyleColBandSize w:val="1"/>
      <w:tblBorders>
        <w:top w:val="single" w:sz="8" w:space="0" w:color="009364" w:themeColor="accent2"/>
        <w:bottom w:val="single" w:sz="8" w:space="0" w:color="009364" w:themeColor="accent2"/>
      </w:tblBorders>
    </w:tblPr>
    <w:tblStylePr w:type="firstRow">
      <w:pPr>
        <w:spacing w:before="0" w:after="0" w:line="240" w:lineRule="auto"/>
      </w:pPr>
      <w:rPr>
        <w:b/>
        <w:bCs/>
      </w:rPr>
      <w:tblPr/>
      <w:tcPr>
        <w:tcBorders>
          <w:top w:val="single" w:sz="8" w:space="0" w:color="009364" w:themeColor="accent2"/>
          <w:left w:val="nil"/>
          <w:bottom w:val="single" w:sz="8" w:space="0" w:color="009364" w:themeColor="accent2"/>
          <w:right w:val="nil"/>
          <w:insideH w:val="nil"/>
          <w:insideV w:val="nil"/>
        </w:tcBorders>
      </w:tcPr>
    </w:tblStylePr>
    <w:tblStylePr w:type="lastRow">
      <w:pPr>
        <w:spacing w:before="0" w:after="0" w:line="240" w:lineRule="auto"/>
      </w:pPr>
      <w:rPr>
        <w:b/>
        <w:bCs/>
      </w:rPr>
      <w:tblPr/>
      <w:tcPr>
        <w:tcBorders>
          <w:top w:val="single" w:sz="8" w:space="0" w:color="009364" w:themeColor="accent2"/>
          <w:left w:val="nil"/>
          <w:bottom w:val="single" w:sz="8" w:space="0" w:color="00936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FFE2" w:themeFill="accent2" w:themeFillTint="3F"/>
      </w:tcPr>
    </w:tblStylePr>
    <w:tblStylePr w:type="band1Horz">
      <w:tblPr/>
      <w:tcPr>
        <w:tcBorders>
          <w:left w:val="nil"/>
          <w:right w:val="nil"/>
          <w:insideH w:val="nil"/>
          <w:insideV w:val="nil"/>
        </w:tcBorders>
        <w:shd w:val="clear" w:color="auto" w:fill="A5FFE2" w:themeFill="accent2" w:themeFillTint="3F"/>
      </w:tcPr>
    </w:tblStylePr>
  </w:style>
  <w:style w:type="table" w:styleId="LightShading-Accent3">
    <w:name w:val="Light Shading Accent 3"/>
    <w:basedOn w:val="TableNormal"/>
    <w:uiPriority w:val="60"/>
    <w:semiHidden/>
    <w:rsid w:val="0058629F"/>
    <w:pPr>
      <w:spacing w:line="240" w:lineRule="auto"/>
    </w:pPr>
    <w:rPr>
      <w:color w:val="F1D112" w:themeColor="accent3" w:themeShade="BF"/>
    </w:rPr>
    <w:tblPr>
      <w:tblStyleRowBandSize w:val="1"/>
      <w:tblStyleColBandSize w:val="1"/>
      <w:tblBorders>
        <w:top w:val="single" w:sz="8" w:space="0" w:color="F6E265" w:themeColor="accent3"/>
        <w:bottom w:val="single" w:sz="8" w:space="0" w:color="F6E265" w:themeColor="accent3"/>
      </w:tblBorders>
    </w:tblPr>
    <w:tblStylePr w:type="firstRow">
      <w:pPr>
        <w:spacing w:before="0" w:after="0" w:line="240" w:lineRule="auto"/>
      </w:pPr>
      <w:rPr>
        <w:b/>
        <w:bCs/>
      </w:rPr>
      <w:tblPr/>
      <w:tcPr>
        <w:tcBorders>
          <w:top w:val="single" w:sz="8" w:space="0" w:color="F6E265" w:themeColor="accent3"/>
          <w:left w:val="nil"/>
          <w:bottom w:val="single" w:sz="8" w:space="0" w:color="F6E265" w:themeColor="accent3"/>
          <w:right w:val="nil"/>
          <w:insideH w:val="nil"/>
          <w:insideV w:val="nil"/>
        </w:tcBorders>
      </w:tcPr>
    </w:tblStylePr>
    <w:tblStylePr w:type="lastRow">
      <w:pPr>
        <w:spacing w:before="0" w:after="0" w:line="240" w:lineRule="auto"/>
      </w:pPr>
      <w:rPr>
        <w:b/>
        <w:bCs/>
      </w:rPr>
      <w:tblPr/>
      <w:tcPr>
        <w:tcBorders>
          <w:top w:val="single" w:sz="8" w:space="0" w:color="F6E265" w:themeColor="accent3"/>
          <w:left w:val="nil"/>
          <w:bottom w:val="single" w:sz="8" w:space="0" w:color="F6E26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7D8" w:themeFill="accent3" w:themeFillTint="3F"/>
      </w:tcPr>
    </w:tblStylePr>
    <w:tblStylePr w:type="band1Horz">
      <w:tblPr/>
      <w:tcPr>
        <w:tcBorders>
          <w:left w:val="nil"/>
          <w:right w:val="nil"/>
          <w:insideH w:val="nil"/>
          <w:insideV w:val="nil"/>
        </w:tcBorders>
        <w:shd w:val="clear" w:color="auto" w:fill="FCF7D8" w:themeFill="accent3" w:themeFillTint="3F"/>
      </w:tcPr>
    </w:tblStylePr>
  </w:style>
  <w:style w:type="table" w:styleId="LightShading-Accent4">
    <w:name w:val="Light Shading Accent 4"/>
    <w:basedOn w:val="TableNormal"/>
    <w:uiPriority w:val="60"/>
    <w:semiHidden/>
    <w:rsid w:val="0058629F"/>
    <w:pPr>
      <w:spacing w:line="240" w:lineRule="auto"/>
    </w:pPr>
    <w:rPr>
      <w:color w:val="FF9E19" w:themeColor="accent4" w:themeShade="BF"/>
    </w:rPr>
    <w:tblPr>
      <w:tblStyleRowBandSize w:val="1"/>
      <w:tblStyleColBandSize w:val="1"/>
      <w:tblBorders>
        <w:top w:val="single" w:sz="8" w:space="0" w:color="FFC677" w:themeColor="accent4"/>
        <w:bottom w:val="single" w:sz="8" w:space="0" w:color="FFC677" w:themeColor="accent4"/>
      </w:tblBorders>
    </w:tblPr>
    <w:tblStylePr w:type="firstRow">
      <w:pPr>
        <w:spacing w:before="0" w:after="0" w:line="240" w:lineRule="auto"/>
      </w:pPr>
      <w:rPr>
        <w:b/>
        <w:bCs/>
      </w:rPr>
      <w:tblPr/>
      <w:tcPr>
        <w:tcBorders>
          <w:top w:val="single" w:sz="8" w:space="0" w:color="FFC677" w:themeColor="accent4"/>
          <w:left w:val="nil"/>
          <w:bottom w:val="single" w:sz="8" w:space="0" w:color="FFC677" w:themeColor="accent4"/>
          <w:right w:val="nil"/>
          <w:insideH w:val="nil"/>
          <w:insideV w:val="nil"/>
        </w:tcBorders>
      </w:tcPr>
    </w:tblStylePr>
    <w:tblStylePr w:type="lastRow">
      <w:pPr>
        <w:spacing w:before="0" w:after="0" w:line="240" w:lineRule="auto"/>
      </w:pPr>
      <w:rPr>
        <w:b/>
        <w:bCs/>
      </w:rPr>
      <w:tblPr/>
      <w:tcPr>
        <w:tcBorders>
          <w:top w:val="single" w:sz="8" w:space="0" w:color="FFC677" w:themeColor="accent4"/>
          <w:left w:val="nil"/>
          <w:bottom w:val="single" w:sz="8" w:space="0" w:color="FFC67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0DD" w:themeFill="accent4" w:themeFillTint="3F"/>
      </w:tcPr>
    </w:tblStylePr>
    <w:tblStylePr w:type="band1Horz">
      <w:tblPr/>
      <w:tcPr>
        <w:tcBorders>
          <w:left w:val="nil"/>
          <w:right w:val="nil"/>
          <w:insideH w:val="nil"/>
          <w:insideV w:val="nil"/>
        </w:tcBorders>
        <w:shd w:val="clear" w:color="auto" w:fill="FFF0DD" w:themeFill="accent4" w:themeFillTint="3F"/>
      </w:tcPr>
    </w:tblStylePr>
  </w:style>
  <w:style w:type="table" w:styleId="LightShading-Accent5">
    <w:name w:val="Light Shading Accent 5"/>
    <w:basedOn w:val="TableNormal"/>
    <w:uiPriority w:val="60"/>
    <w:semiHidden/>
    <w:rsid w:val="0058629F"/>
    <w:pPr>
      <w:spacing w:line="240" w:lineRule="auto"/>
    </w:pPr>
    <w:rPr>
      <w:color w:val="E54E00" w:themeColor="accent5" w:themeShade="BF"/>
    </w:rPr>
    <w:tblPr>
      <w:tblStyleRowBandSize w:val="1"/>
      <w:tblStyleColBandSize w:val="1"/>
      <w:tblBorders>
        <w:top w:val="single" w:sz="8" w:space="0" w:color="FF7A34" w:themeColor="accent5"/>
        <w:bottom w:val="single" w:sz="8" w:space="0" w:color="FF7A34" w:themeColor="accent5"/>
      </w:tblBorders>
    </w:tblPr>
    <w:tblStylePr w:type="firstRow">
      <w:pPr>
        <w:spacing w:before="0" w:after="0" w:line="240" w:lineRule="auto"/>
      </w:pPr>
      <w:rPr>
        <w:b/>
        <w:bCs/>
      </w:rPr>
      <w:tblPr/>
      <w:tcPr>
        <w:tcBorders>
          <w:top w:val="single" w:sz="8" w:space="0" w:color="FF7A34" w:themeColor="accent5"/>
          <w:left w:val="nil"/>
          <w:bottom w:val="single" w:sz="8" w:space="0" w:color="FF7A34" w:themeColor="accent5"/>
          <w:right w:val="nil"/>
          <w:insideH w:val="nil"/>
          <w:insideV w:val="nil"/>
        </w:tcBorders>
      </w:tcPr>
    </w:tblStylePr>
    <w:tblStylePr w:type="lastRow">
      <w:pPr>
        <w:spacing w:before="0" w:after="0" w:line="240" w:lineRule="auto"/>
      </w:pPr>
      <w:rPr>
        <w:b/>
        <w:bCs/>
      </w:rPr>
      <w:tblPr/>
      <w:tcPr>
        <w:tcBorders>
          <w:top w:val="single" w:sz="8" w:space="0" w:color="FF7A34" w:themeColor="accent5"/>
          <w:left w:val="nil"/>
          <w:bottom w:val="single" w:sz="8" w:space="0" w:color="FF7A3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C" w:themeFill="accent5" w:themeFillTint="3F"/>
      </w:tcPr>
    </w:tblStylePr>
    <w:tblStylePr w:type="band1Horz">
      <w:tblPr/>
      <w:tcPr>
        <w:tcBorders>
          <w:left w:val="nil"/>
          <w:right w:val="nil"/>
          <w:insideH w:val="nil"/>
          <w:insideV w:val="nil"/>
        </w:tcBorders>
        <w:shd w:val="clear" w:color="auto" w:fill="FFDDCC" w:themeFill="accent5" w:themeFillTint="3F"/>
      </w:tcPr>
    </w:tblStylePr>
  </w:style>
  <w:style w:type="table" w:styleId="LightShading-Accent6">
    <w:name w:val="Light Shading Accent 6"/>
    <w:basedOn w:val="TableNormal"/>
    <w:uiPriority w:val="60"/>
    <w:semiHidden/>
    <w:rsid w:val="0058629F"/>
    <w:pPr>
      <w:spacing w:line="240" w:lineRule="auto"/>
    </w:pPr>
    <w:rPr>
      <w:color w:val="D31020" w:themeColor="accent6" w:themeShade="BF"/>
    </w:rPr>
    <w:tblPr>
      <w:tblStyleRowBandSize w:val="1"/>
      <w:tblStyleColBandSize w:val="1"/>
      <w:tblBorders>
        <w:top w:val="single" w:sz="8" w:space="0" w:color="F0404F" w:themeColor="accent6"/>
        <w:bottom w:val="single" w:sz="8" w:space="0" w:color="F0404F" w:themeColor="accent6"/>
      </w:tblBorders>
    </w:tblPr>
    <w:tblStylePr w:type="firstRow">
      <w:pPr>
        <w:spacing w:before="0" w:after="0" w:line="240" w:lineRule="auto"/>
      </w:pPr>
      <w:rPr>
        <w:b/>
        <w:bCs/>
      </w:rPr>
      <w:tblPr/>
      <w:tcPr>
        <w:tcBorders>
          <w:top w:val="single" w:sz="8" w:space="0" w:color="F0404F" w:themeColor="accent6"/>
          <w:left w:val="nil"/>
          <w:bottom w:val="single" w:sz="8" w:space="0" w:color="F0404F" w:themeColor="accent6"/>
          <w:right w:val="nil"/>
          <w:insideH w:val="nil"/>
          <w:insideV w:val="nil"/>
        </w:tcBorders>
      </w:tcPr>
    </w:tblStylePr>
    <w:tblStylePr w:type="lastRow">
      <w:pPr>
        <w:spacing w:before="0" w:after="0" w:line="240" w:lineRule="auto"/>
      </w:pPr>
      <w:rPr>
        <w:b/>
        <w:bCs/>
      </w:rPr>
      <w:tblPr/>
      <w:tcPr>
        <w:tcBorders>
          <w:top w:val="single" w:sz="8" w:space="0" w:color="F0404F" w:themeColor="accent6"/>
          <w:left w:val="nil"/>
          <w:bottom w:val="single" w:sz="8" w:space="0" w:color="F0404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CFD3" w:themeFill="accent6" w:themeFillTint="3F"/>
      </w:tcPr>
    </w:tblStylePr>
    <w:tblStylePr w:type="band1Horz">
      <w:tblPr/>
      <w:tcPr>
        <w:tcBorders>
          <w:left w:val="nil"/>
          <w:right w:val="nil"/>
          <w:insideH w:val="nil"/>
          <w:insideV w:val="nil"/>
        </w:tcBorders>
        <w:shd w:val="clear" w:color="auto" w:fill="FBCFD3"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35C2B4" w:themeColor="accent1" w:themeTint="99"/>
        </w:tcBorders>
      </w:tcPr>
    </w:tblStylePr>
    <w:tblStylePr w:type="lastRow">
      <w:rPr>
        <w:b/>
        <w:bCs/>
      </w:rPr>
      <w:tblPr/>
      <w:tcPr>
        <w:tcBorders>
          <w:top w:val="single" w:sz="4" w:space="0" w:color="35C2B4" w:themeColor="accent1" w:themeTint="99"/>
        </w:tcBorders>
      </w:tc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25FFB8" w:themeColor="accent2" w:themeTint="99"/>
        </w:tcBorders>
      </w:tcPr>
    </w:tblStylePr>
    <w:tblStylePr w:type="lastRow">
      <w:rPr>
        <w:b/>
        <w:bCs/>
      </w:rPr>
      <w:tblPr/>
      <w:tcPr>
        <w:tcBorders>
          <w:top w:val="single" w:sz="4" w:space="0" w:color="25FFB8" w:themeColor="accent2" w:themeTint="99"/>
        </w:tcBorders>
      </w:tc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9EDA2" w:themeColor="accent3" w:themeTint="99"/>
        </w:tcBorders>
      </w:tcPr>
    </w:tblStylePr>
    <w:tblStylePr w:type="lastRow">
      <w:rPr>
        <w:b/>
        <w:bCs/>
      </w:rPr>
      <w:tblPr/>
      <w:tcPr>
        <w:tcBorders>
          <w:top w:val="single" w:sz="4" w:space="0" w:color="F9EDA2" w:themeColor="accent3" w:themeTint="99"/>
        </w:tcBorders>
      </w:tc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DCAD" w:themeColor="accent4" w:themeTint="99"/>
        </w:tcBorders>
      </w:tcPr>
    </w:tblStylePr>
    <w:tblStylePr w:type="lastRow">
      <w:rPr>
        <w:b/>
        <w:bCs/>
      </w:rPr>
      <w:tblPr/>
      <w:tcPr>
        <w:tcBorders>
          <w:top w:val="single" w:sz="4" w:space="0" w:color="FFDCAD" w:themeColor="accent4" w:themeTint="99"/>
        </w:tcBorders>
      </w:tc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AE85" w:themeColor="accent5" w:themeTint="99"/>
        </w:tcBorders>
      </w:tcPr>
    </w:tblStylePr>
    <w:tblStylePr w:type="lastRow">
      <w:rPr>
        <w:b/>
        <w:bCs/>
      </w:rPr>
      <w:tblPr/>
      <w:tcPr>
        <w:tcBorders>
          <w:top w:val="single" w:sz="4" w:space="0" w:color="FFAE85" w:themeColor="accent5" w:themeTint="99"/>
        </w:tcBorders>
      </w:tc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68C95" w:themeColor="accent6" w:themeTint="99"/>
        </w:tcBorders>
      </w:tcPr>
    </w:tblStylePr>
    <w:tblStylePr w:type="lastRow">
      <w:rPr>
        <w:b/>
        <w:bCs/>
      </w:rPr>
      <w:tblPr/>
      <w:tcPr>
        <w:tcBorders>
          <w:top w:val="single" w:sz="4" w:space="0" w:color="F68C95" w:themeColor="accent6" w:themeTint="99"/>
        </w:tcBorders>
      </w:tc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35C2B4" w:themeColor="accent1" w:themeTint="99"/>
        <w:bottom w:val="single" w:sz="4" w:space="0" w:color="35C2B4" w:themeColor="accent1" w:themeTint="99"/>
        <w:insideH w:val="single" w:sz="4" w:space="0" w:color="35C2B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25FFB8" w:themeColor="accent2" w:themeTint="99"/>
        <w:bottom w:val="single" w:sz="4" w:space="0" w:color="25FFB8" w:themeColor="accent2" w:themeTint="99"/>
        <w:insideH w:val="single" w:sz="4" w:space="0" w:color="25FF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9EDA2" w:themeColor="accent3" w:themeTint="99"/>
        <w:bottom w:val="single" w:sz="4" w:space="0" w:color="F9EDA2" w:themeColor="accent3" w:themeTint="99"/>
        <w:insideH w:val="single" w:sz="4" w:space="0" w:color="F9EDA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FDCAD" w:themeColor="accent4" w:themeTint="99"/>
        <w:bottom w:val="single" w:sz="4" w:space="0" w:color="FFDCAD" w:themeColor="accent4" w:themeTint="99"/>
        <w:insideH w:val="single" w:sz="4" w:space="0" w:color="FFDCA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FFAE85" w:themeColor="accent5" w:themeTint="99"/>
        <w:bottom w:val="single" w:sz="4" w:space="0" w:color="FFAE85" w:themeColor="accent5" w:themeTint="99"/>
        <w:insideH w:val="single" w:sz="4" w:space="0" w:color="FFAE8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F68C95" w:themeColor="accent6" w:themeTint="99"/>
        <w:bottom w:val="single" w:sz="4" w:space="0" w:color="F68C95" w:themeColor="accent6" w:themeTint="99"/>
        <w:insideH w:val="single" w:sz="4" w:space="0" w:color="F68C9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103A36" w:themeColor="accent1"/>
        <w:left w:val="single" w:sz="4" w:space="0" w:color="103A36" w:themeColor="accent1"/>
        <w:bottom w:val="single" w:sz="4" w:space="0" w:color="103A36" w:themeColor="accent1"/>
        <w:right w:val="single" w:sz="4" w:space="0" w:color="103A36" w:themeColor="accent1"/>
      </w:tblBorders>
    </w:tblPr>
    <w:tblStylePr w:type="firstRow">
      <w:rPr>
        <w:b/>
        <w:bCs/>
        <w:color w:val="FFFFFF" w:themeColor="background1"/>
      </w:rPr>
      <w:tblPr/>
      <w:tcPr>
        <w:shd w:val="clear" w:color="auto" w:fill="103A36" w:themeFill="accent1"/>
      </w:tcPr>
    </w:tblStylePr>
    <w:tblStylePr w:type="lastRow">
      <w:rPr>
        <w:b/>
        <w:bCs/>
      </w:rPr>
      <w:tblPr/>
      <w:tcPr>
        <w:tcBorders>
          <w:top w:val="double" w:sz="4" w:space="0" w:color="103A3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3A36" w:themeColor="accent1"/>
          <w:right w:val="single" w:sz="4" w:space="0" w:color="103A36" w:themeColor="accent1"/>
        </w:tcBorders>
      </w:tcPr>
    </w:tblStylePr>
    <w:tblStylePr w:type="band1Horz">
      <w:tblPr/>
      <w:tcPr>
        <w:tcBorders>
          <w:top w:val="single" w:sz="4" w:space="0" w:color="103A36" w:themeColor="accent1"/>
          <w:bottom w:val="single" w:sz="4" w:space="0" w:color="103A3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3A36" w:themeColor="accent1"/>
          <w:left w:val="nil"/>
        </w:tcBorders>
      </w:tcPr>
    </w:tblStylePr>
    <w:tblStylePr w:type="swCell">
      <w:tblPr/>
      <w:tcPr>
        <w:tcBorders>
          <w:top w:val="double" w:sz="4" w:space="0" w:color="103A36"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009364" w:themeColor="accent2"/>
        <w:left w:val="single" w:sz="4" w:space="0" w:color="009364" w:themeColor="accent2"/>
        <w:bottom w:val="single" w:sz="4" w:space="0" w:color="009364" w:themeColor="accent2"/>
        <w:right w:val="single" w:sz="4" w:space="0" w:color="009364" w:themeColor="accent2"/>
      </w:tblBorders>
    </w:tblPr>
    <w:tblStylePr w:type="firstRow">
      <w:rPr>
        <w:b/>
        <w:bCs/>
        <w:color w:val="FFFFFF" w:themeColor="background1"/>
      </w:rPr>
      <w:tblPr/>
      <w:tcPr>
        <w:shd w:val="clear" w:color="auto" w:fill="009364" w:themeFill="accent2"/>
      </w:tcPr>
    </w:tblStylePr>
    <w:tblStylePr w:type="lastRow">
      <w:rPr>
        <w:b/>
        <w:bCs/>
      </w:rPr>
      <w:tblPr/>
      <w:tcPr>
        <w:tcBorders>
          <w:top w:val="double" w:sz="4" w:space="0" w:color="00936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364" w:themeColor="accent2"/>
          <w:right w:val="single" w:sz="4" w:space="0" w:color="009364" w:themeColor="accent2"/>
        </w:tcBorders>
      </w:tcPr>
    </w:tblStylePr>
    <w:tblStylePr w:type="band1Horz">
      <w:tblPr/>
      <w:tcPr>
        <w:tcBorders>
          <w:top w:val="single" w:sz="4" w:space="0" w:color="009364" w:themeColor="accent2"/>
          <w:bottom w:val="single" w:sz="4" w:space="0" w:color="00936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364" w:themeColor="accent2"/>
          <w:left w:val="nil"/>
        </w:tcBorders>
      </w:tcPr>
    </w:tblStylePr>
    <w:tblStylePr w:type="swCell">
      <w:tblPr/>
      <w:tcPr>
        <w:tcBorders>
          <w:top w:val="double" w:sz="4" w:space="0" w:color="009364"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F6E265" w:themeColor="accent3"/>
        <w:left w:val="single" w:sz="4" w:space="0" w:color="F6E265" w:themeColor="accent3"/>
        <w:bottom w:val="single" w:sz="4" w:space="0" w:color="F6E265" w:themeColor="accent3"/>
        <w:right w:val="single" w:sz="4" w:space="0" w:color="F6E265" w:themeColor="accent3"/>
      </w:tblBorders>
    </w:tblPr>
    <w:tblStylePr w:type="firstRow">
      <w:rPr>
        <w:b/>
        <w:bCs/>
        <w:color w:val="FFFFFF" w:themeColor="background1"/>
      </w:rPr>
      <w:tblPr/>
      <w:tcPr>
        <w:shd w:val="clear" w:color="auto" w:fill="F6E265" w:themeFill="accent3"/>
      </w:tcPr>
    </w:tblStylePr>
    <w:tblStylePr w:type="lastRow">
      <w:rPr>
        <w:b/>
        <w:bCs/>
      </w:rPr>
      <w:tblPr/>
      <w:tcPr>
        <w:tcBorders>
          <w:top w:val="double" w:sz="4" w:space="0" w:color="F6E26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E265" w:themeColor="accent3"/>
          <w:right w:val="single" w:sz="4" w:space="0" w:color="F6E265" w:themeColor="accent3"/>
        </w:tcBorders>
      </w:tcPr>
    </w:tblStylePr>
    <w:tblStylePr w:type="band1Horz">
      <w:tblPr/>
      <w:tcPr>
        <w:tcBorders>
          <w:top w:val="single" w:sz="4" w:space="0" w:color="F6E265" w:themeColor="accent3"/>
          <w:bottom w:val="single" w:sz="4" w:space="0" w:color="F6E26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E265" w:themeColor="accent3"/>
          <w:left w:val="nil"/>
        </w:tcBorders>
      </w:tcPr>
    </w:tblStylePr>
    <w:tblStylePr w:type="swCell">
      <w:tblPr/>
      <w:tcPr>
        <w:tcBorders>
          <w:top w:val="double" w:sz="4" w:space="0" w:color="F6E265"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FC677" w:themeColor="accent4"/>
        <w:left w:val="single" w:sz="4" w:space="0" w:color="FFC677" w:themeColor="accent4"/>
        <w:bottom w:val="single" w:sz="4" w:space="0" w:color="FFC677" w:themeColor="accent4"/>
        <w:right w:val="single" w:sz="4" w:space="0" w:color="FFC677" w:themeColor="accent4"/>
      </w:tblBorders>
    </w:tblPr>
    <w:tblStylePr w:type="firstRow">
      <w:rPr>
        <w:b/>
        <w:bCs/>
        <w:color w:val="FFFFFF" w:themeColor="background1"/>
      </w:rPr>
      <w:tblPr/>
      <w:tcPr>
        <w:shd w:val="clear" w:color="auto" w:fill="FFC677" w:themeFill="accent4"/>
      </w:tcPr>
    </w:tblStylePr>
    <w:tblStylePr w:type="lastRow">
      <w:rPr>
        <w:b/>
        <w:bCs/>
      </w:rPr>
      <w:tblPr/>
      <w:tcPr>
        <w:tcBorders>
          <w:top w:val="double" w:sz="4" w:space="0" w:color="FFC67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677" w:themeColor="accent4"/>
          <w:right w:val="single" w:sz="4" w:space="0" w:color="FFC677" w:themeColor="accent4"/>
        </w:tcBorders>
      </w:tcPr>
    </w:tblStylePr>
    <w:tblStylePr w:type="band1Horz">
      <w:tblPr/>
      <w:tcPr>
        <w:tcBorders>
          <w:top w:val="single" w:sz="4" w:space="0" w:color="FFC677" w:themeColor="accent4"/>
          <w:bottom w:val="single" w:sz="4" w:space="0" w:color="FFC67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677" w:themeColor="accent4"/>
          <w:left w:val="nil"/>
        </w:tcBorders>
      </w:tcPr>
    </w:tblStylePr>
    <w:tblStylePr w:type="swCell">
      <w:tblPr/>
      <w:tcPr>
        <w:tcBorders>
          <w:top w:val="double" w:sz="4" w:space="0" w:color="FFC677"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FF7A34" w:themeColor="accent5"/>
        <w:left w:val="single" w:sz="4" w:space="0" w:color="FF7A34" w:themeColor="accent5"/>
        <w:bottom w:val="single" w:sz="4" w:space="0" w:color="FF7A34" w:themeColor="accent5"/>
        <w:right w:val="single" w:sz="4" w:space="0" w:color="FF7A34" w:themeColor="accent5"/>
      </w:tblBorders>
    </w:tblPr>
    <w:tblStylePr w:type="firstRow">
      <w:rPr>
        <w:b/>
        <w:bCs/>
        <w:color w:val="FFFFFF" w:themeColor="background1"/>
      </w:rPr>
      <w:tblPr/>
      <w:tcPr>
        <w:shd w:val="clear" w:color="auto" w:fill="FF7A34" w:themeFill="accent5"/>
      </w:tcPr>
    </w:tblStylePr>
    <w:tblStylePr w:type="lastRow">
      <w:rPr>
        <w:b/>
        <w:bCs/>
      </w:rPr>
      <w:tblPr/>
      <w:tcPr>
        <w:tcBorders>
          <w:top w:val="double" w:sz="4" w:space="0" w:color="FF7A3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7A34" w:themeColor="accent5"/>
          <w:right w:val="single" w:sz="4" w:space="0" w:color="FF7A34" w:themeColor="accent5"/>
        </w:tcBorders>
      </w:tcPr>
    </w:tblStylePr>
    <w:tblStylePr w:type="band1Horz">
      <w:tblPr/>
      <w:tcPr>
        <w:tcBorders>
          <w:top w:val="single" w:sz="4" w:space="0" w:color="FF7A34" w:themeColor="accent5"/>
          <w:bottom w:val="single" w:sz="4" w:space="0" w:color="FF7A3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7A34" w:themeColor="accent5"/>
          <w:left w:val="nil"/>
        </w:tcBorders>
      </w:tcPr>
    </w:tblStylePr>
    <w:tblStylePr w:type="swCell">
      <w:tblPr/>
      <w:tcPr>
        <w:tcBorders>
          <w:top w:val="double" w:sz="4" w:space="0" w:color="FF7A34"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F0404F" w:themeColor="accent6"/>
        <w:left w:val="single" w:sz="4" w:space="0" w:color="F0404F" w:themeColor="accent6"/>
        <w:bottom w:val="single" w:sz="4" w:space="0" w:color="F0404F" w:themeColor="accent6"/>
        <w:right w:val="single" w:sz="4" w:space="0" w:color="F0404F" w:themeColor="accent6"/>
      </w:tblBorders>
    </w:tblPr>
    <w:tblStylePr w:type="firstRow">
      <w:rPr>
        <w:b/>
        <w:bCs/>
        <w:color w:val="FFFFFF" w:themeColor="background1"/>
      </w:rPr>
      <w:tblPr/>
      <w:tcPr>
        <w:shd w:val="clear" w:color="auto" w:fill="F0404F" w:themeFill="accent6"/>
      </w:tcPr>
    </w:tblStylePr>
    <w:tblStylePr w:type="lastRow">
      <w:rPr>
        <w:b/>
        <w:bCs/>
      </w:rPr>
      <w:tblPr/>
      <w:tcPr>
        <w:tcBorders>
          <w:top w:val="double" w:sz="4" w:space="0" w:color="F0404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04F" w:themeColor="accent6"/>
          <w:right w:val="single" w:sz="4" w:space="0" w:color="F0404F" w:themeColor="accent6"/>
        </w:tcBorders>
      </w:tcPr>
    </w:tblStylePr>
    <w:tblStylePr w:type="band1Horz">
      <w:tblPr/>
      <w:tcPr>
        <w:tcBorders>
          <w:top w:val="single" w:sz="4" w:space="0" w:color="F0404F" w:themeColor="accent6"/>
          <w:bottom w:val="single" w:sz="4" w:space="0" w:color="F0404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04F" w:themeColor="accent6"/>
          <w:left w:val="nil"/>
        </w:tcBorders>
      </w:tcPr>
    </w:tblStylePr>
    <w:tblStylePr w:type="swCell">
      <w:tblPr/>
      <w:tcPr>
        <w:tcBorders>
          <w:top w:val="double" w:sz="4" w:space="0" w:color="F0404F"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35C2B4" w:themeColor="accent1" w:themeTint="99"/>
        <w:left w:val="single" w:sz="4" w:space="0" w:color="35C2B4" w:themeColor="accent1" w:themeTint="99"/>
        <w:bottom w:val="single" w:sz="4" w:space="0" w:color="35C2B4" w:themeColor="accent1" w:themeTint="99"/>
        <w:right w:val="single" w:sz="4" w:space="0" w:color="35C2B4" w:themeColor="accent1" w:themeTint="99"/>
        <w:insideH w:val="single" w:sz="4" w:space="0" w:color="35C2B4" w:themeColor="accent1" w:themeTint="99"/>
      </w:tblBorders>
    </w:tblPr>
    <w:tblStylePr w:type="firstRow">
      <w:rPr>
        <w:b/>
        <w:bCs/>
        <w:color w:val="FFFFFF" w:themeColor="background1"/>
      </w:rPr>
      <w:tblPr/>
      <w:tcPr>
        <w:tcBorders>
          <w:top w:val="single" w:sz="4" w:space="0" w:color="103A36" w:themeColor="accent1"/>
          <w:left w:val="single" w:sz="4" w:space="0" w:color="103A36" w:themeColor="accent1"/>
          <w:bottom w:val="single" w:sz="4" w:space="0" w:color="103A36" w:themeColor="accent1"/>
          <w:right w:val="single" w:sz="4" w:space="0" w:color="103A36" w:themeColor="accent1"/>
          <w:insideH w:val="nil"/>
        </w:tcBorders>
        <w:shd w:val="clear" w:color="auto" w:fill="103A36" w:themeFill="accent1"/>
      </w:tcPr>
    </w:tblStylePr>
    <w:tblStylePr w:type="lastRow">
      <w:rPr>
        <w:b/>
        <w:bCs/>
      </w:rPr>
      <w:tblPr/>
      <w:tcPr>
        <w:tcBorders>
          <w:top w:val="double" w:sz="4" w:space="0" w:color="35C2B4" w:themeColor="accent1" w:themeTint="99"/>
        </w:tcBorders>
      </w:tc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25FFB8" w:themeColor="accent2" w:themeTint="99"/>
        <w:left w:val="single" w:sz="4" w:space="0" w:color="25FFB8" w:themeColor="accent2" w:themeTint="99"/>
        <w:bottom w:val="single" w:sz="4" w:space="0" w:color="25FFB8" w:themeColor="accent2" w:themeTint="99"/>
        <w:right w:val="single" w:sz="4" w:space="0" w:color="25FFB8" w:themeColor="accent2" w:themeTint="99"/>
        <w:insideH w:val="single" w:sz="4" w:space="0" w:color="25FFB8" w:themeColor="accent2" w:themeTint="99"/>
      </w:tblBorders>
    </w:tblPr>
    <w:tblStylePr w:type="firstRow">
      <w:rPr>
        <w:b/>
        <w:bCs/>
        <w:color w:val="FFFFFF" w:themeColor="background1"/>
      </w:rPr>
      <w:tblPr/>
      <w:tcPr>
        <w:tcBorders>
          <w:top w:val="single" w:sz="4" w:space="0" w:color="009364" w:themeColor="accent2"/>
          <w:left w:val="single" w:sz="4" w:space="0" w:color="009364" w:themeColor="accent2"/>
          <w:bottom w:val="single" w:sz="4" w:space="0" w:color="009364" w:themeColor="accent2"/>
          <w:right w:val="single" w:sz="4" w:space="0" w:color="009364" w:themeColor="accent2"/>
          <w:insideH w:val="nil"/>
        </w:tcBorders>
        <w:shd w:val="clear" w:color="auto" w:fill="009364" w:themeFill="accent2"/>
      </w:tcPr>
    </w:tblStylePr>
    <w:tblStylePr w:type="lastRow">
      <w:rPr>
        <w:b/>
        <w:bCs/>
      </w:rPr>
      <w:tblPr/>
      <w:tcPr>
        <w:tcBorders>
          <w:top w:val="double" w:sz="4" w:space="0" w:color="25FFB8" w:themeColor="accent2" w:themeTint="99"/>
        </w:tcBorders>
      </w:tc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9EDA2" w:themeColor="accent3" w:themeTint="99"/>
        <w:left w:val="single" w:sz="4" w:space="0" w:color="F9EDA2" w:themeColor="accent3" w:themeTint="99"/>
        <w:bottom w:val="single" w:sz="4" w:space="0" w:color="F9EDA2" w:themeColor="accent3" w:themeTint="99"/>
        <w:right w:val="single" w:sz="4" w:space="0" w:color="F9EDA2" w:themeColor="accent3" w:themeTint="99"/>
        <w:insideH w:val="single" w:sz="4" w:space="0" w:color="F9EDA2" w:themeColor="accent3" w:themeTint="99"/>
      </w:tblBorders>
    </w:tblPr>
    <w:tblStylePr w:type="firstRow">
      <w:rPr>
        <w:b/>
        <w:bCs/>
        <w:color w:val="FFFFFF" w:themeColor="background1"/>
      </w:rPr>
      <w:tblPr/>
      <w:tcPr>
        <w:tcBorders>
          <w:top w:val="single" w:sz="4" w:space="0" w:color="F6E265" w:themeColor="accent3"/>
          <w:left w:val="single" w:sz="4" w:space="0" w:color="F6E265" w:themeColor="accent3"/>
          <w:bottom w:val="single" w:sz="4" w:space="0" w:color="F6E265" w:themeColor="accent3"/>
          <w:right w:val="single" w:sz="4" w:space="0" w:color="F6E265" w:themeColor="accent3"/>
          <w:insideH w:val="nil"/>
        </w:tcBorders>
        <w:shd w:val="clear" w:color="auto" w:fill="F6E265" w:themeFill="accent3"/>
      </w:tcPr>
    </w:tblStylePr>
    <w:tblStylePr w:type="lastRow">
      <w:rPr>
        <w:b/>
        <w:bCs/>
      </w:rPr>
      <w:tblPr/>
      <w:tcPr>
        <w:tcBorders>
          <w:top w:val="double" w:sz="4" w:space="0" w:color="F9EDA2" w:themeColor="accent3" w:themeTint="99"/>
        </w:tcBorders>
      </w:tc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FDCAD" w:themeColor="accent4" w:themeTint="99"/>
        <w:left w:val="single" w:sz="4" w:space="0" w:color="FFDCAD" w:themeColor="accent4" w:themeTint="99"/>
        <w:bottom w:val="single" w:sz="4" w:space="0" w:color="FFDCAD" w:themeColor="accent4" w:themeTint="99"/>
        <w:right w:val="single" w:sz="4" w:space="0" w:color="FFDCAD" w:themeColor="accent4" w:themeTint="99"/>
        <w:insideH w:val="single" w:sz="4" w:space="0" w:color="FFDCAD" w:themeColor="accent4" w:themeTint="99"/>
      </w:tblBorders>
    </w:tblPr>
    <w:tblStylePr w:type="firstRow">
      <w:rPr>
        <w:b/>
        <w:bCs/>
        <w:color w:val="FFFFFF" w:themeColor="background1"/>
      </w:rPr>
      <w:tblPr/>
      <w:tcPr>
        <w:tcBorders>
          <w:top w:val="single" w:sz="4" w:space="0" w:color="FFC677" w:themeColor="accent4"/>
          <w:left w:val="single" w:sz="4" w:space="0" w:color="FFC677" w:themeColor="accent4"/>
          <w:bottom w:val="single" w:sz="4" w:space="0" w:color="FFC677" w:themeColor="accent4"/>
          <w:right w:val="single" w:sz="4" w:space="0" w:color="FFC677" w:themeColor="accent4"/>
          <w:insideH w:val="nil"/>
        </w:tcBorders>
        <w:shd w:val="clear" w:color="auto" w:fill="FFC677" w:themeFill="accent4"/>
      </w:tcPr>
    </w:tblStylePr>
    <w:tblStylePr w:type="lastRow">
      <w:rPr>
        <w:b/>
        <w:bCs/>
      </w:rPr>
      <w:tblPr/>
      <w:tcPr>
        <w:tcBorders>
          <w:top w:val="double" w:sz="4" w:space="0" w:color="FFDCAD" w:themeColor="accent4" w:themeTint="99"/>
        </w:tcBorders>
      </w:tc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FFAE85" w:themeColor="accent5" w:themeTint="99"/>
        <w:left w:val="single" w:sz="4" w:space="0" w:color="FFAE85" w:themeColor="accent5" w:themeTint="99"/>
        <w:bottom w:val="single" w:sz="4" w:space="0" w:color="FFAE85" w:themeColor="accent5" w:themeTint="99"/>
        <w:right w:val="single" w:sz="4" w:space="0" w:color="FFAE85" w:themeColor="accent5" w:themeTint="99"/>
        <w:insideH w:val="single" w:sz="4" w:space="0" w:color="FFAE85" w:themeColor="accent5" w:themeTint="99"/>
      </w:tblBorders>
    </w:tblPr>
    <w:tblStylePr w:type="firstRow">
      <w:rPr>
        <w:b/>
        <w:bCs/>
        <w:color w:val="FFFFFF" w:themeColor="background1"/>
      </w:rPr>
      <w:tblPr/>
      <w:tcPr>
        <w:tcBorders>
          <w:top w:val="single" w:sz="4" w:space="0" w:color="FF7A34" w:themeColor="accent5"/>
          <w:left w:val="single" w:sz="4" w:space="0" w:color="FF7A34" w:themeColor="accent5"/>
          <w:bottom w:val="single" w:sz="4" w:space="0" w:color="FF7A34" w:themeColor="accent5"/>
          <w:right w:val="single" w:sz="4" w:space="0" w:color="FF7A34" w:themeColor="accent5"/>
          <w:insideH w:val="nil"/>
        </w:tcBorders>
        <w:shd w:val="clear" w:color="auto" w:fill="FF7A34" w:themeFill="accent5"/>
      </w:tcPr>
    </w:tblStylePr>
    <w:tblStylePr w:type="lastRow">
      <w:rPr>
        <w:b/>
        <w:bCs/>
      </w:rPr>
      <w:tblPr/>
      <w:tcPr>
        <w:tcBorders>
          <w:top w:val="double" w:sz="4" w:space="0" w:color="FFAE85" w:themeColor="accent5" w:themeTint="99"/>
        </w:tcBorders>
      </w:tc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F68C95" w:themeColor="accent6" w:themeTint="99"/>
        <w:left w:val="single" w:sz="4" w:space="0" w:color="F68C95" w:themeColor="accent6" w:themeTint="99"/>
        <w:bottom w:val="single" w:sz="4" w:space="0" w:color="F68C95" w:themeColor="accent6" w:themeTint="99"/>
        <w:right w:val="single" w:sz="4" w:space="0" w:color="F68C95" w:themeColor="accent6" w:themeTint="99"/>
        <w:insideH w:val="single" w:sz="4" w:space="0" w:color="F68C95" w:themeColor="accent6" w:themeTint="99"/>
      </w:tblBorders>
    </w:tblPr>
    <w:tblStylePr w:type="firstRow">
      <w:rPr>
        <w:b/>
        <w:bCs/>
        <w:color w:val="FFFFFF" w:themeColor="background1"/>
      </w:rPr>
      <w:tblPr/>
      <w:tcPr>
        <w:tcBorders>
          <w:top w:val="single" w:sz="4" w:space="0" w:color="F0404F" w:themeColor="accent6"/>
          <w:left w:val="single" w:sz="4" w:space="0" w:color="F0404F" w:themeColor="accent6"/>
          <w:bottom w:val="single" w:sz="4" w:space="0" w:color="F0404F" w:themeColor="accent6"/>
          <w:right w:val="single" w:sz="4" w:space="0" w:color="F0404F" w:themeColor="accent6"/>
          <w:insideH w:val="nil"/>
        </w:tcBorders>
        <w:shd w:val="clear" w:color="auto" w:fill="F0404F" w:themeFill="accent6"/>
      </w:tcPr>
    </w:tblStylePr>
    <w:tblStylePr w:type="lastRow">
      <w:rPr>
        <w:b/>
        <w:bCs/>
      </w:rPr>
      <w:tblPr/>
      <w:tcPr>
        <w:tcBorders>
          <w:top w:val="double" w:sz="4" w:space="0" w:color="F68C95" w:themeColor="accent6" w:themeTint="99"/>
        </w:tcBorders>
      </w:tc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103A36" w:themeColor="accent1"/>
        <w:left w:val="single" w:sz="24" w:space="0" w:color="103A36" w:themeColor="accent1"/>
        <w:bottom w:val="single" w:sz="24" w:space="0" w:color="103A36" w:themeColor="accent1"/>
        <w:right w:val="single" w:sz="24" w:space="0" w:color="103A36" w:themeColor="accent1"/>
      </w:tblBorders>
    </w:tblPr>
    <w:tcPr>
      <w:shd w:val="clear" w:color="auto" w:fill="103A3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9364" w:themeColor="accent2"/>
        <w:left w:val="single" w:sz="24" w:space="0" w:color="009364" w:themeColor="accent2"/>
        <w:bottom w:val="single" w:sz="24" w:space="0" w:color="009364" w:themeColor="accent2"/>
        <w:right w:val="single" w:sz="24" w:space="0" w:color="009364" w:themeColor="accent2"/>
      </w:tblBorders>
    </w:tblPr>
    <w:tcPr>
      <w:shd w:val="clear" w:color="auto" w:fill="00936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F6E265" w:themeColor="accent3"/>
        <w:left w:val="single" w:sz="24" w:space="0" w:color="F6E265" w:themeColor="accent3"/>
        <w:bottom w:val="single" w:sz="24" w:space="0" w:color="F6E265" w:themeColor="accent3"/>
        <w:right w:val="single" w:sz="24" w:space="0" w:color="F6E265" w:themeColor="accent3"/>
      </w:tblBorders>
    </w:tblPr>
    <w:tcPr>
      <w:shd w:val="clear" w:color="auto" w:fill="F6E26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C677" w:themeColor="accent4"/>
        <w:left w:val="single" w:sz="24" w:space="0" w:color="FFC677" w:themeColor="accent4"/>
        <w:bottom w:val="single" w:sz="24" w:space="0" w:color="FFC677" w:themeColor="accent4"/>
        <w:right w:val="single" w:sz="24" w:space="0" w:color="FFC677" w:themeColor="accent4"/>
      </w:tblBorders>
    </w:tblPr>
    <w:tcPr>
      <w:shd w:val="clear" w:color="auto" w:fill="FFC67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7A34" w:themeColor="accent5"/>
        <w:left w:val="single" w:sz="24" w:space="0" w:color="FF7A34" w:themeColor="accent5"/>
        <w:bottom w:val="single" w:sz="24" w:space="0" w:color="FF7A34" w:themeColor="accent5"/>
        <w:right w:val="single" w:sz="24" w:space="0" w:color="FF7A34" w:themeColor="accent5"/>
      </w:tblBorders>
    </w:tblPr>
    <w:tcPr>
      <w:shd w:val="clear" w:color="auto" w:fill="FF7A3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F0404F" w:themeColor="accent6"/>
        <w:left w:val="single" w:sz="24" w:space="0" w:color="F0404F" w:themeColor="accent6"/>
        <w:bottom w:val="single" w:sz="24" w:space="0" w:color="F0404F" w:themeColor="accent6"/>
        <w:right w:val="single" w:sz="24" w:space="0" w:color="F0404F" w:themeColor="accent6"/>
      </w:tblBorders>
    </w:tblPr>
    <w:tcPr>
      <w:shd w:val="clear" w:color="auto" w:fill="F0404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0C2B28" w:themeColor="accent1" w:themeShade="BF"/>
    </w:rPr>
    <w:tblPr>
      <w:tblStyleRowBandSize w:val="1"/>
      <w:tblStyleColBandSize w:val="1"/>
      <w:tblBorders>
        <w:top w:val="single" w:sz="4" w:space="0" w:color="103A36" w:themeColor="accent1"/>
        <w:bottom w:val="single" w:sz="4" w:space="0" w:color="103A36" w:themeColor="accent1"/>
      </w:tblBorders>
    </w:tblPr>
    <w:tblStylePr w:type="firstRow">
      <w:rPr>
        <w:b/>
        <w:bCs/>
      </w:rPr>
      <w:tblPr/>
      <w:tcPr>
        <w:tcBorders>
          <w:bottom w:val="single" w:sz="4" w:space="0" w:color="103A36" w:themeColor="accent1"/>
        </w:tcBorders>
      </w:tcPr>
    </w:tblStylePr>
    <w:tblStylePr w:type="lastRow">
      <w:rPr>
        <w:b/>
        <w:bCs/>
      </w:rPr>
      <w:tblPr/>
      <w:tcPr>
        <w:tcBorders>
          <w:top w:val="double" w:sz="4" w:space="0" w:color="103A36" w:themeColor="accent1"/>
        </w:tcBorders>
      </w:tc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006E4A" w:themeColor="accent2" w:themeShade="BF"/>
    </w:rPr>
    <w:tblPr>
      <w:tblStyleRowBandSize w:val="1"/>
      <w:tblStyleColBandSize w:val="1"/>
      <w:tblBorders>
        <w:top w:val="single" w:sz="4" w:space="0" w:color="009364" w:themeColor="accent2"/>
        <w:bottom w:val="single" w:sz="4" w:space="0" w:color="009364" w:themeColor="accent2"/>
      </w:tblBorders>
    </w:tblPr>
    <w:tblStylePr w:type="firstRow">
      <w:rPr>
        <w:b/>
        <w:bCs/>
      </w:rPr>
      <w:tblPr/>
      <w:tcPr>
        <w:tcBorders>
          <w:bottom w:val="single" w:sz="4" w:space="0" w:color="009364" w:themeColor="accent2"/>
        </w:tcBorders>
      </w:tcPr>
    </w:tblStylePr>
    <w:tblStylePr w:type="lastRow">
      <w:rPr>
        <w:b/>
        <w:bCs/>
      </w:rPr>
      <w:tblPr/>
      <w:tcPr>
        <w:tcBorders>
          <w:top w:val="double" w:sz="4" w:space="0" w:color="009364" w:themeColor="accent2"/>
        </w:tcBorders>
      </w:tc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F1D112" w:themeColor="accent3" w:themeShade="BF"/>
    </w:rPr>
    <w:tblPr>
      <w:tblStyleRowBandSize w:val="1"/>
      <w:tblStyleColBandSize w:val="1"/>
      <w:tblBorders>
        <w:top w:val="single" w:sz="4" w:space="0" w:color="F6E265" w:themeColor="accent3"/>
        <w:bottom w:val="single" w:sz="4" w:space="0" w:color="F6E265" w:themeColor="accent3"/>
      </w:tblBorders>
    </w:tblPr>
    <w:tblStylePr w:type="firstRow">
      <w:rPr>
        <w:b/>
        <w:bCs/>
      </w:rPr>
      <w:tblPr/>
      <w:tcPr>
        <w:tcBorders>
          <w:bottom w:val="single" w:sz="4" w:space="0" w:color="F6E265" w:themeColor="accent3"/>
        </w:tcBorders>
      </w:tcPr>
    </w:tblStylePr>
    <w:tblStylePr w:type="lastRow">
      <w:rPr>
        <w:b/>
        <w:bCs/>
      </w:rPr>
      <w:tblPr/>
      <w:tcPr>
        <w:tcBorders>
          <w:top w:val="double" w:sz="4" w:space="0" w:color="F6E265" w:themeColor="accent3"/>
        </w:tcBorders>
      </w:tc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FF9E19" w:themeColor="accent4" w:themeShade="BF"/>
    </w:rPr>
    <w:tblPr>
      <w:tblStyleRowBandSize w:val="1"/>
      <w:tblStyleColBandSize w:val="1"/>
      <w:tblBorders>
        <w:top w:val="single" w:sz="4" w:space="0" w:color="FFC677" w:themeColor="accent4"/>
        <w:bottom w:val="single" w:sz="4" w:space="0" w:color="FFC677" w:themeColor="accent4"/>
      </w:tblBorders>
    </w:tblPr>
    <w:tblStylePr w:type="firstRow">
      <w:rPr>
        <w:b/>
        <w:bCs/>
      </w:rPr>
      <w:tblPr/>
      <w:tcPr>
        <w:tcBorders>
          <w:bottom w:val="single" w:sz="4" w:space="0" w:color="FFC677" w:themeColor="accent4"/>
        </w:tcBorders>
      </w:tcPr>
    </w:tblStylePr>
    <w:tblStylePr w:type="lastRow">
      <w:rPr>
        <w:b/>
        <w:bCs/>
      </w:rPr>
      <w:tblPr/>
      <w:tcPr>
        <w:tcBorders>
          <w:top w:val="double" w:sz="4" w:space="0" w:color="FFC677" w:themeColor="accent4"/>
        </w:tcBorders>
      </w:tc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E54E00" w:themeColor="accent5" w:themeShade="BF"/>
    </w:rPr>
    <w:tblPr>
      <w:tblStyleRowBandSize w:val="1"/>
      <w:tblStyleColBandSize w:val="1"/>
      <w:tblBorders>
        <w:top w:val="single" w:sz="4" w:space="0" w:color="FF7A34" w:themeColor="accent5"/>
        <w:bottom w:val="single" w:sz="4" w:space="0" w:color="FF7A34" w:themeColor="accent5"/>
      </w:tblBorders>
    </w:tblPr>
    <w:tblStylePr w:type="firstRow">
      <w:rPr>
        <w:b/>
        <w:bCs/>
      </w:rPr>
      <w:tblPr/>
      <w:tcPr>
        <w:tcBorders>
          <w:bottom w:val="single" w:sz="4" w:space="0" w:color="FF7A34" w:themeColor="accent5"/>
        </w:tcBorders>
      </w:tcPr>
    </w:tblStylePr>
    <w:tblStylePr w:type="lastRow">
      <w:rPr>
        <w:b/>
        <w:bCs/>
      </w:rPr>
      <w:tblPr/>
      <w:tcPr>
        <w:tcBorders>
          <w:top w:val="double" w:sz="4" w:space="0" w:color="FF7A34" w:themeColor="accent5"/>
        </w:tcBorders>
      </w:tc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D31020" w:themeColor="accent6" w:themeShade="BF"/>
    </w:rPr>
    <w:tblPr>
      <w:tblStyleRowBandSize w:val="1"/>
      <w:tblStyleColBandSize w:val="1"/>
      <w:tblBorders>
        <w:top w:val="single" w:sz="4" w:space="0" w:color="F0404F" w:themeColor="accent6"/>
        <w:bottom w:val="single" w:sz="4" w:space="0" w:color="F0404F" w:themeColor="accent6"/>
      </w:tblBorders>
    </w:tblPr>
    <w:tblStylePr w:type="firstRow">
      <w:rPr>
        <w:b/>
        <w:bCs/>
      </w:rPr>
      <w:tblPr/>
      <w:tcPr>
        <w:tcBorders>
          <w:bottom w:val="single" w:sz="4" w:space="0" w:color="F0404F" w:themeColor="accent6"/>
        </w:tcBorders>
      </w:tcPr>
    </w:tblStylePr>
    <w:tblStylePr w:type="lastRow">
      <w:rPr>
        <w:b/>
        <w:bCs/>
      </w:rPr>
      <w:tblPr/>
      <w:tcPr>
        <w:tcBorders>
          <w:top w:val="double" w:sz="4" w:space="0" w:color="F0404F" w:themeColor="accent6"/>
        </w:tcBorders>
      </w:tc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0C2B2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3A3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3A3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3A3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3A36" w:themeColor="accent1"/>
        </w:tcBorders>
        <w:shd w:val="clear" w:color="auto" w:fill="FFFFFF" w:themeFill="background1"/>
      </w:tcPr>
    </w:tblStylePr>
    <w:tblStylePr w:type="band1Vert">
      <w:tblPr/>
      <w:tcPr>
        <w:shd w:val="clear" w:color="auto" w:fill="BAECE7" w:themeFill="accent1" w:themeFillTint="33"/>
      </w:tcPr>
    </w:tblStylePr>
    <w:tblStylePr w:type="band1Horz">
      <w:tblPr/>
      <w:tcPr>
        <w:shd w:val="clear" w:color="auto" w:fill="BAEC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006E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36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36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36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364" w:themeColor="accent2"/>
        </w:tcBorders>
        <w:shd w:val="clear" w:color="auto" w:fill="FFFFFF" w:themeFill="background1"/>
      </w:tcPr>
    </w:tblStylePr>
    <w:tblStylePr w:type="band1Vert">
      <w:tblPr/>
      <w:tcPr>
        <w:shd w:val="clear" w:color="auto" w:fill="B6FFE7" w:themeFill="accent2" w:themeFillTint="33"/>
      </w:tcPr>
    </w:tblStylePr>
    <w:tblStylePr w:type="band1Horz">
      <w:tblPr/>
      <w:tcPr>
        <w:shd w:val="clear" w:color="auto" w:fill="B6FFE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F1D11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E26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E26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E26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E265" w:themeColor="accent3"/>
        </w:tcBorders>
        <w:shd w:val="clear" w:color="auto" w:fill="FFFFFF" w:themeFill="background1"/>
      </w:tcPr>
    </w:tblStylePr>
    <w:tblStylePr w:type="band1Vert">
      <w:tblPr/>
      <w:tcPr>
        <w:shd w:val="clear" w:color="auto" w:fill="FDF9E0" w:themeFill="accent3" w:themeFillTint="33"/>
      </w:tcPr>
    </w:tblStylePr>
    <w:tblStylePr w:type="band1Horz">
      <w:tblPr/>
      <w:tcPr>
        <w:shd w:val="clear" w:color="auto" w:fill="FDF9E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FF9E1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67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67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67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677" w:themeColor="accent4"/>
        </w:tcBorders>
        <w:shd w:val="clear" w:color="auto" w:fill="FFFFFF" w:themeFill="background1"/>
      </w:tcPr>
    </w:tblStylePr>
    <w:tblStylePr w:type="band1Vert">
      <w:tblPr/>
      <w:tcPr>
        <w:shd w:val="clear" w:color="auto" w:fill="FFF3E3" w:themeFill="accent4" w:themeFillTint="33"/>
      </w:tcPr>
    </w:tblStylePr>
    <w:tblStylePr w:type="band1Horz">
      <w:tblPr/>
      <w:tcPr>
        <w:shd w:val="clear" w:color="auto" w:fill="FFF3E3"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E54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7A3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7A3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7A3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7A34" w:themeColor="accent5"/>
        </w:tcBorders>
        <w:shd w:val="clear" w:color="auto" w:fill="FFFFFF" w:themeFill="background1"/>
      </w:tcPr>
    </w:tblStylePr>
    <w:tblStylePr w:type="band1Vert">
      <w:tblPr/>
      <w:tcPr>
        <w:shd w:val="clear" w:color="auto" w:fill="FFE4D6" w:themeFill="accent5" w:themeFillTint="33"/>
      </w:tcPr>
    </w:tblStylePr>
    <w:tblStylePr w:type="band1Horz">
      <w:tblPr/>
      <w:tcPr>
        <w:shd w:val="clear" w:color="auto" w:fill="FFE4D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D3102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04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04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04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04F" w:themeColor="accent6"/>
        </w:tcBorders>
        <w:shd w:val="clear" w:color="auto" w:fill="FFFFFF" w:themeFill="background1"/>
      </w:tcPr>
    </w:tblStylePr>
    <w:tblStylePr w:type="band1Vert">
      <w:tblPr/>
      <w:tcPr>
        <w:shd w:val="clear" w:color="auto" w:fill="FCD8DB" w:themeFill="accent6" w:themeFillTint="33"/>
      </w:tcPr>
    </w:tblStylePr>
    <w:tblStylePr w:type="band1Horz">
      <w:tblPr/>
      <w:tcPr>
        <w:shd w:val="clear" w:color="auto" w:fill="FCD8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278F85" w:themeColor="accent1" w:themeTint="BF"/>
        <w:left w:val="single" w:sz="8" w:space="0" w:color="278F85" w:themeColor="accent1" w:themeTint="BF"/>
        <w:bottom w:val="single" w:sz="8" w:space="0" w:color="278F85" w:themeColor="accent1" w:themeTint="BF"/>
        <w:right w:val="single" w:sz="8" w:space="0" w:color="278F85" w:themeColor="accent1" w:themeTint="BF"/>
        <w:insideH w:val="single" w:sz="8" w:space="0" w:color="278F85" w:themeColor="accent1" w:themeTint="BF"/>
        <w:insideV w:val="single" w:sz="8" w:space="0" w:color="278F85" w:themeColor="accent1" w:themeTint="BF"/>
      </w:tblBorders>
    </w:tblPr>
    <w:tcPr>
      <w:shd w:val="clear" w:color="auto" w:fill="AAE7E1" w:themeFill="accent1" w:themeFillTint="3F"/>
    </w:tcPr>
    <w:tblStylePr w:type="firstRow">
      <w:rPr>
        <w:b/>
        <w:bCs/>
      </w:rPr>
    </w:tblStylePr>
    <w:tblStylePr w:type="lastRow">
      <w:rPr>
        <w:b/>
        <w:bCs/>
      </w:rPr>
      <w:tblPr/>
      <w:tcPr>
        <w:tcBorders>
          <w:top w:val="single" w:sz="18" w:space="0" w:color="278F85" w:themeColor="accent1" w:themeTint="BF"/>
        </w:tcBorders>
      </w:tcPr>
    </w:tblStylePr>
    <w:tblStylePr w:type="firstCol">
      <w:rPr>
        <w:b/>
        <w:bCs/>
      </w:rPr>
    </w:tblStylePr>
    <w:tblStylePr w:type="lastCol">
      <w:rPr>
        <w:b/>
        <w:bCs/>
      </w:rPr>
    </w:tblStylePr>
    <w:tblStylePr w:type="band1Vert">
      <w:tblPr/>
      <w:tcPr>
        <w:shd w:val="clear" w:color="auto" w:fill="54D0C3" w:themeFill="accent1" w:themeFillTint="7F"/>
      </w:tcPr>
    </w:tblStylePr>
    <w:tblStylePr w:type="band1Horz">
      <w:tblPr/>
      <w:tcPr>
        <w:shd w:val="clear" w:color="auto" w:fill="54D0C3"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00EEA1" w:themeColor="accent2" w:themeTint="BF"/>
        <w:left w:val="single" w:sz="8" w:space="0" w:color="00EEA1" w:themeColor="accent2" w:themeTint="BF"/>
        <w:bottom w:val="single" w:sz="8" w:space="0" w:color="00EEA1" w:themeColor="accent2" w:themeTint="BF"/>
        <w:right w:val="single" w:sz="8" w:space="0" w:color="00EEA1" w:themeColor="accent2" w:themeTint="BF"/>
        <w:insideH w:val="single" w:sz="8" w:space="0" w:color="00EEA1" w:themeColor="accent2" w:themeTint="BF"/>
        <w:insideV w:val="single" w:sz="8" w:space="0" w:color="00EEA1" w:themeColor="accent2" w:themeTint="BF"/>
      </w:tblBorders>
    </w:tblPr>
    <w:tcPr>
      <w:shd w:val="clear" w:color="auto" w:fill="A5FFE2" w:themeFill="accent2" w:themeFillTint="3F"/>
    </w:tcPr>
    <w:tblStylePr w:type="firstRow">
      <w:rPr>
        <w:b/>
        <w:bCs/>
      </w:rPr>
    </w:tblStylePr>
    <w:tblStylePr w:type="lastRow">
      <w:rPr>
        <w:b/>
        <w:bCs/>
      </w:rPr>
      <w:tblPr/>
      <w:tcPr>
        <w:tcBorders>
          <w:top w:val="single" w:sz="18" w:space="0" w:color="00EEA1" w:themeColor="accent2" w:themeTint="BF"/>
        </w:tcBorders>
      </w:tcPr>
    </w:tblStylePr>
    <w:tblStylePr w:type="firstCol">
      <w:rPr>
        <w:b/>
        <w:bCs/>
      </w:rPr>
    </w:tblStylePr>
    <w:tblStylePr w:type="lastCol">
      <w:rPr>
        <w:b/>
        <w:bCs/>
      </w:rPr>
    </w:tblStylePr>
    <w:tblStylePr w:type="band1Vert">
      <w:tblPr/>
      <w:tcPr>
        <w:shd w:val="clear" w:color="auto" w:fill="4AFFC4" w:themeFill="accent2" w:themeFillTint="7F"/>
      </w:tcPr>
    </w:tblStylePr>
    <w:tblStylePr w:type="band1Horz">
      <w:tblPr/>
      <w:tcPr>
        <w:shd w:val="clear" w:color="auto" w:fill="4AFFC4"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F8E88B" w:themeColor="accent3" w:themeTint="BF"/>
        <w:left w:val="single" w:sz="8" w:space="0" w:color="F8E88B" w:themeColor="accent3" w:themeTint="BF"/>
        <w:bottom w:val="single" w:sz="8" w:space="0" w:color="F8E88B" w:themeColor="accent3" w:themeTint="BF"/>
        <w:right w:val="single" w:sz="8" w:space="0" w:color="F8E88B" w:themeColor="accent3" w:themeTint="BF"/>
        <w:insideH w:val="single" w:sz="8" w:space="0" w:color="F8E88B" w:themeColor="accent3" w:themeTint="BF"/>
        <w:insideV w:val="single" w:sz="8" w:space="0" w:color="F8E88B" w:themeColor="accent3" w:themeTint="BF"/>
      </w:tblBorders>
    </w:tblPr>
    <w:tcPr>
      <w:shd w:val="clear" w:color="auto" w:fill="FCF7D8" w:themeFill="accent3" w:themeFillTint="3F"/>
    </w:tcPr>
    <w:tblStylePr w:type="firstRow">
      <w:rPr>
        <w:b/>
        <w:bCs/>
      </w:rPr>
    </w:tblStylePr>
    <w:tblStylePr w:type="lastRow">
      <w:rPr>
        <w:b/>
        <w:bCs/>
      </w:rPr>
      <w:tblPr/>
      <w:tcPr>
        <w:tcBorders>
          <w:top w:val="single" w:sz="18" w:space="0" w:color="F8E88B" w:themeColor="accent3" w:themeTint="BF"/>
        </w:tcBorders>
      </w:tcPr>
    </w:tblStylePr>
    <w:tblStylePr w:type="firstCol">
      <w:rPr>
        <w:b/>
        <w:bCs/>
      </w:rPr>
    </w:tblStylePr>
    <w:tblStylePr w:type="lastCol">
      <w:rPr>
        <w:b/>
        <w:bCs/>
      </w:rPr>
    </w:tblStylePr>
    <w:tblStylePr w:type="band1Vert">
      <w:tblPr/>
      <w:tcPr>
        <w:shd w:val="clear" w:color="auto" w:fill="FAF0B2" w:themeFill="accent3" w:themeFillTint="7F"/>
      </w:tcPr>
    </w:tblStylePr>
    <w:tblStylePr w:type="band1Horz">
      <w:tblPr/>
      <w:tcPr>
        <w:shd w:val="clear" w:color="auto" w:fill="FAF0B2"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FD499" w:themeColor="accent4" w:themeTint="BF"/>
        <w:left w:val="single" w:sz="8" w:space="0" w:color="FFD499" w:themeColor="accent4" w:themeTint="BF"/>
        <w:bottom w:val="single" w:sz="8" w:space="0" w:color="FFD499" w:themeColor="accent4" w:themeTint="BF"/>
        <w:right w:val="single" w:sz="8" w:space="0" w:color="FFD499" w:themeColor="accent4" w:themeTint="BF"/>
        <w:insideH w:val="single" w:sz="8" w:space="0" w:color="FFD499" w:themeColor="accent4" w:themeTint="BF"/>
        <w:insideV w:val="single" w:sz="8" w:space="0" w:color="FFD499" w:themeColor="accent4" w:themeTint="BF"/>
      </w:tblBorders>
    </w:tblPr>
    <w:tcPr>
      <w:shd w:val="clear" w:color="auto" w:fill="FFF0DD" w:themeFill="accent4" w:themeFillTint="3F"/>
    </w:tcPr>
    <w:tblStylePr w:type="firstRow">
      <w:rPr>
        <w:b/>
        <w:bCs/>
      </w:rPr>
    </w:tblStylePr>
    <w:tblStylePr w:type="lastRow">
      <w:rPr>
        <w:b/>
        <w:bCs/>
      </w:rPr>
      <w:tblPr/>
      <w:tcPr>
        <w:tcBorders>
          <w:top w:val="single" w:sz="18" w:space="0" w:color="FFD499" w:themeColor="accent4" w:themeTint="BF"/>
        </w:tcBorders>
      </w:tcPr>
    </w:tblStylePr>
    <w:tblStylePr w:type="firstCol">
      <w:rPr>
        <w:b/>
        <w:bCs/>
      </w:rPr>
    </w:tblStylePr>
    <w:tblStylePr w:type="lastCol">
      <w:rPr>
        <w:b/>
        <w:bCs/>
      </w:rPr>
    </w:tblStylePr>
    <w:tblStylePr w:type="band1Vert">
      <w:tblPr/>
      <w:tcPr>
        <w:shd w:val="clear" w:color="auto" w:fill="FFE2BB" w:themeFill="accent4" w:themeFillTint="7F"/>
      </w:tcPr>
    </w:tblStylePr>
    <w:tblStylePr w:type="band1Horz">
      <w:tblPr/>
      <w:tcPr>
        <w:shd w:val="clear" w:color="auto" w:fill="FFE2BB"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FF9A66" w:themeColor="accent5" w:themeTint="BF"/>
        <w:left w:val="single" w:sz="8" w:space="0" w:color="FF9A66" w:themeColor="accent5" w:themeTint="BF"/>
        <w:bottom w:val="single" w:sz="8" w:space="0" w:color="FF9A66" w:themeColor="accent5" w:themeTint="BF"/>
        <w:right w:val="single" w:sz="8" w:space="0" w:color="FF9A66" w:themeColor="accent5" w:themeTint="BF"/>
        <w:insideH w:val="single" w:sz="8" w:space="0" w:color="FF9A66" w:themeColor="accent5" w:themeTint="BF"/>
        <w:insideV w:val="single" w:sz="8" w:space="0" w:color="FF9A66" w:themeColor="accent5" w:themeTint="BF"/>
      </w:tblBorders>
    </w:tblPr>
    <w:tcPr>
      <w:shd w:val="clear" w:color="auto" w:fill="FFDDCC" w:themeFill="accent5" w:themeFillTint="3F"/>
    </w:tcPr>
    <w:tblStylePr w:type="firstRow">
      <w:rPr>
        <w:b/>
        <w:bCs/>
      </w:rPr>
    </w:tblStylePr>
    <w:tblStylePr w:type="lastRow">
      <w:rPr>
        <w:b/>
        <w:bCs/>
      </w:rPr>
      <w:tblPr/>
      <w:tcPr>
        <w:tcBorders>
          <w:top w:val="single" w:sz="18" w:space="0" w:color="FF9A66" w:themeColor="accent5" w:themeTint="BF"/>
        </w:tcBorders>
      </w:tcPr>
    </w:tblStylePr>
    <w:tblStylePr w:type="firstCol">
      <w:rPr>
        <w:b/>
        <w:bCs/>
      </w:rPr>
    </w:tblStylePr>
    <w:tblStylePr w:type="lastCol">
      <w:rPr>
        <w:b/>
        <w:bCs/>
      </w:rPr>
    </w:tblStylePr>
    <w:tblStylePr w:type="band1Vert">
      <w:tblPr/>
      <w:tcPr>
        <w:shd w:val="clear" w:color="auto" w:fill="FFBC99" w:themeFill="accent5" w:themeFillTint="7F"/>
      </w:tcPr>
    </w:tblStylePr>
    <w:tblStylePr w:type="band1Horz">
      <w:tblPr/>
      <w:tcPr>
        <w:shd w:val="clear" w:color="auto" w:fill="FFBC99"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F36F7A" w:themeColor="accent6" w:themeTint="BF"/>
        <w:left w:val="single" w:sz="8" w:space="0" w:color="F36F7A" w:themeColor="accent6" w:themeTint="BF"/>
        <w:bottom w:val="single" w:sz="8" w:space="0" w:color="F36F7A" w:themeColor="accent6" w:themeTint="BF"/>
        <w:right w:val="single" w:sz="8" w:space="0" w:color="F36F7A" w:themeColor="accent6" w:themeTint="BF"/>
        <w:insideH w:val="single" w:sz="8" w:space="0" w:color="F36F7A" w:themeColor="accent6" w:themeTint="BF"/>
        <w:insideV w:val="single" w:sz="8" w:space="0" w:color="F36F7A" w:themeColor="accent6" w:themeTint="BF"/>
      </w:tblBorders>
    </w:tblPr>
    <w:tcPr>
      <w:shd w:val="clear" w:color="auto" w:fill="FBCFD3" w:themeFill="accent6" w:themeFillTint="3F"/>
    </w:tcPr>
    <w:tblStylePr w:type="firstRow">
      <w:rPr>
        <w:b/>
        <w:bCs/>
      </w:rPr>
    </w:tblStylePr>
    <w:tblStylePr w:type="lastRow">
      <w:rPr>
        <w:b/>
        <w:bCs/>
      </w:rPr>
      <w:tblPr/>
      <w:tcPr>
        <w:tcBorders>
          <w:top w:val="single" w:sz="18" w:space="0" w:color="F36F7A" w:themeColor="accent6" w:themeTint="BF"/>
        </w:tcBorders>
      </w:tcPr>
    </w:tblStylePr>
    <w:tblStylePr w:type="firstCol">
      <w:rPr>
        <w:b/>
        <w:bCs/>
      </w:rPr>
    </w:tblStylePr>
    <w:tblStylePr w:type="lastCol">
      <w:rPr>
        <w:b/>
        <w:bCs/>
      </w:rPr>
    </w:tblStylePr>
    <w:tblStylePr w:type="band1Vert">
      <w:tblPr/>
      <w:tcPr>
        <w:shd w:val="clear" w:color="auto" w:fill="F79FA6" w:themeFill="accent6" w:themeFillTint="7F"/>
      </w:tcPr>
    </w:tblStylePr>
    <w:tblStylePr w:type="band1Horz">
      <w:tblPr/>
      <w:tcPr>
        <w:shd w:val="clear" w:color="auto" w:fill="F79FA6"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103A36" w:themeColor="accent1"/>
        <w:left w:val="single" w:sz="8" w:space="0" w:color="103A36" w:themeColor="accent1"/>
        <w:bottom w:val="single" w:sz="8" w:space="0" w:color="103A36" w:themeColor="accent1"/>
        <w:right w:val="single" w:sz="8" w:space="0" w:color="103A36" w:themeColor="accent1"/>
        <w:insideH w:val="single" w:sz="8" w:space="0" w:color="103A36" w:themeColor="accent1"/>
        <w:insideV w:val="single" w:sz="8" w:space="0" w:color="103A36" w:themeColor="accent1"/>
      </w:tblBorders>
    </w:tblPr>
    <w:tcPr>
      <w:shd w:val="clear" w:color="auto" w:fill="AAE7E1" w:themeFill="accent1" w:themeFillTint="3F"/>
    </w:tcPr>
    <w:tblStylePr w:type="firstRow">
      <w:rPr>
        <w:b/>
        <w:bCs/>
        <w:color w:val="000000" w:themeColor="text1"/>
      </w:rPr>
      <w:tblPr/>
      <w:tcPr>
        <w:shd w:val="clear" w:color="auto" w:fill="DDF5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CE7" w:themeFill="accent1" w:themeFillTint="33"/>
      </w:tcPr>
    </w:tblStylePr>
    <w:tblStylePr w:type="band1Vert">
      <w:tblPr/>
      <w:tcPr>
        <w:shd w:val="clear" w:color="auto" w:fill="54D0C3" w:themeFill="accent1" w:themeFillTint="7F"/>
      </w:tcPr>
    </w:tblStylePr>
    <w:tblStylePr w:type="band1Horz">
      <w:tblPr/>
      <w:tcPr>
        <w:tcBorders>
          <w:insideH w:val="single" w:sz="6" w:space="0" w:color="103A36" w:themeColor="accent1"/>
          <w:insideV w:val="single" w:sz="6" w:space="0" w:color="103A36" w:themeColor="accent1"/>
        </w:tcBorders>
        <w:shd w:val="clear" w:color="auto" w:fill="54D0C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9364" w:themeColor="accent2"/>
        <w:left w:val="single" w:sz="8" w:space="0" w:color="009364" w:themeColor="accent2"/>
        <w:bottom w:val="single" w:sz="8" w:space="0" w:color="009364" w:themeColor="accent2"/>
        <w:right w:val="single" w:sz="8" w:space="0" w:color="009364" w:themeColor="accent2"/>
        <w:insideH w:val="single" w:sz="8" w:space="0" w:color="009364" w:themeColor="accent2"/>
        <w:insideV w:val="single" w:sz="8" w:space="0" w:color="009364" w:themeColor="accent2"/>
      </w:tblBorders>
    </w:tblPr>
    <w:tcPr>
      <w:shd w:val="clear" w:color="auto" w:fill="A5FFE2" w:themeFill="accent2" w:themeFillTint="3F"/>
    </w:tcPr>
    <w:tblStylePr w:type="firstRow">
      <w:rPr>
        <w:b/>
        <w:bCs/>
        <w:color w:val="000000" w:themeColor="text1"/>
      </w:rPr>
      <w:tblPr/>
      <w:tcPr>
        <w:shd w:val="clear" w:color="auto" w:fill="DBFF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FFE7" w:themeFill="accent2" w:themeFillTint="33"/>
      </w:tcPr>
    </w:tblStylePr>
    <w:tblStylePr w:type="band1Vert">
      <w:tblPr/>
      <w:tcPr>
        <w:shd w:val="clear" w:color="auto" w:fill="4AFFC4" w:themeFill="accent2" w:themeFillTint="7F"/>
      </w:tcPr>
    </w:tblStylePr>
    <w:tblStylePr w:type="band1Horz">
      <w:tblPr/>
      <w:tcPr>
        <w:tcBorders>
          <w:insideH w:val="single" w:sz="6" w:space="0" w:color="009364" w:themeColor="accent2"/>
          <w:insideV w:val="single" w:sz="6" w:space="0" w:color="009364" w:themeColor="accent2"/>
        </w:tcBorders>
        <w:shd w:val="clear" w:color="auto" w:fill="4AFFC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265" w:themeColor="accent3"/>
        <w:left w:val="single" w:sz="8" w:space="0" w:color="F6E265" w:themeColor="accent3"/>
        <w:bottom w:val="single" w:sz="8" w:space="0" w:color="F6E265" w:themeColor="accent3"/>
        <w:right w:val="single" w:sz="8" w:space="0" w:color="F6E265" w:themeColor="accent3"/>
        <w:insideH w:val="single" w:sz="8" w:space="0" w:color="F6E265" w:themeColor="accent3"/>
        <w:insideV w:val="single" w:sz="8" w:space="0" w:color="F6E265" w:themeColor="accent3"/>
      </w:tblBorders>
    </w:tblPr>
    <w:tcPr>
      <w:shd w:val="clear" w:color="auto" w:fill="FCF7D8" w:themeFill="accent3" w:themeFillTint="3F"/>
    </w:tcPr>
    <w:tblStylePr w:type="firstRow">
      <w:rPr>
        <w:b/>
        <w:bCs/>
        <w:color w:val="000000" w:themeColor="text1"/>
      </w:rPr>
      <w:tblPr/>
      <w:tcPr>
        <w:shd w:val="clear" w:color="auto" w:fill="FEFC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9E0" w:themeFill="accent3" w:themeFillTint="33"/>
      </w:tcPr>
    </w:tblStylePr>
    <w:tblStylePr w:type="band1Vert">
      <w:tblPr/>
      <w:tcPr>
        <w:shd w:val="clear" w:color="auto" w:fill="FAF0B2" w:themeFill="accent3" w:themeFillTint="7F"/>
      </w:tcPr>
    </w:tblStylePr>
    <w:tblStylePr w:type="band1Horz">
      <w:tblPr/>
      <w:tcPr>
        <w:tcBorders>
          <w:insideH w:val="single" w:sz="6" w:space="0" w:color="F6E265" w:themeColor="accent3"/>
          <w:insideV w:val="single" w:sz="6" w:space="0" w:color="F6E265" w:themeColor="accent3"/>
        </w:tcBorders>
        <w:shd w:val="clear" w:color="auto" w:fill="FAF0B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C677" w:themeColor="accent4"/>
        <w:left w:val="single" w:sz="8" w:space="0" w:color="FFC677" w:themeColor="accent4"/>
        <w:bottom w:val="single" w:sz="8" w:space="0" w:color="FFC677" w:themeColor="accent4"/>
        <w:right w:val="single" w:sz="8" w:space="0" w:color="FFC677" w:themeColor="accent4"/>
        <w:insideH w:val="single" w:sz="8" w:space="0" w:color="FFC677" w:themeColor="accent4"/>
        <w:insideV w:val="single" w:sz="8" w:space="0" w:color="FFC677" w:themeColor="accent4"/>
      </w:tblBorders>
    </w:tblPr>
    <w:tcPr>
      <w:shd w:val="clear" w:color="auto" w:fill="FFF0DD" w:themeFill="accent4" w:themeFillTint="3F"/>
    </w:tcPr>
    <w:tblStylePr w:type="firstRow">
      <w:rPr>
        <w:b/>
        <w:bCs/>
        <w:color w:val="000000" w:themeColor="text1"/>
      </w:rPr>
      <w:tblPr/>
      <w:tcPr>
        <w:shd w:val="clear" w:color="auto" w:fill="FFF9F1"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3E3" w:themeFill="accent4" w:themeFillTint="33"/>
      </w:tcPr>
    </w:tblStylePr>
    <w:tblStylePr w:type="band1Vert">
      <w:tblPr/>
      <w:tcPr>
        <w:shd w:val="clear" w:color="auto" w:fill="FFE2BB" w:themeFill="accent4" w:themeFillTint="7F"/>
      </w:tcPr>
    </w:tblStylePr>
    <w:tblStylePr w:type="band1Horz">
      <w:tblPr/>
      <w:tcPr>
        <w:tcBorders>
          <w:insideH w:val="single" w:sz="6" w:space="0" w:color="FFC677" w:themeColor="accent4"/>
          <w:insideV w:val="single" w:sz="6" w:space="0" w:color="FFC677" w:themeColor="accent4"/>
        </w:tcBorders>
        <w:shd w:val="clear" w:color="auto" w:fill="FFE2B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7A34" w:themeColor="accent5"/>
        <w:left w:val="single" w:sz="8" w:space="0" w:color="FF7A34" w:themeColor="accent5"/>
        <w:bottom w:val="single" w:sz="8" w:space="0" w:color="FF7A34" w:themeColor="accent5"/>
        <w:right w:val="single" w:sz="8" w:space="0" w:color="FF7A34" w:themeColor="accent5"/>
        <w:insideH w:val="single" w:sz="8" w:space="0" w:color="FF7A34" w:themeColor="accent5"/>
        <w:insideV w:val="single" w:sz="8" w:space="0" w:color="FF7A34" w:themeColor="accent5"/>
      </w:tblBorders>
    </w:tblPr>
    <w:tcPr>
      <w:shd w:val="clear" w:color="auto" w:fill="FFDDCC" w:themeFill="accent5" w:themeFillTint="3F"/>
    </w:tcPr>
    <w:tblStylePr w:type="firstRow">
      <w:rPr>
        <w:b/>
        <w:bCs/>
        <w:color w:val="000000" w:themeColor="text1"/>
      </w:rPr>
      <w:tblPr/>
      <w:tcPr>
        <w:shd w:val="clear" w:color="auto" w:fill="FFF1E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D6" w:themeFill="accent5" w:themeFillTint="33"/>
      </w:tcPr>
    </w:tblStylePr>
    <w:tblStylePr w:type="band1Vert">
      <w:tblPr/>
      <w:tcPr>
        <w:shd w:val="clear" w:color="auto" w:fill="FFBC99" w:themeFill="accent5" w:themeFillTint="7F"/>
      </w:tcPr>
    </w:tblStylePr>
    <w:tblStylePr w:type="band1Horz">
      <w:tblPr/>
      <w:tcPr>
        <w:tcBorders>
          <w:insideH w:val="single" w:sz="6" w:space="0" w:color="FF7A34" w:themeColor="accent5"/>
          <w:insideV w:val="single" w:sz="6" w:space="0" w:color="FF7A34" w:themeColor="accent5"/>
        </w:tcBorders>
        <w:shd w:val="clear" w:color="auto" w:fill="FFBC9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0404F" w:themeColor="accent6"/>
        <w:left w:val="single" w:sz="8" w:space="0" w:color="F0404F" w:themeColor="accent6"/>
        <w:bottom w:val="single" w:sz="8" w:space="0" w:color="F0404F" w:themeColor="accent6"/>
        <w:right w:val="single" w:sz="8" w:space="0" w:color="F0404F" w:themeColor="accent6"/>
        <w:insideH w:val="single" w:sz="8" w:space="0" w:color="F0404F" w:themeColor="accent6"/>
        <w:insideV w:val="single" w:sz="8" w:space="0" w:color="F0404F" w:themeColor="accent6"/>
      </w:tblBorders>
    </w:tblPr>
    <w:tcPr>
      <w:shd w:val="clear" w:color="auto" w:fill="FBCFD3" w:themeFill="accent6" w:themeFillTint="3F"/>
    </w:tcPr>
    <w:tblStylePr w:type="firstRow">
      <w:rPr>
        <w:b/>
        <w:bCs/>
        <w:color w:val="000000" w:themeColor="text1"/>
      </w:rPr>
      <w:tblPr/>
      <w:tcPr>
        <w:shd w:val="clear" w:color="auto" w:fill="FDEC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8DB" w:themeFill="accent6" w:themeFillTint="33"/>
      </w:tcPr>
    </w:tblStylePr>
    <w:tblStylePr w:type="band1Vert">
      <w:tblPr/>
      <w:tcPr>
        <w:shd w:val="clear" w:color="auto" w:fill="F79FA6" w:themeFill="accent6" w:themeFillTint="7F"/>
      </w:tcPr>
    </w:tblStylePr>
    <w:tblStylePr w:type="band1Horz">
      <w:tblPr/>
      <w:tcPr>
        <w:tcBorders>
          <w:insideH w:val="single" w:sz="6" w:space="0" w:color="F0404F" w:themeColor="accent6"/>
          <w:insideV w:val="single" w:sz="6" w:space="0" w:color="F0404F" w:themeColor="accent6"/>
        </w:tcBorders>
        <w:shd w:val="clear" w:color="auto" w:fill="F79F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E7E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3A3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3A3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3A3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3A3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D0C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D0C3"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5FFE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36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36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36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36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AFFC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AFFC4"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7D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26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26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26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26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0B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0B2"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0D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67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67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67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67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2B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2BB"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A3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A3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A3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A3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9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99"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CF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04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04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04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04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9F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9FA6"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10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103A36" w:themeColor="accent1"/>
        <w:bottom w:val="single" w:sz="8" w:space="0" w:color="103A36" w:themeColor="accent1"/>
      </w:tblBorders>
    </w:tblPr>
    <w:tblStylePr w:type="firstRow">
      <w:rPr>
        <w:rFonts w:asciiTheme="majorHAnsi" w:eastAsiaTheme="majorEastAsia" w:hAnsiTheme="majorHAnsi" w:cstheme="majorBidi"/>
      </w:rPr>
      <w:tblPr/>
      <w:tcPr>
        <w:tcBorders>
          <w:top w:val="nil"/>
          <w:bottom w:val="single" w:sz="8" w:space="0" w:color="103A36" w:themeColor="accent1"/>
        </w:tcBorders>
      </w:tcPr>
    </w:tblStylePr>
    <w:tblStylePr w:type="lastRow">
      <w:rPr>
        <w:b/>
        <w:bCs/>
        <w:color w:val="001032" w:themeColor="text2"/>
      </w:rPr>
      <w:tblPr/>
      <w:tcPr>
        <w:tcBorders>
          <w:top w:val="single" w:sz="8" w:space="0" w:color="103A36" w:themeColor="accent1"/>
          <w:bottom w:val="single" w:sz="8" w:space="0" w:color="103A36" w:themeColor="accent1"/>
        </w:tcBorders>
      </w:tcPr>
    </w:tblStylePr>
    <w:tblStylePr w:type="firstCol">
      <w:rPr>
        <w:b/>
        <w:bCs/>
      </w:rPr>
    </w:tblStylePr>
    <w:tblStylePr w:type="lastCol">
      <w:rPr>
        <w:b/>
        <w:bCs/>
      </w:rPr>
      <w:tblPr/>
      <w:tcPr>
        <w:tcBorders>
          <w:top w:val="single" w:sz="8" w:space="0" w:color="103A36" w:themeColor="accent1"/>
          <w:bottom w:val="single" w:sz="8" w:space="0" w:color="103A36" w:themeColor="accent1"/>
        </w:tcBorders>
      </w:tcPr>
    </w:tblStylePr>
    <w:tblStylePr w:type="band1Vert">
      <w:tblPr/>
      <w:tcPr>
        <w:shd w:val="clear" w:color="auto" w:fill="AAE7E1" w:themeFill="accent1" w:themeFillTint="3F"/>
      </w:tcPr>
    </w:tblStylePr>
    <w:tblStylePr w:type="band1Horz">
      <w:tblPr/>
      <w:tcPr>
        <w:shd w:val="clear" w:color="auto" w:fill="AAE7E1"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009364" w:themeColor="accent2"/>
        <w:bottom w:val="single" w:sz="8" w:space="0" w:color="009364" w:themeColor="accent2"/>
      </w:tblBorders>
    </w:tblPr>
    <w:tblStylePr w:type="firstRow">
      <w:rPr>
        <w:rFonts w:asciiTheme="majorHAnsi" w:eastAsiaTheme="majorEastAsia" w:hAnsiTheme="majorHAnsi" w:cstheme="majorBidi"/>
      </w:rPr>
      <w:tblPr/>
      <w:tcPr>
        <w:tcBorders>
          <w:top w:val="nil"/>
          <w:bottom w:val="single" w:sz="8" w:space="0" w:color="009364" w:themeColor="accent2"/>
        </w:tcBorders>
      </w:tcPr>
    </w:tblStylePr>
    <w:tblStylePr w:type="lastRow">
      <w:rPr>
        <w:b/>
        <w:bCs/>
        <w:color w:val="001032" w:themeColor="text2"/>
      </w:rPr>
      <w:tblPr/>
      <w:tcPr>
        <w:tcBorders>
          <w:top w:val="single" w:sz="8" w:space="0" w:color="009364" w:themeColor="accent2"/>
          <w:bottom w:val="single" w:sz="8" w:space="0" w:color="009364" w:themeColor="accent2"/>
        </w:tcBorders>
      </w:tcPr>
    </w:tblStylePr>
    <w:tblStylePr w:type="firstCol">
      <w:rPr>
        <w:b/>
        <w:bCs/>
      </w:rPr>
    </w:tblStylePr>
    <w:tblStylePr w:type="lastCol">
      <w:rPr>
        <w:b/>
        <w:bCs/>
      </w:rPr>
      <w:tblPr/>
      <w:tcPr>
        <w:tcBorders>
          <w:top w:val="single" w:sz="8" w:space="0" w:color="009364" w:themeColor="accent2"/>
          <w:bottom w:val="single" w:sz="8" w:space="0" w:color="009364" w:themeColor="accent2"/>
        </w:tcBorders>
      </w:tcPr>
    </w:tblStylePr>
    <w:tblStylePr w:type="band1Vert">
      <w:tblPr/>
      <w:tcPr>
        <w:shd w:val="clear" w:color="auto" w:fill="A5FFE2" w:themeFill="accent2" w:themeFillTint="3F"/>
      </w:tcPr>
    </w:tblStylePr>
    <w:tblStylePr w:type="band1Horz">
      <w:tblPr/>
      <w:tcPr>
        <w:shd w:val="clear" w:color="auto" w:fill="A5FFE2"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F6E265" w:themeColor="accent3"/>
        <w:bottom w:val="single" w:sz="8" w:space="0" w:color="F6E265" w:themeColor="accent3"/>
      </w:tblBorders>
    </w:tblPr>
    <w:tblStylePr w:type="firstRow">
      <w:rPr>
        <w:rFonts w:asciiTheme="majorHAnsi" w:eastAsiaTheme="majorEastAsia" w:hAnsiTheme="majorHAnsi" w:cstheme="majorBidi"/>
      </w:rPr>
      <w:tblPr/>
      <w:tcPr>
        <w:tcBorders>
          <w:top w:val="nil"/>
          <w:bottom w:val="single" w:sz="8" w:space="0" w:color="F6E265" w:themeColor="accent3"/>
        </w:tcBorders>
      </w:tcPr>
    </w:tblStylePr>
    <w:tblStylePr w:type="lastRow">
      <w:rPr>
        <w:b/>
        <w:bCs/>
        <w:color w:val="001032" w:themeColor="text2"/>
      </w:rPr>
      <w:tblPr/>
      <w:tcPr>
        <w:tcBorders>
          <w:top w:val="single" w:sz="8" w:space="0" w:color="F6E265" w:themeColor="accent3"/>
          <w:bottom w:val="single" w:sz="8" w:space="0" w:color="F6E265" w:themeColor="accent3"/>
        </w:tcBorders>
      </w:tcPr>
    </w:tblStylePr>
    <w:tblStylePr w:type="firstCol">
      <w:rPr>
        <w:b/>
        <w:bCs/>
      </w:rPr>
    </w:tblStylePr>
    <w:tblStylePr w:type="lastCol">
      <w:rPr>
        <w:b/>
        <w:bCs/>
      </w:rPr>
      <w:tblPr/>
      <w:tcPr>
        <w:tcBorders>
          <w:top w:val="single" w:sz="8" w:space="0" w:color="F6E265" w:themeColor="accent3"/>
          <w:bottom w:val="single" w:sz="8" w:space="0" w:color="F6E265" w:themeColor="accent3"/>
        </w:tcBorders>
      </w:tcPr>
    </w:tblStylePr>
    <w:tblStylePr w:type="band1Vert">
      <w:tblPr/>
      <w:tcPr>
        <w:shd w:val="clear" w:color="auto" w:fill="FCF7D8" w:themeFill="accent3" w:themeFillTint="3F"/>
      </w:tcPr>
    </w:tblStylePr>
    <w:tblStylePr w:type="band1Horz">
      <w:tblPr/>
      <w:tcPr>
        <w:shd w:val="clear" w:color="auto" w:fill="FCF7D8"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FC677" w:themeColor="accent4"/>
        <w:bottom w:val="single" w:sz="8" w:space="0" w:color="FFC677" w:themeColor="accent4"/>
      </w:tblBorders>
    </w:tblPr>
    <w:tblStylePr w:type="firstRow">
      <w:rPr>
        <w:rFonts w:asciiTheme="majorHAnsi" w:eastAsiaTheme="majorEastAsia" w:hAnsiTheme="majorHAnsi" w:cstheme="majorBidi"/>
      </w:rPr>
      <w:tblPr/>
      <w:tcPr>
        <w:tcBorders>
          <w:top w:val="nil"/>
          <w:bottom w:val="single" w:sz="8" w:space="0" w:color="FFC677" w:themeColor="accent4"/>
        </w:tcBorders>
      </w:tcPr>
    </w:tblStylePr>
    <w:tblStylePr w:type="lastRow">
      <w:rPr>
        <w:b/>
        <w:bCs/>
        <w:color w:val="001032" w:themeColor="text2"/>
      </w:rPr>
      <w:tblPr/>
      <w:tcPr>
        <w:tcBorders>
          <w:top w:val="single" w:sz="8" w:space="0" w:color="FFC677" w:themeColor="accent4"/>
          <w:bottom w:val="single" w:sz="8" w:space="0" w:color="FFC677" w:themeColor="accent4"/>
        </w:tcBorders>
      </w:tcPr>
    </w:tblStylePr>
    <w:tblStylePr w:type="firstCol">
      <w:rPr>
        <w:b/>
        <w:bCs/>
      </w:rPr>
    </w:tblStylePr>
    <w:tblStylePr w:type="lastCol">
      <w:rPr>
        <w:b/>
        <w:bCs/>
      </w:rPr>
      <w:tblPr/>
      <w:tcPr>
        <w:tcBorders>
          <w:top w:val="single" w:sz="8" w:space="0" w:color="FFC677" w:themeColor="accent4"/>
          <w:bottom w:val="single" w:sz="8" w:space="0" w:color="FFC677" w:themeColor="accent4"/>
        </w:tcBorders>
      </w:tcPr>
    </w:tblStylePr>
    <w:tblStylePr w:type="band1Vert">
      <w:tblPr/>
      <w:tcPr>
        <w:shd w:val="clear" w:color="auto" w:fill="FFF0DD" w:themeFill="accent4" w:themeFillTint="3F"/>
      </w:tcPr>
    </w:tblStylePr>
    <w:tblStylePr w:type="band1Horz">
      <w:tblPr/>
      <w:tcPr>
        <w:shd w:val="clear" w:color="auto" w:fill="FFF0DD"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FF7A34" w:themeColor="accent5"/>
        <w:bottom w:val="single" w:sz="8" w:space="0" w:color="FF7A34" w:themeColor="accent5"/>
      </w:tblBorders>
    </w:tblPr>
    <w:tblStylePr w:type="firstRow">
      <w:rPr>
        <w:rFonts w:asciiTheme="majorHAnsi" w:eastAsiaTheme="majorEastAsia" w:hAnsiTheme="majorHAnsi" w:cstheme="majorBidi"/>
      </w:rPr>
      <w:tblPr/>
      <w:tcPr>
        <w:tcBorders>
          <w:top w:val="nil"/>
          <w:bottom w:val="single" w:sz="8" w:space="0" w:color="FF7A34" w:themeColor="accent5"/>
        </w:tcBorders>
      </w:tcPr>
    </w:tblStylePr>
    <w:tblStylePr w:type="lastRow">
      <w:rPr>
        <w:b/>
        <w:bCs/>
        <w:color w:val="001032" w:themeColor="text2"/>
      </w:rPr>
      <w:tblPr/>
      <w:tcPr>
        <w:tcBorders>
          <w:top w:val="single" w:sz="8" w:space="0" w:color="FF7A34" w:themeColor="accent5"/>
          <w:bottom w:val="single" w:sz="8" w:space="0" w:color="FF7A34" w:themeColor="accent5"/>
        </w:tcBorders>
      </w:tcPr>
    </w:tblStylePr>
    <w:tblStylePr w:type="firstCol">
      <w:rPr>
        <w:b/>
        <w:bCs/>
      </w:rPr>
    </w:tblStylePr>
    <w:tblStylePr w:type="lastCol">
      <w:rPr>
        <w:b/>
        <w:bCs/>
      </w:rPr>
      <w:tblPr/>
      <w:tcPr>
        <w:tcBorders>
          <w:top w:val="single" w:sz="8" w:space="0" w:color="FF7A34" w:themeColor="accent5"/>
          <w:bottom w:val="single" w:sz="8" w:space="0" w:color="FF7A34" w:themeColor="accent5"/>
        </w:tcBorders>
      </w:tcPr>
    </w:tblStylePr>
    <w:tblStylePr w:type="band1Vert">
      <w:tblPr/>
      <w:tcPr>
        <w:shd w:val="clear" w:color="auto" w:fill="FFDDCC" w:themeFill="accent5" w:themeFillTint="3F"/>
      </w:tcPr>
    </w:tblStylePr>
    <w:tblStylePr w:type="band1Horz">
      <w:tblPr/>
      <w:tcPr>
        <w:shd w:val="clear" w:color="auto" w:fill="FFDDCC"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F0404F" w:themeColor="accent6"/>
        <w:bottom w:val="single" w:sz="8" w:space="0" w:color="F0404F" w:themeColor="accent6"/>
      </w:tblBorders>
    </w:tblPr>
    <w:tblStylePr w:type="firstRow">
      <w:rPr>
        <w:rFonts w:asciiTheme="majorHAnsi" w:eastAsiaTheme="majorEastAsia" w:hAnsiTheme="majorHAnsi" w:cstheme="majorBidi"/>
      </w:rPr>
      <w:tblPr/>
      <w:tcPr>
        <w:tcBorders>
          <w:top w:val="nil"/>
          <w:bottom w:val="single" w:sz="8" w:space="0" w:color="F0404F" w:themeColor="accent6"/>
        </w:tcBorders>
      </w:tcPr>
    </w:tblStylePr>
    <w:tblStylePr w:type="lastRow">
      <w:rPr>
        <w:b/>
        <w:bCs/>
        <w:color w:val="001032" w:themeColor="text2"/>
      </w:rPr>
      <w:tblPr/>
      <w:tcPr>
        <w:tcBorders>
          <w:top w:val="single" w:sz="8" w:space="0" w:color="F0404F" w:themeColor="accent6"/>
          <w:bottom w:val="single" w:sz="8" w:space="0" w:color="F0404F" w:themeColor="accent6"/>
        </w:tcBorders>
      </w:tcPr>
    </w:tblStylePr>
    <w:tblStylePr w:type="firstCol">
      <w:rPr>
        <w:b/>
        <w:bCs/>
      </w:rPr>
    </w:tblStylePr>
    <w:tblStylePr w:type="lastCol">
      <w:rPr>
        <w:b/>
        <w:bCs/>
      </w:rPr>
      <w:tblPr/>
      <w:tcPr>
        <w:tcBorders>
          <w:top w:val="single" w:sz="8" w:space="0" w:color="F0404F" w:themeColor="accent6"/>
          <w:bottom w:val="single" w:sz="8" w:space="0" w:color="F0404F" w:themeColor="accent6"/>
        </w:tcBorders>
      </w:tcPr>
    </w:tblStylePr>
    <w:tblStylePr w:type="band1Vert">
      <w:tblPr/>
      <w:tcPr>
        <w:shd w:val="clear" w:color="auto" w:fill="FBCFD3" w:themeFill="accent6" w:themeFillTint="3F"/>
      </w:tcPr>
    </w:tblStylePr>
    <w:tblStylePr w:type="band1Horz">
      <w:tblPr/>
      <w:tcPr>
        <w:shd w:val="clear" w:color="auto" w:fill="FBCFD3"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103A36" w:themeColor="accent1"/>
        <w:left w:val="single" w:sz="8" w:space="0" w:color="103A36" w:themeColor="accent1"/>
        <w:bottom w:val="single" w:sz="8" w:space="0" w:color="103A36" w:themeColor="accent1"/>
        <w:right w:val="single" w:sz="8" w:space="0" w:color="103A36" w:themeColor="accent1"/>
      </w:tblBorders>
    </w:tblPr>
    <w:tblStylePr w:type="firstRow">
      <w:rPr>
        <w:sz w:val="24"/>
        <w:szCs w:val="24"/>
      </w:rPr>
      <w:tblPr/>
      <w:tcPr>
        <w:tcBorders>
          <w:top w:val="nil"/>
          <w:left w:val="nil"/>
          <w:bottom w:val="single" w:sz="24" w:space="0" w:color="103A36" w:themeColor="accent1"/>
          <w:right w:val="nil"/>
          <w:insideH w:val="nil"/>
          <w:insideV w:val="nil"/>
        </w:tcBorders>
        <w:shd w:val="clear" w:color="auto" w:fill="FFFFFF" w:themeFill="background1"/>
      </w:tcPr>
    </w:tblStylePr>
    <w:tblStylePr w:type="lastRow">
      <w:tblPr/>
      <w:tcPr>
        <w:tcBorders>
          <w:top w:val="single" w:sz="8" w:space="0" w:color="103A3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3A36" w:themeColor="accent1"/>
          <w:insideH w:val="nil"/>
          <w:insideV w:val="nil"/>
        </w:tcBorders>
        <w:shd w:val="clear" w:color="auto" w:fill="FFFFFF" w:themeFill="background1"/>
      </w:tcPr>
    </w:tblStylePr>
    <w:tblStylePr w:type="lastCol">
      <w:tblPr/>
      <w:tcPr>
        <w:tcBorders>
          <w:top w:val="nil"/>
          <w:left w:val="single" w:sz="8" w:space="0" w:color="103A3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E7E1" w:themeFill="accent1" w:themeFillTint="3F"/>
      </w:tcPr>
    </w:tblStylePr>
    <w:tblStylePr w:type="band1Horz">
      <w:tblPr/>
      <w:tcPr>
        <w:tcBorders>
          <w:top w:val="nil"/>
          <w:bottom w:val="nil"/>
          <w:insideH w:val="nil"/>
          <w:insideV w:val="nil"/>
        </w:tcBorders>
        <w:shd w:val="clear" w:color="auto" w:fill="AAE7E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9364" w:themeColor="accent2"/>
        <w:left w:val="single" w:sz="8" w:space="0" w:color="009364" w:themeColor="accent2"/>
        <w:bottom w:val="single" w:sz="8" w:space="0" w:color="009364" w:themeColor="accent2"/>
        <w:right w:val="single" w:sz="8" w:space="0" w:color="009364" w:themeColor="accent2"/>
      </w:tblBorders>
    </w:tblPr>
    <w:tblStylePr w:type="firstRow">
      <w:rPr>
        <w:sz w:val="24"/>
        <w:szCs w:val="24"/>
      </w:rPr>
      <w:tblPr/>
      <w:tcPr>
        <w:tcBorders>
          <w:top w:val="nil"/>
          <w:left w:val="nil"/>
          <w:bottom w:val="single" w:sz="24" w:space="0" w:color="009364" w:themeColor="accent2"/>
          <w:right w:val="nil"/>
          <w:insideH w:val="nil"/>
          <w:insideV w:val="nil"/>
        </w:tcBorders>
        <w:shd w:val="clear" w:color="auto" w:fill="FFFFFF" w:themeFill="background1"/>
      </w:tcPr>
    </w:tblStylePr>
    <w:tblStylePr w:type="lastRow">
      <w:tblPr/>
      <w:tcPr>
        <w:tcBorders>
          <w:top w:val="single" w:sz="8" w:space="0" w:color="00936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364" w:themeColor="accent2"/>
          <w:insideH w:val="nil"/>
          <w:insideV w:val="nil"/>
        </w:tcBorders>
        <w:shd w:val="clear" w:color="auto" w:fill="FFFFFF" w:themeFill="background1"/>
      </w:tcPr>
    </w:tblStylePr>
    <w:tblStylePr w:type="lastCol">
      <w:tblPr/>
      <w:tcPr>
        <w:tcBorders>
          <w:top w:val="nil"/>
          <w:left w:val="single" w:sz="8" w:space="0" w:color="00936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5FFE2" w:themeFill="accent2" w:themeFillTint="3F"/>
      </w:tcPr>
    </w:tblStylePr>
    <w:tblStylePr w:type="band1Horz">
      <w:tblPr/>
      <w:tcPr>
        <w:tcBorders>
          <w:top w:val="nil"/>
          <w:bottom w:val="nil"/>
          <w:insideH w:val="nil"/>
          <w:insideV w:val="nil"/>
        </w:tcBorders>
        <w:shd w:val="clear" w:color="auto" w:fill="A5FFE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265" w:themeColor="accent3"/>
        <w:left w:val="single" w:sz="8" w:space="0" w:color="F6E265" w:themeColor="accent3"/>
        <w:bottom w:val="single" w:sz="8" w:space="0" w:color="F6E265" w:themeColor="accent3"/>
        <w:right w:val="single" w:sz="8" w:space="0" w:color="F6E265" w:themeColor="accent3"/>
      </w:tblBorders>
    </w:tblPr>
    <w:tblStylePr w:type="firstRow">
      <w:rPr>
        <w:sz w:val="24"/>
        <w:szCs w:val="24"/>
      </w:rPr>
      <w:tblPr/>
      <w:tcPr>
        <w:tcBorders>
          <w:top w:val="nil"/>
          <w:left w:val="nil"/>
          <w:bottom w:val="single" w:sz="24" w:space="0" w:color="F6E265" w:themeColor="accent3"/>
          <w:right w:val="nil"/>
          <w:insideH w:val="nil"/>
          <w:insideV w:val="nil"/>
        </w:tcBorders>
        <w:shd w:val="clear" w:color="auto" w:fill="FFFFFF" w:themeFill="background1"/>
      </w:tcPr>
    </w:tblStylePr>
    <w:tblStylePr w:type="lastRow">
      <w:tblPr/>
      <w:tcPr>
        <w:tcBorders>
          <w:top w:val="single" w:sz="8" w:space="0" w:color="F6E26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265" w:themeColor="accent3"/>
          <w:insideH w:val="nil"/>
          <w:insideV w:val="nil"/>
        </w:tcBorders>
        <w:shd w:val="clear" w:color="auto" w:fill="FFFFFF" w:themeFill="background1"/>
      </w:tcPr>
    </w:tblStylePr>
    <w:tblStylePr w:type="lastCol">
      <w:tblPr/>
      <w:tcPr>
        <w:tcBorders>
          <w:top w:val="nil"/>
          <w:left w:val="single" w:sz="8" w:space="0" w:color="F6E26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7D8" w:themeFill="accent3" w:themeFillTint="3F"/>
      </w:tcPr>
    </w:tblStylePr>
    <w:tblStylePr w:type="band1Horz">
      <w:tblPr/>
      <w:tcPr>
        <w:tcBorders>
          <w:top w:val="nil"/>
          <w:bottom w:val="nil"/>
          <w:insideH w:val="nil"/>
          <w:insideV w:val="nil"/>
        </w:tcBorders>
        <w:shd w:val="clear" w:color="auto" w:fill="FCF7D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C677" w:themeColor="accent4"/>
        <w:left w:val="single" w:sz="8" w:space="0" w:color="FFC677" w:themeColor="accent4"/>
        <w:bottom w:val="single" w:sz="8" w:space="0" w:color="FFC677" w:themeColor="accent4"/>
        <w:right w:val="single" w:sz="8" w:space="0" w:color="FFC677" w:themeColor="accent4"/>
      </w:tblBorders>
    </w:tblPr>
    <w:tblStylePr w:type="firstRow">
      <w:rPr>
        <w:sz w:val="24"/>
        <w:szCs w:val="24"/>
      </w:rPr>
      <w:tblPr/>
      <w:tcPr>
        <w:tcBorders>
          <w:top w:val="nil"/>
          <w:left w:val="nil"/>
          <w:bottom w:val="single" w:sz="24" w:space="0" w:color="FFC677" w:themeColor="accent4"/>
          <w:right w:val="nil"/>
          <w:insideH w:val="nil"/>
          <w:insideV w:val="nil"/>
        </w:tcBorders>
        <w:shd w:val="clear" w:color="auto" w:fill="FFFFFF" w:themeFill="background1"/>
      </w:tcPr>
    </w:tblStylePr>
    <w:tblStylePr w:type="lastRow">
      <w:tblPr/>
      <w:tcPr>
        <w:tcBorders>
          <w:top w:val="single" w:sz="8" w:space="0" w:color="FFC67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677" w:themeColor="accent4"/>
          <w:insideH w:val="nil"/>
          <w:insideV w:val="nil"/>
        </w:tcBorders>
        <w:shd w:val="clear" w:color="auto" w:fill="FFFFFF" w:themeFill="background1"/>
      </w:tcPr>
    </w:tblStylePr>
    <w:tblStylePr w:type="lastCol">
      <w:tblPr/>
      <w:tcPr>
        <w:tcBorders>
          <w:top w:val="nil"/>
          <w:left w:val="single" w:sz="8" w:space="0" w:color="FFC67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0DD" w:themeFill="accent4" w:themeFillTint="3F"/>
      </w:tcPr>
    </w:tblStylePr>
    <w:tblStylePr w:type="band1Horz">
      <w:tblPr/>
      <w:tcPr>
        <w:tcBorders>
          <w:top w:val="nil"/>
          <w:bottom w:val="nil"/>
          <w:insideH w:val="nil"/>
          <w:insideV w:val="nil"/>
        </w:tcBorders>
        <w:shd w:val="clear" w:color="auto" w:fill="FFF0D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7A34" w:themeColor="accent5"/>
        <w:left w:val="single" w:sz="8" w:space="0" w:color="FF7A34" w:themeColor="accent5"/>
        <w:bottom w:val="single" w:sz="8" w:space="0" w:color="FF7A34" w:themeColor="accent5"/>
        <w:right w:val="single" w:sz="8" w:space="0" w:color="FF7A34" w:themeColor="accent5"/>
      </w:tblBorders>
    </w:tblPr>
    <w:tblStylePr w:type="firstRow">
      <w:rPr>
        <w:sz w:val="24"/>
        <w:szCs w:val="24"/>
      </w:rPr>
      <w:tblPr/>
      <w:tcPr>
        <w:tcBorders>
          <w:top w:val="nil"/>
          <w:left w:val="nil"/>
          <w:bottom w:val="single" w:sz="24" w:space="0" w:color="FF7A34" w:themeColor="accent5"/>
          <w:right w:val="nil"/>
          <w:insideH w:val="nil"/>
          <w:insideV w:val="nil"/>
        </w:tcBorders>
        <w:shd w:val="clear" w:color="auto" w:fill="FFFFFF" w:themeFill="background1"/>
      </w:tcPr>
    </w:tblStylePr>
    <w:tblStylePr w:type="lastRow">
      <w:tblPr/>
      <w:tcPr>
        <w:tcBorders>
          <w:top w:val="single" w:sz="8" w:space="0" w:color="FF7A3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A34" w:themeColor="accent5"/>
          <w:insideH w:val="nil"/>
          <w:insideV w:val="nil"/>
        </w:tcBorders>
        <w:shd w:val="clear" w:color="auto" w:fill="FFFFFF" w:themeFill="background1"/>
      </w:tcPr>
    </w:tblStylePr>
    <w:tblStylePr w:type="lastCol">
      <w:tblPr/>
      <w:tcPr>
        <w:tcBorders>
          <w:top w:val="nil"/>
          <w:left w:val="single" w:sz="8" w:space="0" w:color="FF7A3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C" w:themeFill="accent5" w:themeFillTint="3F"/>
      </w:tcPr>
    </w:tblStylePr>
    <w:tblStylePr w:type="band1Horz">
      <w:tblPr/>
      <w:tcPr>
        <w:tcBorders>
          <w:top w:val="nil"/>
          <w:bottom w:val="nil"/>
          <w:insideH w:val="nil"/>
          <w:insideV w:val="nil"/>
        </w:tcBorders>
        <w:shd w:val="clear" w:color="auto" w:fill="FFDDC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0404F" w:themeColor="accent6"/>
        <w:left w:val="single" w:sz="8" w:space="0" w:color="F0404F" w:themeColor="accent6"/>
        <w:bottom w:val="single" w:sz="8" w:space="0" w:color="F0404F" w:themeColor="accent6"/>
        <w:right w:val="single" w:sz="8" w:space="0" w:color="F0404F" w:themeColor="accent6"/>
      </w:tblBorders>
    </w:tblPr>
    <w:tblStylePr w:type="firstRow">
      <w:rPr>
        <w:sz w:val="24"/>
        <w:szCs w:val="24"/>
      </w:rPr>
      <w:tblPr/>
      <w:tcPr>
        <w:tcBorders>
          <w:top w:val="nil"/>
          <w:left w:val="nil"/>
          <w:bottom w:val="single" w:sz="24" w:space="0" w:color="F0404F" w:themeColor="accent6"/>
          <w:right w:val="nil"/>
          <w:insideH w:val="nil"/>
          <w:insideV w:val="nil"/>
        </w:tcBorders>
        <w:shd w:val="clear" w:color="auto" w:fill="FFFFFF" w:themeFill="background1"/>
      </w:tcPr>
    </w:tblStylePr>
    <w:tblStylePr w:type="lastRow">
      <w:tblPr/>
      <w:tcPr>
        <w:tcBorders>
          <w:top w:val="single" w:sz="8" w:space="0" w:color="F0404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04F" w:themeColor="accent6"/>
          <w:insideH w:val="nil"/>
          <w:insideV w:val="nil"/>
        </w:tcBorders>
        <w:shd w:val="clear" w:color="auto" w:fill="FFFFFF" w:themeFill="background1"/>
      </w:tcPr>
    </w:tblStylePr>
    <w:tblStylePr w:type="lastCol">
      <w:tblPr/>
      <w:tcPr>
        <w:tcBorders>
          <w:top w:val="nil"/>
          <w:left w:val="single" w:sz="8" w:space="0" w:color="F0404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CFD3" w:themeFill="accent6" w:themeFillTint="3F"/>
      </w:tcPr>
    </w:tblStylePr>
    <w:tblStylePr w:type="band1Horz">
      <w:tblPr/>
      <w:tcPr>
        <w:tcBorders>
          <w:top w:val="nil"/>
          <w:bottom w:val="nil"/>
          <w:insideH w:val="nil"/>
          <w:insideV w:val="nil"/>
        </w:tcBorders>
        <w:shd w:val="clear" w:color="auto" w:fill="FBCF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278F85" w:themeColor="accent1" w:themeTint="BF"/>
        <w:left w:val="single" w:sz="8" w:space="0" w:color="278F85" w:themeColor="accent1" w:themeTint="BF"/>
        <w:bottom w:val="single" w:sz="8" w:space="0" w:color="278F85" w:themeColor="accent1" w:themeTint="BF"/>
        <w:right w:val="single" w:sz="8" w:space="0" w:color="278F85" w:themeColor="accent1" w:themeTint="BF"/>
        <w:insideH w:val="single" w:sz="8" w:space="0" w:color="278F85" w:themeColor="accent1" w:themeTint="BF"/>
      </w:tblBorders>
    </w:tblPr>
    <w:tblStylePr w:type="firstRow">
      <w:pPr>
        <w:spacing w:before="0" w:after="0" w:line="240" w:lineRule="auto"/>
      </w:pPr>
      <w:rPr>
        <w:b/>
        <w:bCs/>
        <w:color w:val="FFFFFF" w:themeColor="background1"/>
      </w:rPr>
      <w:tblPr/>
      <w:tcPr>
        <w:tcBorders>
          <w:top w:val="single" w:sz="8" w:space="0" w:color="278F85" w:themeColor="accent1" w:themeTint="BF"/>
          <w:left w:val="single" w:sz="8" w:space="0" w:color="278F85" w:themeColor="accent1" w:themeTint="BF"/>
          <w:bottom w:val="single" w:sz="8" w:space="0" w:color="278F85" w:themeColor="accent1" w:themeTint="BF"/>
          <w:right w:val="single" w:sz="8" w:space="0" w:color="278F85" w:themeColor="accent1" w:themeTint="BF"/>
          <w:insideH w:val="nil"/>
          <w:insideV w:val="nil"/>
        </w:tcBorders>
        <w:shd w:val="clear" w:color="auto" w:fill="103A36" w:themeFill="accent1"/>
      </w:tcPr>
    </w:tblStylePr>
    <w:tblStylePr w:type="lastRow">
      <w:pPr>
        <w:spacing w:before="0" w:after="0" w:line="240" w:lineRule="auto"/>
      </w:pPr>
      <w:rPr>
        <w:b/>
        <w:bCs/>
      </w:rPr>
      <w:tblPr/>
      <w:tcPr>
        <w:tcBorders>
          <w:top w:val="double" w:sz="6" w:space="0" w:color="278F85" w:themeColor="accent1" w:themeTint="BF"/>
          <w:left w:val="single" w:sz="8" w:space="0" w:color="278F85" w:themeColor="accent1" w:themeTint="BF"/>
          <w:bottom w:val="single" w:sz="8" w:space="0" w:color="278F85" w:themeColor="accent1" w:themeTint="BF"/>
          <w:right w:val="single" w:sz="8" w:space="0" w:color="278F85" w:themeColor="accent1" w:themeTint="BF"/>
          <w:insideH w:val="nil"/>
          <w:insideV w:val="nil"/>
        </w:tcBorders>
      </w:tcPr>
    </w:tblStylePr>
    <w:tblStylePr w:type="firstCol">
      <w:rPr>
        <w:b/>
        <w:bCs/>
      </w:rPr>
    </w:tblStylePr>
    <w:tblStylePr w:type="lastCol">
      <w:rPr>
        <w:b/>
        <w:bCs/>
      </w:rPr>
    </w:tblStylePr>
    <w:tblStylePr w:type="band1Vert">
      <w:tblPr/>
      <w:tcPr>
        <w:shd w:val="clear" w:color="auto" w:fill="AAE7E1" w:themeFill="accent1" w:themeFillTint="3F"/>
      </w:tcPr>
    </w:tblStylePr>
    <w:tblStylePr w:type="band1Horz">
      <w:tblPr/>
      <w:tcPr>
        <w:tcBorders>
          <w:insideH w:val="nil"/>
          <w:insideV w:val="nil"/>
        </w:tcBorders>
        <w:shd w:val="clear" w:color="auto" w:fill="AAE7E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00EEA1" w:themeColor="accent2" w:themeTint="BF"/>
        <w:left w:val="single" w:sz="8" w:space="0" w:color="00EEA1" w:themeColor="accent2" w:themeTint="BF"/>
        <w:bottom w:val="single" w:sz="8" w:space="0" w:color="00EEA1" w:themeColor="accent2" w:themeTint="BF"/>
        <w:right w:val="single" w:sz="8" w:space="0" w:color="00EEA1" w:themeColor="accent2" w:themeTint="BF"/>
        <w:insideH w:val="single" w:sz="8" w:space="0" w:color="00EEA1" w:themeColor="accent2" w:themeTint="BF"/>
      </w:tblBorders>
    </w:tblPr>
    <w:tblStylePr w:type="firstRow">
      <w:pPr>
        <w:spacing w:before="0" w:after="0" w:line="240" w:lineRule="auto"/>
      </w:pPr>
      <w:rPr>
        <w:b/>
        <w:bCs/>
        <w:color w:val="FFFFFF" w:themeColor="background1"/>
      </w:rPr>
      <w:tblPr/>
      <w:tcPr>
        <w:tcBorders>
          <w:top w:val="single" w:sz="8" w:space="0" w:color="00EEA1" w:themeColor="accent2" w:themeTint="BF"/>
          <w:left w:val="single" w:sz="8" w:space="0" w:color="00EEA1" w:themeColor="accent2" w:themeTint="BF"/>
          <w:bottom w:val="single" w:sz="8" w:space="0" w:color="00EEA1" w:themeColor="accent2" w:themeTint="BF"/>
          <w:right w:val="single" w:sz="8" w:space="0" w:color="00EEA1" w:themeColor="accent2" w:themeTint="BF"/>
          <w:insideH w:val="nil"/>
          <w:insideV w:val="nil"/>
        </w:tcBorders>
        <w:shd w:val="clear" w:color="auto" w:fill="009364" w:themeFill="accent2"/>
      </w:tcPr>
    </w:tblStylePr>
    <w:tblStylePr w:type="lastRow">
      <w:pPr>
        <w:spacing w:before="0" w:after="0" w:line="240" w:lineRule="auto"/>
      </w:pPr>
      <w:rPr>
        <w:b/>
        <w:bCs/>
      </w:rPr>
      <w:tblPr/>
      <w:tcPr>
        <w:tcBorders>
          <w:top w:val="double" w:sz="6" w:space="0" w:color="00EEA1" w:themeColor="accent2" w:themeTint="BF"/>
          <w:left w:val="single" w:sz="8" w:space="0" w:color="00EEA1" w:themeColor="accent2" w:themeTint="BF"/>
          <w:bottom w:val="single" w:sz="8" w:space="0" w:color="00EEA1" w:themeColor="accent2" w:themeTint="BF"/>
          <w:right w:val="single" w:sz="8" w:space="0" w:color="00EEA1" w:themeColor="accent2" w:themeTint="BF"/>
          <w:insideH w:val="nil"/>
          <w:insideV w:val="nil"/>
        </w:tcBorders>
      </w:tcPr>
    </w:tblStylePr>
    <w:tblStylePr w:type="firstCol">
      <w:rPr>
        <w:b/>
        <w:bCs/>
      </w:rPr>
    </w:tblStylePr>
    <w:tblStylePr w:type="lastCol">
      <w:rPr>
        <w:b/>
        <w:bCs/>
      </w:rPr>
    </w:tblStylePr>
    <w:tblStylePr w:type="band1Vert">
      <w:tblPr/>
      <w:tcPr>
        <w:shd w:val="clear" w:color="auto" w:fill="A5FFE2" w:themeFill="accent2" w:themeFillTint="3F"/>
      </w:tcPr>
    </w:tblStylePr>
    <w:tblStylePr w:type="band1Horz">
      <w:tblPr/>
      <w:tcPr>
        <w:tcBorders>
          <w:insideH w:val="nil"/>
          <w:insideV w:val="nil"/>
        </w:tcBorders>
        <w:shd w:val="clear" w:color="auto" w:fill="A5FFE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F8E88B" w:themeColor="accent3" w:themeTint="BF"/>
        <w:left w:val="single" w:sz="8" w:space="0" w:color="F8E88B" w:themeColor="accent3" w:themeTint="BF"/>
        <w:bottom w:val="single" w:sz="8" w:space="0" w:color="F8E88B" w:themeColor="accent3" w:themeTint="BF"/>
        <w:right w:val="single" w:sz="8" w:space="0" w:color="F8E88B" w:themeColor="accent3" w:themeTint="BF"/>
        <w:insideH w:val="single" w:sz="8" w:space="0" w:color="F8E88B" w:themeColor="accent3" w:themeTint="BF"/>
      </w:tblBorders>
    </w:tblPr>
    <w:tblStylePr w:type="firstRow">
      <w:pPr>
        <w:spacing w:before="0" w:after="0" w:line="240" w:lineRule="auto"/>
      </w:pPr>
      <w:rPr>
        <w:b/>
        <w:bCs/>
        <w:color w:val="FFFFFF" w:themeColor="background1"/>
      </w:rPr>
      <w:tblPr/>
      <w:tcPr>
        <w:tcBorders>
          <w:top w:val="single" w:sz="8" w:space="0" w:color="F8E88B" w:themeColor="accent3" w:themeTint="BF"/>
          <w:left w:val="single" w:sz="8" w:space="0" w:color="F8E88B" w:themeColor="accent3" w:themeTint="BF"/>
          <w:bottom w:val="single" w:sz="8" w:space="0" w:color="F8E88B" w:themeColor="accent3" w:themeTint="BF"/>
          <w:right w:val="single" w:sz="8" w:space="0" w:color="F8E88B" w:themeColor="accent3" w:themeTint="BF"/>
          <w:insideH w:val="nil"/>
          <w:insideV w:val="nil"/>
        </w:tcBorders>
        <w:shd w:val="clear" w:color="auto" w:fill="F6E265" w:themeFill="accent3"/>
      </w:tcPr>
    </w:tblStylePr>
    <w:tblStylePr w:type="lastRow">
      <w:pPr>
        <w:spacing w:before="0" w:after="0" w:line="240" w:lineRule="auto"/>
      </w:pPr>
      <w:rPr>
        <w:b/>
        <w:bCs/>
      </w:rPr>
      <w:tblPr/>
      <w:tcPr>
        <w:tcBorders>
          <w:top w:val="double" w:sz="6" w:space="0" w:color="F8E88B" w:themeColor="accent3" w:themeTint="BF"/>
          <w:left w:val="single" w:sz="8" w:space="0" w:color="F8E88B" w:themeColor="accent3" w:themeTint="BF"/>
          <w:bottom w:val="single" w:sz="8" w:space="0" w:color="F8E88B" w:themeColor="accent3" w:themeTint="BF"/>
          <w:right w:val="single" w:sz="8" w:space="0" w:color="F8E88B"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F7D8" w:themeFill="accent3" w:themeFillTint="3F"/>
      </w:tcPr>
    </w:tblStylePr>
    <w:tblStylePr w:type="band1Horz">
      <w:tblPr/>
      <w:tcPr>
        <w:tcBorders>
          <w:insideH w:val="nil"/>
          <w:insideV w:val="nil"/>
        </w:tcBorders>
        <w:shd w:val="clear" w:color="auto" w:fill="FCF7D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FD499" w:themeColor="accent4" w:themeTint="BF"/>
        <w:left w:val="single" w:sz="8" w:space="0" w:color="FFD499" w:themeColor="accent4" w:themeTint="BF"/>
        <w:bottom w:val="single" w:sz="8" w:space="0" w:color="FFD499" w:themeColor="accent4" w:themeTint="BF"/>
        <w:right w:val="single" w:sz="8" w:space="0" w:color="FFD499" w:themeColor="accent4" w:themeTint="BF"/>
        <w:insideH w:val="single" w:sz="8" w:space="0" w:color="FFD499" w:themeColor="accent4" w:themeTint="BF"/>
      </w:tblBorders>
    </w:tblPr>
    <w:tblStylePr w:type="firstRow">
      <w:pPr>
        <w:spacing w:before="0" w:after="0" w:line="240" w:lineRule="auto"/>
      </w:pPr>
      <w:rPr>
        <w:b/>
        <w:bCs/>
        <w:color w:val="FFFFFF" w:themeColor="background1"/>
      </w:rPr>
      <w:tblPr/>
      <w:tcPr>
        <w:tcBorders>
          <w:top w:val="single" w:sz="8" w:space="0" w:color="FFD499" w:themeColor="accent4" w:themeTint="BF"/>
          <w:left w:val="single" w:sz="8" w:space="0" w:color="FFD499" w:themeColor="accent4" w:themeTint="BF"/>
          <w:bottom w:val="single" w:sz="8" w:space="0" w:color="FFD499" w:themeColor="accent4" w:themeTint="BF"/>
          <w:right w:val="single" w:sz="8" w:space="0" w:color="FFD499" w:themeColor="accent4" w:themeTint="BF"/>
          <w:insideH w:val="nil"/>
          <w:insideV w:val="nil"/>
        </w:tcBorders>
        <w:shd w:val="clear" w:color="auto" w:fill="FFC677" w:themeFill="accent4"/>
      </w:tcPr>
    </w:tblStylePr>
    <w:tblStylePr w:type="lastRow">
      <w:pPr>
        <w:spacing w:before="0" w:after="0" w:line="240" w:lineRule="auto"/>
      </w:pPr>
      <w:rPr>
        <w:b/>
        <w:bCs/>
      </w:rPr>
      <w:tblPr/>
      <w:tcPr>
        <w:tcBorders>
          <w:top w:val="double" w:sz="6" w:space="0" w:color="FFD499" w:themeColor="accent4" w:themeTint="BF"/>
          <w:left w:val="single" w:sz="8" w:space="0" w:color="FFD499" w:themeColor="accent4" w:themeTint="BF"/>
          <w:bottom w:val="single" w:sz="8" w:space="0" w:color="FFD499" w:themeColor="accent4" w:themeTint="BF"/>
          <w:right w:val="single" w:sz="8" w:space="0" w:color="FFD49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0DD" w:themeFill="accent4" w:themeFillTint="3F"/>
      </w:tcPr>
    </w:tblStylePr>
    <w:tblStylePr w:type="band1Horz">
      <w:tblPr/>
      <w:tcPr>
        <w:tcBorders>
          <w:insideH w:val="nil"/>
          <w:insideV w:val="nil"/>
        </w:tcBorders>
        <w:shd w:val="clear" w:color="auto" w:fill="FFF0D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FF9A66" w:themeColor="accent5" w:themeTint="BF"/>
        <w:left w:val="single" w:sz="8" w:space="0" w:color="FF9A66" w:themeColor="accent5" w:themeTint="BF"/>
        <w:bottom w:val="single" w:sz="8" w:space="0" w:color="FF9A66" w:themeColor="accent5" w:themeTint="BF"/>
        <w:right w:val="single" w:sz="8" w:space="0" w:color="FF9A66" w:themeColor="accent5" w:themeTint="BF"/>
        <w:insideH w:val="single" w:sz="8" w:space="0" w:color="FF9A66" w:themeColor="accent5" w:themeTint="BF"/>
      </w:tblBorders>
    </w:tblPr>
    <w:tblStylePr w:type="firstRow">
      <w:pPr>
        <w:spacing w:before="0" w:after="0" w:line="240" w:lineRule="auto"/>
      </w:pPr>
      <w:rPr>
        <w:b/>
        <w:bCs/>
        <w:color w:val="FFFFFF" w:themeColor="background1"/>
      </w:rPr>
      <w:tblPr/>
      <w:tcPr>
        <w:tcBorders>
          <w:top w:val="single" w:sz="8" w:space="0" w:color="FF9A66" w:themeColor="accent5" w:themeTint="BF"/>
          <w:left w:val="single" w:sz="8" w:space="0" w:color="FF9A66" w:themeColor="accent5" w:themeTint="BF"/>
          <w:bottom w:val="single" w:sz="8" w:space="0" w:color="FF9A66" w:themeColor="accent5" w:themeTint="BF"/>
          <w:right w:val="single" w:sz="8" w:space="0" w:color="FF9A66" w:themeColor="accent5" w:themeTint="BF"/>
          <w:insideH w:val="nil"/>
          <w:insideV w:val="nil"/>
        </w:tcBorders>
        <w:shd w:val="clear" w:color="auto" w:fill="FF7A34" w:themeFill="accent5"/>
      </w:tcPr>
    </w:tblStylePr>
    <w:tblStylePr w:type="lastRow">
      <w:pPr>
        <w:spacing w:before="0" w:after="0" w:line="240" w:lineRule="auto"/>
      </w:pPr>
      <w:rPr>
        <w:b/>
        <w:bCs/>
      </w:rPr>
      <w:tblPr/>
      <w:tcPr>
        <w:tcBorders>
          <w:top w:val="double" w:sz="6" w:space="0" w:color="FF9A66" w:themeColor="accent5" w:themeTint="BF"/>
          <w:left w:val="single" w:sz="8" w:space="0" w:color="FF9A66" w:themeColor="accent5" w:themeTint="BF"/>
          <w:bottom w:val="single" w:sz="8" w:space="0" w:color="FF9A66" w:themeColor="accent5" w:themeTint="BF"/>
          <w:right w:val="single" w:sz="8" w:space="0" w:color="FF9A6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DCC" w:themeFill="accent5" w:themeFillTint="3F"/>
      </w:tcPr>
    </w:tblStylePr>
    <w:tblStylePr w:type="band1Horz">
      <w:tblPr/>
      <w:tcPr>
        <w:tcBorders>
          <w:insideH w:val="nil"/>
          <w:insideV w:val="nil"/>
        </w:tcBorders>
        <w:shd w:val="clear" w:color="auto" w:fill="FFDDC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F36F7A" w:themeColor="accent6" w:themeTint="BF"/>
        <w:left w:val="single" w:sz="8" w:space="0" w:color="F36F7A" w:themeColor="accent6" w:themeTint="BF"/>
        <w:bottom w:val="single" w:sz="8" w:space="0" w:color="F36F7A" w:themeColor="accent6" w:themeTint="BF"/>
        <w:right w:val="single" w:sz="8" w:space="0" w:color="F36F7A" w:themeColor="accent6" w:themeTint="BF"/>
        <w:insideH w:val="single" w:sz="8" w:space="0" w:color="F36F7A" w:themeColor="accent6" w:themeTint="BF"/>
      </w:tblBorders>
    </w:tblPr>
    <w:tblStylePr w:type="firstRow">
      <w:pPr>
        <w:spacing w:before="0" w:after="0" w:line="240" w:lineRule="auto"/>
      </w:pPr>
      <w:rPr>
        <w:b/>
        <w:bCs/>
        <w:color w:val="FFFFFF" w:themeColor="background1"/>
      </w:rPr>
      <w:tblPr/>
      <w:tcPr>
        <w:tcBorders>
          <w:top w:val="single" w:sz="8" w:space="0" w:color="F36F7A" w:themeColor="accent6" w:themeTint="BF"/>
          <w:left w:val="single" w:sz="8" w:space="0" w:color="F36F7A" w:themeColor="accent6" w:themeTint="BF"/>
          <w:bottom w:val="single" w:sz="8" w:space="0" w:color="F36F7A" w:themeColor="accent6" w:themeTint="BF"/>
          <w:right w:val="single" w:sz="8" w:space="0" w:color="F36F7A" w:themeColor="accent6" w:themeTint="BF"/>
          <w:insideH w:val="nil"/>
          <w:insideV w:val="nil"/>
        </w:tcBorders>
        <w:shd w:val="clear" w:color="auto" w:fill="F0404F" w:themeFill="accent6"/>
      </w:tcPr>
    </w:tblStylePr>
    <w:tblStylePr w:type="lastRow">
      <w:pPr>
        <w:spacing w:before="0" w:after="0" w:line="240" w:lineRule="auto"/>
      </w:pPr>
      <w:rPr>
        <w:b/>
        <w:bCs/>
      </w:rPr>
      <w:tblPr/>
      <w:tcPr>
        <w:tcBorders>
          <w:top w:val="double" w:sz="6" w:space="0" w:color="F36F7A" w:themeColor="accent6" w:themeTint="BF"/>
          <w:left w:val="single" w:sz="8" w:space="0" w:color="F36F7A" w:themeColor="accent6" w:themeTint="BF"/>
          <w:bottom w:val="single" w:sz="8" w:space="0" w:color="F36F7A" w:themeColor="accent6" w:themeTint="BF"/>
          <w:right w:val="single" w:sz="8" w:space="0" w:color="F36F7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CFD3" w:themeFill="accent6" w:themeFillTint="3F"/>
      </w:tcPr>
    </w:tblStylePr>
    <w:tblStylePr w:type="band1Horz">
      <w:tblPr/>
      <w:tcPr>
        <w:tcBorders>
          <w:insideH w:val="nil"/>
          <w:insideV w:val="nil"/>
        </w:tcBorders>
        <w:shd w:val="clear" w:color="auto" w:fill="FBCF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3A3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03A36" w:themeFill="accent1"/>
      </w:tcPr>
    </w:tblStylePr>
    <w:tblStylePr w:type="lastCol">
      <w:rPr>
        <w:b/>
        <w:bCs/>
        <w:color w:val="FFFFFF" w:themeColor="background1"/>
      </w:rPr>
      <w:tblPr/>
      <w:tcPr>
        <w:tcBorders>
          <w:left w:val="nil"/>
          <w:right w:val="nil"/>
          <w:insideH w:val="nil"/>
          <w:insideV w:val="nil"/>
        </w:tcBorders>
        <w:shd w:val="clear" w:color="auto" w:fill="103A3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36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364" w:themeFill="accent2"/>
      </w:tcPr>
    </w:tblStylePr>
    <w:tblStylePr w:type="lastCol">
      <w:rPr>
        <w:b/>
        <w:bCs/>
        <w:color w:val="FFFFFF" w:themeColor="background1"/>
      </w:rPr>
      <w:tblPr/>
      <w:tcPr>
        <w:tcBorders>
          <w:left w:val="nil"/>
          <w:right w:val="nil"/>
          <w:insideH w:val="nil"/>
          <w:insideV w:val="nil"/>
        </w:tcBorders>
        <w:shd w:val="clear" w:color="auto" w:fill="00936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26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265" w:themeFill="accent3"/>
      </w:tcPr>
    </w:tblStylePr>
    <w:tblStylePr w:type="lastCol">
      <w:rPr>
        <w:b/>
        <w:bCs/>
        <w:color w:val="FFFFFF" w:themeColor="background1"/>
      </w:rPr>
      <w:tblPr/>
      <w:tcPr>
        <w:tcBorders>
          <w:left w:val="nil"/>
          <w:right w:val="nil"/>
          <w:insideH w:val="nil"/>
          <w:insideV w:val="nil"/>
        </w:tcBorders>
        <w:shd w:val="clear" w:color="auto" w:fill="F6E26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67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677" w:themeFill="accent4"/>
      </w:tcPr>
    </w:tblStylePr>
    <w:tblStylePr w:type="lastCol">
      <w:rPr>
        <w:b/>
        <w:bCs/>
        <w:color w:val="FFFFFF" w:themeColor="background1"/>
      </w:rPr>
      <w:tblPr/>
      <w:tcPr>
        <w:tcBorders>
          <w:left w:val="nil"/>
          <w:right w:val="nil"/>
          <w:insideH w:val="nil"/>
          <w:insideV w:val="nil"/>
        </w:tcBorders>
        <w:shd w:val="clear" w:color="auto" w:fill="FFC67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A3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A34" w:themeFill="accent5"/>
      </w:tcPr>
    </w:tblStylePr>
    <w:tblStylePr w:type="lastCol">
      <w:rPr>
        <w:b/>
        <w:bCs/>
        <w:color w:val="FFFFFF" w:themeColor="background1"/>
      </w:rPr>
      <w:tblPr/>
      <w:tcPr>
        <w:tcBorders>
          <w:left w:val="nil"/>
          <w:right w:val="nil"/>
          <w:insideH w:val="nil"/>
          <w:insideV w:val="nil"/>
        </w:tcBorders>
        <w:shd w:val="clear" w:color="auto" w:fill="FF7A3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04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04F" w:themeFill="accent6"/>
      </w:tcPr>
    </w:tblStylePr>
    <w:tblStylePr w:type="lastCol">
      <w:rPr>
        <w:b/>
        <w:bCs/>
        <w:color w:val="FFFFFF" w:themeColor="background1"/>
      </w:rPr>
      <w:tblPr/>
      <w:tcPr>
        <w:tcBorders>
          <w:left w:val="nil"/>
          <w:right w:val="nil"/>
          <w:insideH w:val="nil"/>
          <w:insideV w:val="nil"/>
        </w:tcBorders>
        <w:shd w:val="clear" w:color="auto" w:fill="F0404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teHeading">
    <w:name w:val="Note Heading"/>
    <w:basedOn w:val="Normal"/>
    <w:next w:val="Normal"/>
    <w:link w:val="NoteHeadingChar"/>
    <w:qFormat/>
    <w:rsid w:val="00811E79"/>
    <w:pPr>
      <w:spacing w:before="100" w:after="100" w:line="220" w:lineRule="atLeast"/>
    </w:pPr>
    <w:rPr>
      <w:sz w:val="16"/>
    </w:rPr>
  </w:style>
  <w:style w:type="character" w:customStyle="1" w:styleId="NoteHeadingChar">
    <w:name w:val="Note Heading Char"/>
    <w:basedOn w:val="DefaultParagraphFont"/>
    <w:link w:val="NoteHeading"/>
    <w:rsid w:val="00811E79"/>
    <w:rPr>
      <w:sz w:val="16"/>
    </w:rPr>
  </w:style>
  <w:style w:type="paragraph" w:styleId="PlainText">
    <w:name w:val="Plain Text"/>
    <w:basedOn w:val="Normal"/>
    <w:link w:val="PlainTextChar"/>
    <w:uiPriority w:val="99"/>
    <w:semiHidden/>
    <w:unhideWhenUsed/>
    <w:rsid w:val="0058629F"/>
    <w:pPr>
      <w:spacing w:line="240" w:lineRule="auto"/>
    </w:pPr>
    <w:rPr>
      <w:rFonts w:ascii="Calibri" w:hAnsi="Calibri"/>
      <w:color w:val="auto"/>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D96685"/>
    <w:rPr>
      <w:sz w:val="16"/>
    </w:rPr>
  </w:style>
  <w:style w:type="character" w:customStyle="1" w:styleId="TOC1Char">
    <w:name w:val="TOC 1 Char"/>
    <w:basedOn w:val="DefaultParagraphFont"/>
    <w:link w:val="TOC1"/>
    <w:uiPriority w:val="39"/>
    <w:rsid w:val="007B6704"/>
    <w:rPr>
      <w:b/>
      <w:noProof/>
      <w:sz w:val="24"/>
    </w:rPr>
  </w:style>
  <w:style w:type="paragraph" w:styleId="EndnoteText">
    <w:name w:val="endnote text"/>
    <w:basedOn w:val="Normal"/>
    <w:link w:val="EndnoteTextChar"/>
    <w:semiHidden/>
    <w:unhideWhenUsed/>
    <w:rsid w:val="00D96685"/>
    <w:pPr>
      <w:spacing w:before="40" w:after="0" w:line="220" w:lineRule="atLeast"/>
    </w:pPr>
    <w:rPr>
      <w:sz w:val="16"/>
    </w:rPr>
  </w:style>
  <w:style w:type="paragraph" w:styleId="ListContinue4">
    <w:name w:val="List Continue 4"/>
    <w:basedOn w:val="Normal"/>
    <w:semiHidden/>
    <w:rsid w:val="0058629F"/>
    <w:pPr>
      <w:spacing w:before="100" w:after="100"/>
      <w:ind w:left="1814"/>
    </w:pPr>
  </w:style>
  <w:style w:type="paragraph" w:styleId="ListContinue5">
    <w:name w:val="List Continue 5"/>
    <w:basedOn w:val="Normal"/>
    <w:semiHidden/>
    <w:rsid w:val="0058629F"/>
    <w:pPr>
      <w:spacing w:before="100" w:after="100"/>
      <w:ind w:left="2268"/>
    </w:pPr>
  </w:style>
  <w:style w:type="numbering" w:customStyle="1" w:styleId="LstBullets">
    <w:name w:val="Lst_Bullets"/>
    <w:uiPriority w:val="99"/>
    <w:rsid w:val="00B2011B"/>
    <w:pPr>
      <w:numPr>
        <w:numId w:val="7"/>
      </w:numPr>
    </w:pPr>
  </w:style>
  <w:style w:type="paragraph" w:styleId="List">
    <w:name w:val="List"/>
    <w:basedOn w:val="Normal"/>
    <w:rsid w:val="0011224F"/>
    <w:pPr>
      <w:numPr>
        <w:numId w:val="9"/>
      </w:numPr>
      <w:ind w:firstLine="0"/>
    </w:pPr>
  </w:style>
  <w:style w:type="paragraph" w:styleId="List2">
    <w:name w:val="List 2"/>
    <w:basedOn w:val="Normal"/>
    <w:rsid w:val="0011224F"/>
    <w:pPr>
      <w:numPr>
        <w:ilvl w:val="1"/>
        <w:numId w:val="9"/>
      </w:numPr>
      <w:ind w:hanging="360"/>
    </w:pPr>
  </w:style>
  <w:style w:type="paragraph" w:customStyle="1" w:styleId="DisclaimerTextinFrame12pt">
    <w:name w:val="Disclaimer Text in Frame 12pt"/>
    <w:basedOn w:val="DisclaimerTextinFrame"/>
    <w:uiPriority w:val="31"/>
    <w:rsid w:val="00625F4C"/>
    <w:pPr>
      <w:framePr w:wrap="around"/>
      <w:spacing w:before="190"/>
    </w:pPr>
    <w:rPr>
      <w:sz w:val="24"/>
    </w:rPr>
  </w:style>
  <w:style w:type="character" w:styleId="UnresolvedMention">
    <w:name w:val="Unresolved Mention"/>
    <w:basedOn w:val="DefaultParagraphFont"/>
    <w:uiPriority w:val="99"/>
    <w:semiHidden/>
    <w:unhideWhenUsed/>
    <w:rsid w:val="00625F4C"/>
    <w:rPr>
      <w:color w:val="605E5C"/>
      <w:shd w:val="clear" w:color="auto" w:fill="E1DFDD"/>
    </w:rPr>
  </w:style>
  <w:style w:type="paragraph" w:customStyle="1" w:styleId="Source">
    <w:name w:val="Source"/>
    <w:basedOn w:val="Normal"/>
    <w:next w:val="Normal"/>
    <w:qFormat/>
    <w:rsid w:val="0028513C"/>
    <w:pPr>
      <w:numPr>
        <w:numId w:val="4"/>
      </w:numPr>
      <w:spacing w:after="360" w:line="220" w:lineRule="atLeast"/>
    </w:pPr>
    <w:rPr>
      <w:sz w:val="16"/>
    </w:rPr>
  </w:style>
  <w:style w:type="character" w:customStyle="1" w:styleId="EndnoteTextChar">
    <w:name w:val="Endnote Text Char"/>
    <w:basedOn w:val="DefaultParagraphFont"/>
    <w:link w:val="EndnoteText"/>
    <w:semiHidden/>
    <w:rsid w:val="00D96685"/>
    <w:rPr>
      <w:sz w:val="16"/>
    </w:rPr>
  </w:style>
  <w:style w:type="character" w:styleId="EndnoteReference">
    <w:name w:val="endnote reference"/>
    <w:basedOn w:val="DefaultParagraphFont"/>
    <w:semiHidden/>
    <w:unhideWhenUsed/>
    <w:rsid w:val="00E36C40"/>
    <w:rPr>
      <w:vertAlign w:val="superscript"/>
    </w:rPr>
  </w:style>
  <w:style w:type="paragraph" w:customStyle="1" w:styleId="NotesNumbered">
    <w:name w:val="Notes Numbered"/>
    <w:basedOn w:val="NoteHeading"/>
    <w:qFormat/>
    <w:rsid w:val="00811E79"/>
    <w:pPr>
      <w:numPr>
        <w:numId w:val="3"/>
      </w:numPr>
      <w:contextualSpacing/>
    </w:pPr>
  </w:style>
  <w:style w:type="paragraph" w:customStyle="1" w:styleId="Introduction">
    <w:name w:val="Introduction"/>
    <w:basedOn w:val="Normal"/>
    <w:qFormat/>
    <w:rsid w:val="000115DE"/>
    <w:pPr>
      <w:spacing w:line="320" w:lineRule="atLeast"/>
    </w:pPr>
    <w:rPr>
      <w:sz w:val="26"/>
    </w:rPr>
  </w:style>
  <w:style w:type="paragraph" w:styleId="Quote">
    <w:name w:val="Quote"/>
    <w:basedOn w:val="Normal"/>
    <w:next w:val="Normal"/>
    <w:link w:val="QuoteChar"/>
    <w:rsid w:val="0028513C"/>
    <w:pPr>
      <w:spacing w:before="240" w:after="240" w:line="320" w:lineRule="atLeast"/>
    </w:pPr>
    <w:rPr>
      <w:iCs/>
      <w:color w:val="00855B"/>
      <w:sz w:val="26"/>
    </w:rPr>
  </w:style>
  <w:style w:type="character" w:customStyle="1" w:styleId="QuoteChar">
    <w:name w:val="Quote Char"/>
    <w:basedOn w:val="DefaultParagraphFont"/>
    <w:link w:val="Quote"/>
    <w:rsid w:val="0028513C"/>
    <w:rPr>
      <w:iCs/>
      <w:color w:val="00855B"/>
      <w:sz w:val="26"/>
    </w:rPr>
  </w:style>
  <w:style w:type="table" w:styleId="TableGrid">
    <w:name w:val="Table Grid"/>
    <w:basedOn w:val="TableNormal"/>
    <w:rsid w:val="00397986"/>
    <w:pPr>
      <w:spacing w:before="110" w:after="11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Pr>
    <w:tblStylePr w:type="firstRow">
      <w:rPr>
        <w:b/>
        <w:color w:val="FFFFFF" w:themeColor="background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FFFFFF" w:themeColor="background1"/>
          <w:tl2br w:val="nil"/>
          <w:tr2bl w:val="nil"/>
        </w:tcBorders>
        <w:shd w:val="clear" w:color="auto" w:fill="001032" w:themeFill="text2"/>
      </w:tcPr>
    </w:tblStylePr>
  </w:style>
  <w:style w:type="paragraph" w:styleId="ListNumber4">
    <w:name w:val="List Number 4"/>
    <w:basedOn w:val="ListNumber3"/>
    <w:unhideWhenUsed/>
    <w:rsid w:val="00AB6CB2"/>
    <w:pPr>
      <w:numPr>
        <w:ilvl w:val="3"/>
      </w:numPr>
    </w:pPr>
  </w:style>
  <w:style w:type="paragraph" w:styleId="ListBullet4">
    <w:name w:val="List Bullet 4"/>
    <w:basedOn w:val="ListBullet3"/>
    <w:unhideWhenUsed/>
    <w:rsid w:val="00B30BDC"/>
    <w:pPr>
      <w:numPr>
        <w:ilvl w:val="3"/>
      </w:numPr>
      <w:contextualSpacing/>
    </w:pPr>
  </w:style>
  <w:style w:type="paragraph" w:styleId="TOC3">
    <w:name w:val="toc 3"/>
    <w:basedOn w:val="Normal"/>
    <w:next w:val="Normal"/>
    <w:autoRedefine/>
    <w:uiPriority w:val="39"/>
    <w:rsid w:val="007B6704"/>
    <w:pPr>
      <w:tabs>
        <w:tab w:val="right" w:pos="9582"/>
      </w:tabs>
      <w:spacing w:before="240" w:after="240"/>
      <w:ind w:left="567" w:right="567"/>
    </w:pPr>
    <w:rPr>
      <w:sz w:val="24"/>
    </w:rPr>
  </w:style>
  <w:style w:type="paragraph" w:styleId="Date">
    <w:name w:val="Date"/>
    <w:basedOn w:val="Normal"/>
    <w:next w:val="Normal"/>
    <w:link w:val="DateChar"/>
    <w:uiPriority w:val="31"/>
    <w:unhideWhenUsed/>
    <w:rsid w:val="0005768A"/>
    <w:pPr>
      <w:spacing w:before="0" w:after="0" w:line="336" w:lineRule="atLeast"/>
    </w:pPr>
    <w:rPr>
      <w:sz w:val="28"/>
    </w:rPr>
  </w:style>
  <w:style w:type="character" w:customStyle="1" w:styleId="DateChar">
    <w:name w:val="Date Char"/>
    <w:basedOn w:val="DefaultParagraphFont"/>
    <w:link w:val="Date"/>
    <w:uiPriority w:val="31"/>
    <w:rsid w:val="000F09E7"/>
    <w:rPr>
      <w:sz w:val="28"/>
    </w:rPr>
  </w:style>
  <w:style w:type="paragraph" w:styleId="List3">
    <w:name w:val="List 3"/>
    <w:basedOn w:val="Normal"/>
    <w:rsid w:val="0011224F"/>
    <w:pPr>
      <w:numPr>
        <w:ilvl w:val="2"/>
        <w:numId w:val="9"/>
      </w:numPr>
      <w:ind w:hanging="180"/>
    </w:pPr>
  </w:style>
  <w:style w:type="paragraph" w:customStyle="1" w:styleId="ListAlpha">
    <w:name w:val="List Alpha"/>
    <w:basedOn w:val="Normal"/>
    <w:rsid w:val="0021154B"/>
    <w:pPr>
      <w:numPr>
        <w:numId w:val="13"/>
      </w:numPr>
    </w:pPr>
  </w:style>
  <w:style w:type="numbering" w:customStyle="1" w:styleId="LstLegalNumbering">
    <w:name w:val="Lst_LegalNumbering"/>
    <w:uiPriority w:val="99"/>
    <w:rsid w:val="0011224F"/>
    <w:pPr>
      <w:numPr>
        <w:numId w:val="10"/>
      </w:numPr>
    </w:pPr>
  </w:style>
  <w:style w:type="numbering" w:customStyle="1" w:styleId="LstAlpha">
    <w:name w:val="Lst_Alpha"/>
    <w:uiPriority w:val="99"/>
    <w:rsid w:val="0021154B"/>
    <w:pPr>
      <w:numPr>
        <w:numId w:val="12"/>
      </w:numPr>
    </w:pPr>
  </w:style>
  <w:style w:type="numbering" w:customStyle="1" w:styleId="LstHeadings">
    <w:name w:val="Lst_Headings"/>
    <w:uiPriority w:val="99"/>
    <w:rsid w:val="00E72AE2"/>
    <w:pPr>
      <w:numPr>
        <w:numId w:val="14"/>
      </w:numPr>
    </w:pPr>
  </w:style>
  <w:style w:type="paragraph" w:customStyle="1" w:styleId="FooterLineBelow">
    <w:name w:val="Footer Line Below"/>
    <w:basedOn w:val="Footer"/>
    <w:uiPriority w:val="31"/>
    <w:rsid w:val="00026F37"/>
    <w:pPr>
      <w:pBdr>
        <w:bottom w:val="single" w:sz="4" w:space="1" w:color="000000" w:themeColor="text1"/>
      </w:pBdr>
      <w:spacing w:after="180"/>
    </w:pPr>
    <w:rPr>
      <w:bCs/>
      <w:noProof/>
    </w:rPr>
  </w:style>
  <w:style w:type="paragraph" w:styleId="List4">
    <w:name w:val="List 4"/>
    <w:basedOn w:val="Normal"/>
    <w:rsid w:val="0011224F"/>
    <w:pPr>
      <w:numPr>
        <w:ilvl w:val="3"/>
        <w:numId w:val="9"/>
      </w:numPr>
      <w:ind w:hanging="360"/>
    </w:pPr>
  </w:style>
  <w:style w:type="paragraph" w:styleId="ListParagraph">
    <w:name w:val="List Paragraph"/>
    <w:basedOn w:val="Normal"/>
    <w:uiPriority w:val="34"/>
    <w:qFormat/>
    <w:rsid w:val="00CC4268"/>
    <w:pPr>
      <w:numPr>
        <w:numId w:val="18"/>
      </w:numPr>
      <w:spacing w:before="60" w:after="0" w:line="276" w:lineRule="auto"/>
      <w:contextualSpacing/>
    </w:pPr>
    <w:rPr>
      <w:rFonts w:eastAsiaTheme="minorEastAsia" w:cstheme="minorBidi"/>
      <w:color w:val="auto"/>
    </w:rPr>
  </w:style>
  <w:style w:type="character" w:styleId="Mention">
    <w:name w:val="Mention"/>
    <w:basedOn w:val="DefaultParagraphFont"/>
    <w:uiPriority w:val="99"/>
    <w:unhideWhenUsed/>
    <w:rsid w:val="0074308F"/>
    <w:rPr>
      <w:color w:val="2B579A"/>
      <w:shd w:val="clear" w:color="auto" w:fill="E1DFDD"/>
    </w:rPr>
  </w:style>
  <w:style w:type="paragraph" w:customStyle="1" w:styleId="Heading3-NotinTOC">
    <w:name w:val="Heading 3 - Not in TOC"/>
    <w:basedOn w:val="Heading3"/>
    <w:autoRedefine/>
    <w:qFormat/>
    <w:rsid w:val="001470BE"/>
    <w:pPr>
      <w:spacing w:before="320" w:after="120" w:line="276" w:lineRule="auto"/>
    </w:pPr>
    <w:rPr>
      <w:rFonts w:ascii="Arial" w:eastAsia="Yu Gothic Light" w:hAnsi="Arial"/>
      <w:bCs w:val="0"/>
      <w:color w:val="F05523"/>
      <w:szCs w:val="32"/>
      <w:u w:color="005CB8"/>
      <w:lang w:eastAsia="en-US"/>
      <w14:ligatures w14:val="standardContextual"/>
    </w:rPr>
  </w:style>
  <w:style w:type="paragraph" w:customStyle="1" w:styleId="IssueforConsideration">
    <w:name w:val="Issue for Consideration"/>
    <w:basedOn w:val="Normal"/>
    <w:link w:val="IssueforConsiderationChar"/>
    <w:qFormat/>
    <w:rsid w:val="001470BE"/>
    <w:pPr>
      <w:pBdr>
        <w:top w:val="single" w:sz="18" w:space="1" w:color="005CB8"/>
        <w:left w:val="single" w:sz="18" w:space="4" w:color="005CB8"/>
        <w:bottom w:val="single" w:sz="18" w:space="1" w:color="005CB8"/>
        <w:right w:val="single" w:sz="18" w:space="4" w:color="005CB8"/>
      </w:pBdr>
      <w:shd w:val="clear" w:color="auto" w:fill="E8EAF5"/>
      <w:spacing w:after="120" w:line="240" w:lineRule="auto"/>
      <w:ind w:left="57" w:right="57"/>
    </w:pPr>
    <w:rPr>
      <w:rFonts w:ascii="Aptos" w:eastAsia="Calibri" w:hAnsi="Aptos" w:cs="Arial"/>
      <w:b/>
      <w:bCs/>
      <w:color w:val="auto"/>
      <w:sz w:val="24"/>
      <w:szCs w:val="24"/>
      <w:lang w:eastAsia="en-US"/>
      <w14:ligatures w14:val="standardContextual"/>
    </w:rPr>
  </w:style>
  <w:style w:type="character" w:customStyle="1" w:styleId="IssueforConsiderationChar">
    <w:name w:val="Issue for Consideration Char"/>
    <w:basedOn w:val="DefaultParagraphFont"/>
    <w:link w:val="IssueforConsideration"/>
    <w:rsid w:val="001470BE"/>
    <w:rPr>
      <w:rFonts w:ascii="Aptos" w:eastAsia="Calibri" w:hAnsi="Aptos" w:cs="Arial"/>
      <w:b/>
      <w:bCs/>
      <w:color w:val="auto"/>
      <w:sz w:val="24"/>
      <w:szCs w:val="24"/>
      <w:shd w:val="clear" w:color="auto" w:fill="E8EAF5"/>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legislation.gov.au/C2026A00025/asmade/text"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legislation.gov.au/C2026A00025/asmade/tex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www.atec.gov.au/node/113" TargetMode="External"/><Relationship Id="rId20" Type="http://schemas.openxmlformats.org/officeDocument/2006/relationships/hyperlink" Target="https://www.legislation.gov.au/C2026A00025/asmade/text"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yperlink" Target="https://www.legislation.gov.au/C2026A00025/asmade/text" TargetMode="External"/><Relationship Id="rId23" Type="http://schemas.openxmlformats.org/officeDocument/2006/relationships/hyperlink" Target="https://www.atec.gov.au/strategy/strategic-priorities-work-plan"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legislation.gov.au/C2026A00025/asmade/tex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footer" Target="footer2.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2ABFAF6BCC48EFA61F58480E148321"/>
        <w:category>
          <w:name w:val="General"/>
          <w:gallery w:val="placeholder"/>
        </w:category>
        <w:types>
          <w:type w:val="bbPlcHdr"/>
        </w:types>
        <w:behaviors>
          <w:behavior w:val="content"/>
        </w:behaviors>
        <w:guid w:val="{624A7F69-BD63-434C-84DB-362983C5176D}"/>
      </w:docPartPr>
      <w:docPartBody>
        <w:p w:rsidR="00807535" w:rsidRDefault="00807535">
          <w:pPr>
            <w:pStyle w:val="3F2ABFAF6BCC48EFA61F58480E148321"/>
          </w:pPr>
          <w:r w:rsidRPr="003202A0">
            <w:rPr>
              <w:rStyle w:val="PlaceholderText"/>
            </w:rPr>
            <w:t>[Title]</w:t>
          </w:r>
        </w:p>
      </w:docPartBody>
    </w:docPart>
    <w:docPart>
      <w:docPartPr>
        <w:name w:val="697B5A9AFEAB42B9B0023106772FEF37"/>
        <w:category>
          <w:name w:val="General"/>
          <w:gallery w:val="placeholder"/>
        </w:category>
        <w:types>
          <w:type w:val="bbPlcHdr"/>
        </w:types>
        <w:behaviors>
          <w:behavior w:val="content"/>
        </w:behaviors>
        <w:guid w:val="{D75D2F60-62EF-4047-BCED-46D2F6721C88}"/>
      </w:docPartPr>
      <w:docPartBody>
        <w:p w:rsidR="00807535" w:rsidRDefault="00807535">
          <w:pPr>
            <w:pStyle w:val="697B5A9AFEAB42B9B0023106772FEF37"/>
          </w:pPr>
          <w:r w:rsidRPr="00305EF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Light">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2F6"/>
    <w:rsid w:val="00000389"/>
    <w:rsid w:val="0000367B"/>
    <w:rsid w:val="000044F0"/>
    <w:rsid w:val="000324D7"/>
    <w:rsid w:val="00050433"/>
    <w:rsid w:val="00076B42"/>
    <w:rsid w:val="00097240"/>
    <w:rsid w:val="000A1588"/>
    <w:rsid w:val="000B460D"/>
    <w:rsid w:val="000C5C49"/>
    <w:rsid w:val="00107273"/>
    <w:rsid w:val="00113639"/>
    <w:rsid w:val="00134C51"/>
    <w:rsid w:val="00154959"/>
    <w:rsid w:val="001636C0"/>
    <w:rsid w:val="00171A6E"/>
    <w:rsid w:val="00177051"/>
    <w:rsid w:val="00177F5A"/>
    <w:rsid w:val="00195185"/>
    <w:rsid w:val="001C7D38"/>
    <w:rsid w:val="001D66AC"/>
    <w:rsid w:val="001E1F70"/>
    <w:rsid w:val="001E6726"/>
    <w:rsid w:val="001F41D9"/>
    <w:rsid w:val="001F7D0D"/>
    <w:rsid w:val="00201C16"/>
    <w:rsid w:val="00231787"/>
    <w:rsid w:val="00243710"/>
    <w:rsid w:val="00296CA4"/>
    <w:rsid w:val="002A3A34"/>
    <w:rsid w:val="002C44E1"/>
    <w:rsid w:val="002C7724"/>
    <w:rsid w:val="00310D9D"/>
    <w:rsid w:val="00315B30"/>
    <w:rsid w:val="00321D29"/>
    <w:rsid w:val="003828BA"/>
    <w:rsid w:val="003A2303"/>
    <w:rsid w:val="003C380B"/>
    <w:rsid w:val="003C5CBD"/>
    <w:rsid w:val="003D766F"/>
    <w:rsid w:val="00445CC6"/>
    <w:rsid w:val="00447200"/>
    <w:rsid w:val="004600BC"/>
    <w:rsid w:val="004B3735"/>
    <w:rsid w:val="004F56CB"/>
    <w:rsid w:val="005079E4"/>
    <w:rsid w:val="005208D1"/>
    <w:rsid w:val="0054178E"/>
    <w:rsid w:val="005867B5"/>
    <w:rsid w:val="005960FD"/>
    <w:rsid w:val="005D17CE"/>
    <w:rsid w:val="0062427E"/>
    <w:rsid w:val="00636242"/>
    <w:rsid w:val="006C063B"/>
    <w:rsid w:val="006C2B4E"/>
    <w:rsid w:val="006C3287"/>
    <w:rsid w:val="006C7A16"/>
    <w:rsid w:val="00702FDF"/>
    <w:rsid w:val="00722DD9"/>
    <w:rsid w:val="00750AA8"/>
    <w:rsid w:val="00771AFB"/>
    <w:rsid w:val="00790117"/>
    <w:rsid w:val="007D48DC"/>
    <w:rsid w:val="00807535"/>
    <w:rsid w:val="00815D64"/>
    <w:rsid w:val="008407D7"/>
    <w:rsid w:val="00844F33"/>
    <w:rsid w:val="0087784B"/>
    <w:rsid w:val="008A50EA"/>
    <w:rsid w:val="008B192F"/>
    <w:rsid w:val="008B45AE"/>
    <w:rsid w:val="008C126C"/>
    <w:rsid w:val="008C6CBE"/>
    <w:rsid w:val="008E1B54"/>
    <w:rsid w:val="00910DC2"/>
    <w:rsid w:val="00916074"/>
    <w:rsid w:val="009638BC"/>
    <w:rsid w:val="009B7CDD"/>
    <w:rsid w:val="009D32E0"/>
    <w:rsid w:val="009E00FD"/>
    <w:rsid w:val="009F18C8"/>
    <w:rsid w:val="009F4297"/>
    <w:rsid w:val="00A26FDC"/>
    <w:rsid w:val="00A31667"/>
    <w:rsid w:val="00A61806"/>
    <w:rsid w:val="00A70633"/>
    <w:rsid w:val="00AA22F6"/>
    <w:rsid w:val="00AB7056"/>
    <w:rsid w:val="00AC7261"/>
    <w:rsid w:val="00AD41CD"/>
    <w:rsid w:val="00AD6122"/>
    <w:rsid w:val="00AE138C"/>
    <w:rsid w:val="00AE25CA"/>
    <w:rsid w:val="00B148E5"/>
    <w:rsid w:val="00BA33C0"/>
    <w:rsid w:val="00BC2845"/>
    <w:rsid w:val="00BC2E90"/>
    <w:rsid w:val="00BD2BCB"/>
    <w:rsid w:val="00BF44DF"/>
    <w:rsid w:val="00C14860"/>
    <w:rsid w:val="00C31FC1"/>
    <w:rsid w:val="00C41D0F"/>
    <w:rsid w:val="00C722F0"/>
    <w:rsid w:val="00C72D6A"/>
    <w:rsid w:val="00CB4B32"/>
    <w:rsid w:val="00CC30DF"/>
    <w:rsid w:val="00CD2E60"/>
    <w:rsid w:val="00D06A79"/>
    <w:rsid w:val="00D25FE2"/>
    <w:rsid w:val="00D864BA"/>
    <w:rsid w:val="00D9428B"/>
    <w:rsid w:val="00DB5EEA"/>
    <w:rsid w:val="00DE33FF"/>
    <w:rsid w:val="00E23D59"/>
    <w:rsid w:val="00E7084D"/>
    <w:rsid w:val="00E722B0"/>
    <w:rsid w:val="00E76627"/>
    <w:rsid w:val="00E82534"/>
    <w:rsid w:val="00E92E69"/>
    <w:rsid w:val="00E93B0F"/>
    <w:rsid w:val="00E9625C"/>
    <w:rsid w:val="00EE6582"/>
    <w:rsid w:val="00F50911"/>
    <w:rsid w:val="00F53E14"/>
    <w:rsid w:val="00F60D67"/>
    <w:rsid w:val="00FC396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8EB669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22F6"/>
    <w:rPr>
      <w:color w:val="808080"/>
    </w:rPr>
  </w:style>
  <w:style w:type="paragraph" w:customStyle="1" w:styleId="3F2ABFAF6BCC48EFA61F58480E148321">
    <w:name w:val="3F2ABFAF6BCC48EFA61F58480E148321"/>
  </w:style>
  <w:style w:type="paragraph" w:customStyle="1" w:styleId="697B5A9AFEAB42B9B0023106772FEF37">
    <w:name w:val="697B5A9AFEAB42B9B0023106772FEF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EC">
      <a:dk1>
        <a:srgbClr val="000000"/>
      </a:dk1>
      <a:lt1>
        <a:sysClr val="window" lastClr="FFFFFF"/>
      </a:lt1>
      <a:dk2>
        <a:srgbClr val="001032"/>
      </a:dk2>
      <a:lt2>
        <a:srgbClr val="E8E8E8"/>
      </a:lt2>
      <a:accent1>
        <a:srgbClr val="103A36"/>
      </a:accent1>
      <a:accent2>
        <a:srgbClr val="009364"/>
      </a:accent2>
      <a:accent3>
        <a:srgbClr val="F6E265"/>
      </a:accent3>
      <a:accent4>
        <a:srgbClr val="FFC677"/>
      </a:accent4>
      <a:accent5>
        <a:srgbClr val="FF7A34"/>
      </a:accent5>
      <a:accent6>
        <a:srgbClr val="F0404F"/>
      </a:accent6>
      <a:hlink>
        <a:srgbClr val="3C2CFF"/>
      </a:hlink>
      <a:folHlink>
        <a:srgbClr val="B0316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150ed607-d011-45d5-8216-b1990882b9c0" xsi:nil="true"/>
    <lcf76f155ced4ddcb4097134ff3c332f xmlns="4a9c6c2e-cc90-47c0-be42-0b97b97642c0">
      <Terms xmlns="http://schemas.microsoft.com/office/infopath/2007/PartnerControls"/>
    </lcf76f155ced4ddcb4097134ff3c332f>
    <Comments xmlns="4a9c6c2e-cc90-47c0-be42-0b97b97642c0" xsi:nil="true"/>
    <Note xmlns="4a9c6c2e-cc90-47c0-be42-0b97b97642c0" xsi:nil="true"/>
    <Notes xmlns="4a9c6c2e-cc90-47c0-be42-0b97b97642c0" xsi:nil="true"/>
    <Content xmlns="4a9c6c2e-cc90-47c0-be42-0b97b97642c0" xsi:nil="true"/>
    <Order0 xmlns="4a9c6c2e-cc90-47c0-be42-0b97b97642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CE9674-AB8D-4D3A-B9D9-40AD8FCD7198}">
  <ds:schemaRefs>
    <ds:schemaRef ds:uri="http://schemas.microsoft.com/office/2006/metadata/properties"/>
    <ds:schemaRef ds:uri="http://schemas.microsoft.com/office/infopath/2007/PartnerControls"/>
    <ds:schemaRef ds:uri="150ed607-d011-45d5-8216-b1990882b9c0"/>
    <ds:schemaRef ds:uri="4a9c6c2e-cc90-47c0-be42-0b97b97642c0"/>
  </ds:schemaRefs>
</ds:datastoreItem>
</file>

<file path=customXml/itemProps3.xml><?xml version="1.0" encoding="utf-8"?>
<ds:datastoreItem xmlns:ds="http://schemas.openxmlformats.org/officeDocument/2006/customXml" ds:itemID="{2BA298AF-47A9-4FB1-AA9D-2D43E7921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1E050F-CC68-4954-B97A-04DC89DFD960}">
  <ds:schemaRefs>
    <ds:schemaRef ds:uri="http://schemas.microsoft.com/sharepoint/v3/contenttype/forms"/>
  </ds:schemaRefs>
</ds:datastoreItem>
</file>

<file path=customXml/itemProps5.xml><?xml version="1.0" encoding="utf-8"?>
<ds:datastoreItem xmlns:ds="http://schemas.openxmlformats.org/officeDocument/2006/customXml" ds:itemID="{BD8A4976-002C-4534-8999-A17A602D9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15</Pages>
  <Words>3479</Words>
  <Characters>21435</Characters>
  <Application>Microsoft Office Word</Application>
  <DocSecurity>0</DocSecurity>
  <Lines>420</Lines>
  <Paragraphs>267</Paragraphs>
  <ScaleCrop>false</ScaleCrop>
  <HeadingPairs>
    <vt:vector size="2" baseType="variant">
      <vt:variant>
        <vt:lpstr>Title</vt:lpstr>
      </vt:variant>
      <vt:variant>
        <vt:i4>1</vt:i4>
      </vt:variant>
    </vt:vector>
  </HeadingPairs>
  <TitlesOfParts>
    <vt:vector size="1" baseType="lpstr">
      <vt:lpstr>ATEC Statement of Strategic Priorities 2027-28 Consultation Paper</vt:lpstr>
    </vt:vector>
  </TitlesOfParts>
  <Company/>
  <LinksUpToDate>false</LinksUpToDate>
  <CharactersWithSpaces>24647</CharactersWithSpaces>
  <SharedDoc>false</SharedDoc>
  <HLinks>
    <vt:vector size="180" baseType="variant">
      <vt:variant>
        <vt:i4>2687021</vt:i4>
      </vt:variant>
      <vt:variant>
        <vt:i4>156</vt:i4>
      </vt:variant>
      <vt:variant>
        <vt:i4>0</vt:i4>
      </vt:variant>
      <vt:variant>
        <vt:i4>5</vt:i4>
      </vt:variant>
      <vt:variant>
        <vt:lpwstr>https://www.atec.gov.au/strategy/strategic-priorities-workplan</vt:lpwstr>
      </vt:variant>
      <vt:variant>
        <vt:lpwstr/>
      </vt:variant>
      <vt:variant>
        <vt:i4>655441</vt:i4>
      </vt:variant>
      <vt:variant>
        <vt:i4>153</vt:i4>
      </vt:variant>
      <vt:variant>
        <vt:i4>0</vt:i4>
      </vt:variant>
      <vt:variant>
        <vt:i4>5</vt:i4>
      </vt:variant>
      <vt:variant>
        <vt:lpwstr>https://parlinfo.aph.gov.au/parlInfo/download/legislation/bills/r7416_aspassed/toc_pdf/25107b01.pdf;fileType=application%2Fpdf</vt:lpwstr>
      </vt:variant>
      <vt:variant>
        <vt:lpwstr/>
      </vt:variant>
      <vt:variant>
        <vt:i4>3080246</vt:i4>
      </vt:variant>
      <vt:variant>
        <vt:i4>150</vt:i4>
      </vt:variant>
      <vt:variant>
        <vt:i4>0</vt:i4>
      </vt:variant>
      <vt:variant>
        <vt:i4>5</vt:i4>
      </vt:variant>
      <vt:variant>
        <vt:lpwstr>https://www.legislation.gov.au/C2026A00025/asmade/text</vt:lpwstr>
      </vt:variant>
      <vt:variant>
        <vt:lpwstr/>
      </vt:variant>
      <vt:variant>
        <vt:i4>7077974</vt:i4>
      </vt:variant>
      <vt:variant>
        <vt:i4>147</vt:i4>
      </vt:variant>
      <vt:variant>
        <vt:i4>0</vt:i4>
      </vt:variant>
      <vt:variant>
        <vt:i4>5</vt:i4>
      </vt:variant>
      <vt:variant>
        <vt:lpwstr>https://parlinfo.aph.gov.au/parlInfo/search/display/display.w3p;query=Id:%22legislation/bills/r7416_aspassed/0000%22</vt:lpwstr>
      </vt:variant>
      <vt:variant>
        <vt:lpwstr/>
      </vt:variant>
      <vt:variant>
        <vt:i4>524362</vt:i4>
      </vt:variant>
      <vt:variant>
        <vt:i4>144</vt:i4>
      </vt:variant>
      <vt:variant>
        <vt:i4>0</vt:i4>
      </vt:variant>
      <vt:variant>
        <vt:i4>5</vt:i4>
      </vt:variant>
      <vt:variant>
        <vt:lpwstr>https://www.atec.gov.au/node/113</vt:lpwstr>
      </vt:variant>
      <vt:variant>
        <vt:lpwstr/>
      </vt:variant>
      <vt:variant>
        <vt:i4>3080246</vt:i4>
      </vt:variant>
      <vt:variant>
        <vt:i4>141</vt:i4>
      </vt:variant>
      <vt:variant>
        <vt:i4>0</vt:i4>
      </vt:variant>
      <vt:variant>
        <vt:i4>5</vt:i4>
      </vt:variant>
      <vt:variant>
        <vt:lpwstr>https://www.legislation.gov.au/C2026A00025/asmade/text</vt:lpwstr>
      </vt:variant>
      <vt:variant>
        <vt:lpwstr/>
      </vt:variant>
      <vt:variant>
        <vt:i4>1048637</vt:i4>
      </vt:variant>
      <vt:variant>
        <vt:i4>134</vt:i4>
      </vt:variant>
      <vt:variant>
        <vt:i4>0</vt:i4>
      </vt:variant>
      <vt:variant>
        <vt:i4>5</vt:i4>
      </vt:variant>
      <vt:variant>
        <vt:lpwstr/>
      </vt:variant>
      <vt:variant>
        <vt:lpwstr>_Toc240982785</vt:lpwstr>
      </vt:variant>
      <vt:variant>
        <vt:i4>1048637</vt:i4>
      </vt:variant>
      <vt:variant>
        <vt:i4>128</vt:i4>
      </vt:variant>
      <vt:variant>
        <vt:i4>0</vt:i4>
      </vt:variant>
      <vt:variant>
        <vt:i4>5</vt:i4>
      </vt:variant>
      <vt:variant>
        <vt:lpwstr/>
      </vt:variant>
      <vt:variant>
        <vt:lpwstr>_Toc240982784</vt:lpwstr>
      </vt:variant>
      <vt:variant>
        <vt:i4>1048637</vt:i4>
      </vt:variant>
      <vt:variant>
        <vt:i4>122</vt:i4>
      </vt:variant>
      <vt:variant>
        <vt:i4>0</vt:i4>
      </vt:variant>
      <vt:variant>
        <vt:i4>5</vt:i4>
      </vt:variant>
      <vt:variant>
        <vt:lpwstr/>
      </vt:variant>
      <vt:variant>
        <vt:lpwstr>_Toc240982783</vt:lpwstr>
      </vt:variant>
      <vt:variant>
        <vt:i4>1048637</vt:i4>
      </vt:variant>
      <vt:variant>
        <vt:i4>116</vt:i4>
      </vt:variant>
      <vt:variant>
        <vt:i4>0</vt:i4>
      </vt:variant>
      <vt:variant>
        <vt:i4>5</vt:i4>
      </vt:variant>
      <vt:variant>
        <vt:lpwstr/>
      </vt:variant>
      <vt:variant>
        <vt:lpwstr>_Toc240982782</vt:lpwstr>
      </vt:variant>
      <vt:variant>
        <vt:i4>1048637</vt:i4>
      </vt:variant>
      <vt:variant>
        <vt:i4>110</vt:i4>
      </vt:variant>
      <vt:variant>
        <vt:i4>0</vt:i4>
      </vt:variant>
      <vt:variant>
        <vt:i4>5</vt:i4>
      </vt:variant>
      <vt:variant>
        <vt:lpwstr/>
      </vt:variant>
      <vt:variant>
        <vt:lpwstr>_Toc240982781</vt:lpwstr>
      </vt:variant>
      <vt:variant>
        <vt:i4>1048637</vt:i4>
      </vt:variant>
      <vt:variant>
        <vt:i4>104</vt:i4>
      </vt:variant>
      <vt:variant>
        <vt:i4>0</vt:i4>
      </vt:variant>
      <vt:variant>
        <vt:i4>5</vt:i4>
      </vt:variant>
      <vt:variant>
        <vt:lpwstr/>
      </vt:variant>
      <vt:variant>
        <vt:lpwstr>_Toc240982780</vt:lpwstr>
      </vt:variant>
      <vt:variant>
        <vt:i4>2031677</vt:i4>
      </vt:variant>
      <vt:variant>
        <vt:i4>98</vt:i4>
      </vt:variant>
      <vt:variant>
        <vt:i4>0</vt:i4>
      </vt:variant>
      <vt:variant>
        <vt:i4>5</vt:i4>
      </vt:variant>
      <vt:variant>
        <vt:lpwstr/>
      </vt:variant>
      <vt:variant>
        <vt:lpwstr>_Toc240982779</vt:lpwstr>
      </vt:variant>
      <vt:variant>
        <vt:i4>2031677</vt:i4>
      </vt:variant>
      <vt:variant>
        <vt:i4>92</vt:i4>
      </vt:variant>
      <vt:variant>
        <vt:i4>0</vt:i4>
      </vt:variant>
      <vt:variant>
        <vt:i4>5</vt:i4>
      </vt:variant>
      <vt:variant>
        <vt:lpwstr/>
      </vt:variant>
      <vt:variant>
        <vt:lpwstr>_Toc240982778</vt:lpwstr>
      </vt:variant>
      <vt:variant>
        <vt:i4>2031677</vt:i4>
      </vt:variant>
      <vt:variant>
        <vt:i4>86</vt:i4>
      </vt:variant>
      <vt:variant>
        <vt:i4>0</vt:i4>
      </vt:variant>
      <vt:variant>
        <vt:i4>5</vt:i4>
      </vt:variant>
      <vt:variant>
        <vt:lpwstr/>
      </vt:variant>
      <vt:variant>
        <vt:lpwstr>_Toc240982777</vt:lpwstr>
      </vt:variant>
      <vt:variant>
        <vt:i4>2031677</vt:i4>
      </vt:variant>
      <vt:variant>
        <vt:i4>80</vt:i4>
      </vt:variant>
      <vt:variant>
        <vt:i4>0</vt:i4>
      </vt:variant>
      <vt:variant>
        <vt:i4>5</vt:i4>
      </vt:variant>
      <vt:variant>
        <vt:lpwstr/>
      </vt:variant>
      <vt:variant>
        <vt:lpwstr>_Toc240982776</vt:lpwstr>
      </vt:variant>
      <vt:variant>
        <vt:i4>2031677</vt:i4>
      </vt:variant>
      <vt:variant>
        <vt:i4>74</vt:i4>
      </vt:variant>
      <vt:variant>
        <vt:i4>0</vt:i4>
      </vt:variant>
      <vt:variant>
        <vt:i4>5</vt:i4>
      </vt:variant>
      <vt:variant>
        <vt:lpwstr/>
      </vt:variant>
      <vt:variant>
        <vt:lpwstr>_Toc240982775</vt:lpwstr>
      </vt:variant>
      <vt:variant>
        <vt:i4>2031677</vt:i4>
      </vt:variant>
      <vt:variant>
        <vt:i4>68</vt:i4>
      </vt:variant>
      <vt:variant>
        <vt:i4>0</vt:i4>
      </vt:variant>
      <vt:variant>
        <vt:i4>5</vt:i4>
      </vt:variant>
      <vt:variant>
        <vt:lpwstr/>
      </vt:variant>
      <vt:variant>
        <vt:lpwstr>_Toc240982774</vt:lpwstr>
      </vt:variant>
      <vt:variant>
        <vt:i4>2031677</vt:i4>
      </vt:variant>
      <vt:variant>
        <vt:i4>62</vt:i4>
      </vt:variant>
      <vt:variant>
        <vt:i4>0</vt:i4>
      </vt:variant>
      <vt:variant>
        <vt:i4>5</vt:i4>
      </vt:variant>
      <vt:variant>
        <vt:lpwstr/>
      </vt:variant>
      <vt:variant>
        <vt:lpwstr>_Toc240982773</vt:lpwstr>
      </vt:variant>
      <vt:variant>
        <vt:i4>2031677</vt:i4>
      </vt:variant>
      <vt:variant>
        <vt:i4>56</vt:i4>
      </vt:variant>
      <vt:variant>
        <vt:i4>0</vt:i4>
      </vt:variant>
      <vt:variant>
        <vt:i4>5</vt:i4>
      </vt:variant>
      <vt:variant>
        <vt:lpwstr/>
      </vt:variant>
      <vt:variant>
        <vt:lpwstr>_Toc240982772</vt:lpwstr>
      </vt:variant>
      <vt:variant>
        <vt:i4>2031677</vt:i4>
      </vt:variant>
      <vt:variant>
        <vt:i4>50</vt:i4>
      </vt:variant>
      <vt:variant>
        <vt:i4>0</vt:i4>
      </vt:variant>
      <vt:variant>
        <vt:i4>5</vt:i4>
      </vt:variant>
      <vt:variant>
        <vt:lpwstr/>
      </vt:variant>
      <vt:variant>
        <vt:lpwstr>_Toc240982771</vt:lpwstr>
      </vt:variant>
      <vt:variant>
        <vt:i4>2031677</vt:i4>
      </vt:variant>
      <vt:variant>
        <vt:i4>44</vt:i4>
      </vt:variant>
      <vt:variant>
        <vt:i4>0</vt:i4>
      </vt:variant>
      <vt:variant>
        <vt:i4>5</vt:i4>
      </vt:variant>
      <vt:variant>
        <vt:lpwstr/>
      </vt:variant>
      <vt:variant>
        <vt:lpwstr>_Toc240982770</vt:lpwstr>
      </vt:variant>
      <vt:variant>
        <vt:i4>1966141</vt:i4>
      </vt:variant>
      <vt:variant>
        <vt:i4>38</vt:i4>
      </vt:variant>
      <vt:variant>
        <vt:i4>0</vt:i4>
      </vt:variant>
      <vt:variant>
        <vt:i4>5</vt:i4>
      </vt:variant>
      <vt:variant>
        <vt:lpwstr/>
      </vt:variant>
      <vt:variant>
        <vt:lpwstr>_Toc240982769</vt:lpwstr>
      </vt:variant>
      <vt:variant>
        <vt:i4>1966141</vt:i4>
      </vt:variant>
      <vt:variant>
        <vt:i4>32</vt:i4>
      </vt:variant>
      <vt:variant>
        <vt:i4>0</vt:i4>
      </vt:variant>
      <vt:variant>
        <vt:i4>5</vt:i4>
      </vt:variant>
      <vt:variant>
        <vt:lpwstr/>
      </vt:variant>
      <vt:variant>
        <vt:lpwstr>_Toc240982768</vt:lpwstr>
      </vt:variant>
      <vt:variant>
        <vt:i4>1966141</vt:i4>
      </vt:variant>
      <vt:variant>
        <vt:i4>26</vt:i4>
      </vt:variant>
      <vt:variant>
        <vt:i4>0</vt:i4>
      </vt:variant>
      <vt:variant>
        <vt:i4>5</vt:i4>
      </vt:variant>
      <vt:variant>
        <vt:lpwstr/>
      </vt:variant>
      <vt:variant>
        <vt:lpwstr>_Toc240982767</vt:lpwstr>
      </vt:variant>
      <vt:variant>
        <vt:i4>1966141</vt:i4>
      </vt:variant>
      <vt:variant>
        <vt:i4>20</vt:i4>
      </vt:variant>
      <vt:variant>
        <vt:i4>0</vt:i4>
      </vt:variant>
      <vt:variant>
        <vt:i4>5</vt:i4>
      </vt:variant>
      <vt:variant>
        <vt:lpwstr/>
      </vt:variant>
      <vt:variant>
        <vt:lpwstr>_Toc240982766</vt:lpwstr>
      </vt:variant>
      <vt:variant>
        <vt:i4>1966141</vt:i4>
      </vt:variant>
      <vt:variant>
        <vt:i4>14</vt:i4>
      </vt:variant>
      <vt:variant>
        <vt:i4>0</vt:i4>
      </vt:variant>
      <vt:variant>
        <vt:i4>5</vt:i4>
      </vt:variant>
      <vt:variant>
        <vt:lpwstr/>
      </vt:variant>
      <vt:variant>
        <vt:lpwstr>_Toc240982765</vt:lpwstr>
      </vt:variant>
      <vt:variant>
        <vt:i4>1966141</vt:i4>
      </vt:variant>
      <vt:variant>
        <vt:i4>8</vt:i4>
      </vt:variant>
      <vt:variant>
        <vt:i4>0</vt:i4>
      </vt:variant>
      <vt:variant>
        <vt:i4>5</vt:i4>
      </vt:variant>
      <vt:variant>
        <vt:lpwstr/>
      </vt:variant>
      <vt:variant>
        <vt:lpwstr>_Toc240982764</vt:lpwstr>
      </vt:variant>
      <vt:variant>
        <vt:i4>1966141</vt:i4>
      </vt:variant>
      <vt:variant>
        <vt:i4>2</vt:i4>
      </vt:variant>
      <vt:variant>
        <vt:i4>0</vt:i4>
      </vt:variant>
      <vt:variant>
        <vt:i4>5</vt:i4>
      </vt:variant>
      <vt:variant>
        <vt:lpwstr/>
      </vt:variant>
      <vt:variant>
        <vt:lpwstr>_Toc240982763</vt:lpwstr>
      </vt:variant>
      <vt:variant>
        <vt:i4>3080246</vt:i4>
      </vt:variant>
      <vt:variant>
        <vt:i4>0</vt:i4>
      </vt:variant>
      <vt:variant>
        <vt:i4>0</vt:i4>
      </vt:variant>
      <vt:variant>
        <vt:i4>5</vt:i4>
      </vt:variant>
      <vt:variant>
        <vt:lpwstr>https://www.legislation.gov.au/C2026A00025/asmade/text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ATEC Statement of Strategic Priorities 2027-28 Consultation Paper</dc:title>
  <dc:subject/>
  <dc:creator>Author</dc:creator>
  <cp:keywords/>
  <dc:description/>
  <cp:lastModifiedBy>KIM,Damian</cp:lastModifiedBy>
  <cp:revision>28</cp:revision>
  <cp:lastPrinted>2026-09-23T01:14:00Z</cp:lastPrinted>
  <dcterms:created xsi:type="dcterms:W3CDTF">2026-09-29T11:42:00Z</dcterms:created>
  <dcterms:modified xsi:type="dcterms:W3CDTF">2026-09-30T21:32:00Z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79d889eb-932f-4752-8739-64d25806ef64_Enabled">
    <vt:lpwstr>true</vt:lpwstr>
  </property>
  <property fmtid="{D5CDD505-2E9C-101B-9397-08002B2CF9AE}" pid="4" name="MSIP_Label_79d889eb-932f-4752-8739-64d25806ef64_SetDate">
    <vt:lpwstr>2026-07-02T05:14:11Z</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iteId">
    <vt:lpwstr>dd0cfd15-4558-4b12-8bad-ea26984fc417</vt:lpwstr>
  </property>
  <property fmtid="{D5CDD505-2E9C-101B-9397-08002B2CF9AE}" pid="8" name="MSIP_Label_79d889eb-932f-4752-8739-64d25806ef64_ActionId">
    <vt:lpwstr>01e3d1cc-0cd1-4886-800a-4b07f1154673</vt:lpwstr>
  </property>
  <property fmtid="{D5CDD505-2E9C-101B-9397-08002B2CF9AE}" pid="9" name="MSIP_Label_79d889eb-932f-4752-8739-64d25806ef64_ContentBits">
    <vt:lpwstr>0</vt:lpwstr>
  </property>
  <property fmtid="{D5CDD505-2E9C-101B-9397-08002B2CF9AE}" pid="10" name="MSIP_Label_79d889eb-932f-4752-8739-64d25806ef64_Tag">
    <vt:lpwstr>10, 0, 1, 1</vt:lpwstr>
  </property>
  <property fmtid="{D5CDD505-2E9C-101B-9397-08002B2CF9AE}" pid="11" name="ContentTypeId">
    <vt:lpwstr>0x010100E098083483EAF54BBE19C56BE4F7D597</vt:lpwstr>
  </property>
  <property fmtid="{D5CDD505-2E9C-101B-9397-08002B2CF9AE}" pid="12" name="docLang">
    <vt:lpwstr>en</vt:lpwstr>
  </property>
</Properties>
</file>