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6403B" w14:textId="77777777" w:rsidR="00010F89" w:rsidRPr="00BC2021" w:rsidRDefault="00361695" w:rsidP="00E13296">
      <w:pPr>
        <w:tabs>
          <w:tab w:val="right" w:pos="10065"/>
        </w:tabs>
        <w:spacing w:after="960"/>
        <w:ind w:left="57" w:right="-284"/>
        <w:contextualSpacing/>
      </w:pPr>
      <w:r>
        <w:rPr>
          <w:noProof/>
        </w:rPr>
        <mc:AlternateContent>
          <mc:Choice Requires="wps">
            <w:drawing>
              <wp:anchor distT="0" distB="0" distL="114300" distR="114300" simplePos="0" relativeHeight="251658241" behindDoc="1" locked="1" layoutInCell="1" allowOverlap="1" wp14:anchorId="5BF7C57B" wp14:editId="4B5FF373">
                <wp:simplePos x="0" y="0"/>
                <wp:positionH relativeFrom="margin">
                  <wp:align>right</wp:align>
                </wp:positionH>
                <wp:positionV relativeFrom="page">
                  <wp:posOffset>622935</wp:posOffset>
                </wp:positionV>
                <wp:extent cx="1533600" cy="403200"/>
                <wp:effectExtent l="0" t="0" r="7620" b="0"/>
                <wp:wrapNone/>
                <wp:docPr id="1854459199"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33600" cy="403200"/>
                        </a:xfrm>
                        <a:prstGeom prst="roundRect">
                          <a:avLst>
                            <a:gd name="adj" fmla="val 50000"/>
                          </a:avLst>
                        </a:prstGeom>
                        <a:solidFill>
                          <a:schemeClr val="accent3"/>
                        </a:solidFill>
                        <a:ln w="6350">
                          <a:noFill/>
                        </a:ln>
                      </wps:spPr>
                      <wps:txbx>
                        <w:txbxContent>
                          <w:p w14:paraId="3B93D89E" w14:textId="1DFFC339" w:rsidR="00361695" w:rsidRPr="00247039" w:rsidRDefault="00DC5F80" w:rsidP="00361695">
                            <w:pPr>
                              <w:pStyle w:val="Date"/>
                              <w:jc w:val="both"/>
                              <w:rPr>
                                <w:b/>
                                <w:bCs/>
                              </w:rPr>
                            </w:pPr>
                            <w:r>
                              <w:rPr>
                                <w:b/>
                                <w:bCs/>
                              </w:rPr>
                              <w:t>11</w:t>
                            </w:r>
                            <w:r w:rsidR="00247039" w:rsidRPr="00247039">
                              <w:rPr>
                                <w:b/>
                                <w:bCs/>
                              </w:rPr>
                              <w:t xml:space="preserve"> </w:t>
                            </w:r>
                            <w:r w:rsidR="00D9193C">
                              <w:rPr>
                                <w:b/>
                                <w:bCs/>
                              </w:rPr>
                              <w:t>August</w:t>
                            </w:r>
                            <w:r w:rsidR="00247039" w:rsidRPr="00247039">
                              <w:rPr>
                                <w:b/>
                                <w:bCs/>
                              </w:rPr>
                              <w:t xml:space="preserve"> 2026</w:t>
                            </w:r>
                          </w:p>
                        </w:txbxContent>
                      </wps:txbx>
                      <wps:bodyPr rot="0" spcFirstLastPara="0" vertOverflow="overflow" horzOverflow="overflow" vert="horz" wrap="none" lIns="144000" tIns="28800" rIns="180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BF7C57B" id="Text Box 7" o:spid="_x0000_s1026" alt="&quot;&quot;" style="position:absolute;left:0;text-align:left;margin-left:69.55pt;margin-top:49.05pt;width:120.75pt;height:31.75pt;z-index:-251658239;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fTAIAAIsEAAAOAAAAZHJzL2Uyb0RvYy54bWysVE1v2zAMvQ/YfxB0X+0kbRAYcYosRYcB&#10;RVusHXpWZCnxIImCxMTufv0o2Wn2dRqWg0KK5BP5SHp53VvDjirEFlzNJxclZ8pJaFq3q/nX59sP&#10;C84iCtcIA07V/FVFfr16/27Z+UpNYQ+mUYERiItV52u+R/RVUUS5V1bEC/DKkVFDsAJJDbuiCaIj&#10;dGuKaVnOiw5C4wNIFSPd3gxGvsr4WiuJD1pHhczUnHLDfIZ8btNZrJai2gXh960c0xD/kIUVraNH&#10;36BuBAp2CO0fULaVASJovJBgC9C6lSrXQNVMyt+qedoLr3ItRE70bzTF/wcr749P/jEw7D9CTw1M&#10;hHQ+VpEuUz29Djb9U6aM7ETh6xttqkcmU9DVbDYvySTJdlnOqC8JpjhH+xDxkwLLklDzAAfXfKHe&#10;ZMrE8S5i5q5hTlgaEtF840xbQ504CsOuSvqNiKMzYZ8wU2QE0za3rTFZSbOjNiYwCiYwKZXD2Rj/&#10;i6dxrKv5fHZV5kQcJIghc+OogDMRScJ+24/sbKF5JdICDPMUvbxtqbI7EfFRBEqbyKClwAc6tAF6&#10;BEaJsz2E73+7T/7UV7Jy1tFA1tzRxnBmPjvq9+TyMpHAMGvTxSIpYTCRnLRt1lInSHEHuwGqfkLr&#10;52UWUwCak6gD2BfanXV6lUzCSXq75hLDSdngsCi0fVKt19mNptYLvHNPXibwxHdqxHP/IoIf24s0&#10;GPdwGl5R5Z4NtJ59c6f8+oBEOiZjonjgdVRo4vMQjduZVupnPXudvyGrHwAAAP//AwBQSwMEFAAG&#10;AAgAAAAhAKXpwwncAAAABwEAAA8AAABkcnMvZG93bnJldi54bWxMj8FOwzAQRO9I/IO1SNyok6pY&#10;bRqnQkhU4khToMdtvMSBeB3Fbhv+HnOC42hGM2/KzeR6caYxdJ415LMMBHHjTcethn39dLcEESKy&#10;wd4zafimAJvq+qrEwvgLv9B5F1uRSjgUqMHGOBRShsaSwzDzA3HyPvzoMCY5ttKMeEnlrpfzLFPS&#10;YcdpweJAj5aar93JaUBVvz5/Mr6rtzpfrCa7PYT9Vuvbm+lhDSLSFP/C8Iuf0KFKTEd/YhNEryEd&#10;iRpWyxxEcueL/B7EMcVUrkBWpfzPX/0AAAD//wMAUEsBAi0AFAAGAAgAAAAhALaDOJL+AAAA4QEA&#10;ABMAAAAAAAAAAAAAAAAAAAAAAFtDb250ZW50X1R5cGVzXS54bWxQSwECLQAUAAYACAAAACEAOP0h&#10;/9YAAACUAQAACwAAAAAAAAAAAAAAAAAvAQAAX3JlbHMvLnJlbHNQSwECLQAUAAYACAAAACEAc1f7&#10;30wCAACLBAAADgAAAAAAAAAAAAAAAAAuAgAAZHJzL2Uyb0RvYy54bWxQSwECLQAUAAYACAAAACEA&#10;penDCdwAAAAHAQAADwAAAAAAAAAAAAAAAACmBAAAZHJzL2Rvd25yZXYueG1sUEsFBgAAAAAEAAQA&#10;8wAAAK8FAAAAAA==&#10;" fillcolor="#f6e265 [3206]" stroked="f" strokeweight=".5pt">
                <v:textbox style="mso-fit-shape-to-text:t" inset="4mm,.8mm,5mm,1mm">
                  <w:txbxContent>
                    <w:p w14:paraId="3B93D89E" w14:textId="1DFFC339" w:rsidR="00361695" w:rsidRPr="00247039" w:rsidRDefault="00DC5F80" w:rsidP="00361695">
                      <w:pPr>
                        <w:pStyle w:val="Date"/>
                        <w:jc w:val="both"/>
                        <w:rPr>
                          <w:b/>
                          <w:bCs/>
                        </w:rPr>
                      </w:pPr>
                      <w:r>
                        <w:rPr>
                          <w:b/>
                          <w:bCs/>
                        </w:rPr>
                        <w:t>11</w:t>
                      </w:r>
                      <w:r w:rsidR="00247039" w:rsidRPr="00247039">
                        <w:rPr>
                          <w:b/>
                          <w:bCs/>
                        </w:rPr>
                        <w:t xml:space="preserve"> </w:t>
                      </w:r>
                      <w:r w:rsidR="00D9193C">
                        <w:rPr>
                          <w:b/>
                          <w:bCs/>
                        </w:rPr>
                        <w:t>August</w:t>
                      </w:r>
                      <w:r w:rsidR="00247039" w:rsidRPr="00247039">
                        <w:rPr>
                          <w:b/>
                          <w:bCs/>
                        </w:rPr>
                        <w:t xml:space="preserve"> 2026</w:t>
                      </w:r>
                    </w:p>
                  </w:txbxContent>
                </v:textbox>
                <w10:wrap anchorx="margin" anchory="page"/>
                <w10:anchorlock/>
              </v:roundrect>
            </w:pict>
          </mc:Fallback>
        </mc:AlternateContent>
      </w:r>
      <w:r w:rsidR="00E13296">
        <w:rPr>
          <w:noProof/>
        </w:rPr>
        <w:drawing>
          <wp:inline distT="0" distB="0" distL="0" distR="0" wp14:anchorId="0C5EC9B5" wp14:editId="14DA8970">
            <wp:extent cx="4227341" cy="738060"/>
            <wp:effectExtent l="0" t="0" r="1905" b="5080"/>
            <wp:docPr id="1499889889" name="Picture 1" descr="Australian Government&#10;ATEC&#10;Australian Tertiary Educatio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89889" name="Picture 1" descr="Australian Government&#10;ATEC&#10;Australian Tertiary Education Commiss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38730" cy="740049"/>
                    </a:xfrm>
                    <a:prstGeom prst="rect">
                      <a:avLst/>
                    </a:prstGeom>
                  </pic:spPr>
                </pic:pic>
              </a:graphicData>
            </a:graphic>
          </wp:inline>
        </w:drawing>
      </w:r>
      <w:r w:rsidRPr="00361695">
        <w:rPr>
          <w:noProof/>
        </w:rPr>
        <w:t xml:space="preserve"> </w:t>
      </w:r>
    </w:p>
    <w:p w14:paraId="1E7B0D13" w14:textId="558F2B2F" w:rsidR="00BC2021" w:rsidRDefault="000F32BD" w:rsidP="00057C60">
      <w:pPr>
        <w:pStyle w:val="Title"/>
      </w:pPr>
      <w:r>
        <w:t>Review of Research Requirements: ‘Australian University Category’</w:t>
      </w:r>
      <w:r w:rsidR="0005768A">
        <w:rPr>
          <w:noProof/>
        </w:rPr>
        <w:drawing>
          <wp:anchor distT="0" distB="0" distL="114300" distR="114300" simplePos="0" relativeHeight="251658240" behindDoc="1" locked="0" layoutInCell="1" allowOverlap="1" wp14:anchorId="37939160" wp14:editId="333CE4C5">
            <wp:simplePos x="0" y="0"/>
            <wp:positionH relativeFrom="page">
              <wp:align>left</wp:align>
            </wp:positionH>
            <wp:positionV relativeFrom="page">
              <wp:align>bottom</wp:align>
            </wp:positionV>
            <wp:extent cx="7560000" cy="6764400"/>
            <wp:effectExtent l="0" t="0" r="3175" b="0"/>
            <wp:wrapNone/>
            <wp:docPr id="206581631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16316"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6764400"/>
                    </a:xfrm>
                    <a:prstGeom prst="rect">
                      <a:avLst/>
                    </a:prstGeom>
                  </pic:spPr>
                </pic:pic>
              </a:graphicData>
            </a:graphic>
            <wp14:sizeRelH relativeFrom="margin">
              <wp14:pctWidth>0</wp14:pctWidth>
            </wp14:sizeRelH>
            <wp14:sizeRelV relativeFrom="margin">
              <wp14:pctHeight>0</wp14:pctHeight>
            </wp14:sizeRelV>
          </wp:anchor>
        </w:drawing>
      </w:r>
    </w:p>
    <w:p w14:paraId="71B14C1E" w14:textId="43EC5120" w:rsidR="00BC2021" w:rsidRDefault="00C648BE" w:rsidP="00057C60">
      <w:pPr>
        <w:pStyle w:val="Subtitle"/>
      </w:pPr>
      <w:r w:rsidRPr="00C648BE">
        <w:t>Higher Education Standards Framework (Threshold Standards)</w:t>
      </w:r>
    </w:p>
    <w:p w14:paraId="39C22046" w14:textId="77777777" w:rsidR="00057C60" w:rsidRPr="00057C60" w:rsidRDefault="00057C60" w:rsidP="00057C60"/>
    <w:p w14:paraId="675CDD31" w14:textId="77777777" w:rsidR="00980347" w:rsidRDefault="00980347" w:rsidP="00057C60">
      <w:pPr>
        <w:pStyle w:val="Title"/>
        <w:sectPr w:rsidR="00980347" w:rsidSect="00FE48F1">
          <w:headerReference w:type="default" r:id="rId14"/>
          <w:footerReference w:type="default" r:id="rId15"/>
          <w:footerReference w:type="first" r:id="rId16"/>
          <w:pgSz w:w="11907" w:h="16839" w:code="9"/>
          <w:pgMar w:top="726" w:right="907" w:bottom="1134" w:left="907" w:header="567" w:footer="805" w:gutter="0"/>
          <w:cols w:space="708"/>
          <w:titlePg/>
          <w:docGrid w:linePitch="360"/>
        </w:sectPr>
      </w:pPr>
    </w:p>
    <w:p w14:paraId="6D2D0255" w14:textId="77777777" w:rsidR="00625F4C" w:rsidRPr="00625F4C" w:rsidRDefault="00625F4C" w:rsidP="00625F4C">
      <w:pPr>
        <w:pStyle w:val="DisclaimerTextinFrame"/>
        <w:framePr w:wrap="around"/>
        <w:spacing w:before="480" w:after="400"/>
      </w:pPr>
      <w:r>
        <w:rPr>
          <w:noProof/>
        </w:rPr>
        <w:lastRenderedPageBreak/>
        <w:drawing>
          <wp:inline distT="0" distB="0" distL="0" distR="0" wp14:anchorId="42212BB0" wp14:editId="0D95DBC7">
            <wp:extent cx="860367" cy="315884"/>
            <wp:effectExtent l="0" t="0" r="0" b="8255"/>
            <wp:docPr id="155335485" name="Picture 8" descr="Creative Comm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5485" name="Picture 8" descr="Creative Commons&#10;"/>
                    <pic:cNvPicPr/>
                  </pic:nvPicPr>
                  <pic:blipFill>
                    <a:blip r:embed="rId17">
                      <a:extLst>
                        <a:ext uri="{28A0092B-C50C-407E-A947-70E740481C1C}">
                          <a14:useLocalDpi xmlns:a14="http://schemas.microsoft.com/office/drawing/2010/main" val="0"/>
                        </a:ext>
                      </a:extLst>
                    </a:blip>
                    <a:stretch>
                      <a:fillRect/>
                    </a:stretch>
                  </pic:blipFill>
                  <pic:spPr>
                    <a:xfrm>
                      <a:off x="0" y="0"/>
                      <a:ext cx="860367" cy="315884"/>
                    </a:xfrm>
                    <a:prstGeom prst="rect">
                      <a:avLst/>
                    </a:prstGeom>
                  </pic:spPr>
                </pic:pic>
              </a:graphicData>
            </a:graphic>
          </wp:inline>
        </w:drawing>
      </w:r>
    </w:p>
    <w:p w14:paraId="72BF5882" w14:textId="77777777" w:rsidR="00625F4C" w:rsidRPr="00625F4C" w:rsidRDefault="00625F4C" w:rsidP="00625F4C">
      <w:pPr>
        <w:pStyle w:val="DisclaimerTextinFrame"/>
        <w:framePr w:wrap="around"/>
      </w:pPr>
      <w:proofErr w:type="gramStart"/>
      <w:r w:rsidRPr="00625F4C">
        <w:t>With the exception of</w:t>
      </w:r>
      <w:proofErr w:type="gramEnd"/>
      <w:r w:rsidRPr="00625F4C">
        <w:t xml:space="preserve"> the Commonwealth Coat of Arms, the </w:t>
      </w:r>
      <w:r w:rsidR="00E13296">
        <w:t>Australian Government</w:t>
      </w:r>
      <w:r w:rsidRPr="00625F4C">
        <w:t xml:space="preserve"> logo, any material protected by a </w:t>
      </w:r>
      <w:proofErr w:type="gramStart"/>
      <w:r w:rsidRPr="00625F4C">
        <w:t>trade mark</w:t>
      </w:r>
      <w:proofErr w:type="gramEnd"/>
      <w:r w:rsidRPr="00625F4C">
        <w:t xml:space="preserve"> and where otherwise noted all material presented in this document is provided under a Creative Commons Attribution 4.0 International (</w:t>
      </w:r>
      <w:hyperlink r:id="rId18" w:history="1">
        <w:r w:rsidRPr="00625F4C">
          <w:t>https://creativecommons.org/licenses/by/4.0/)</w:t>
        </w:r>
      </w:hyperlink>
      <w:r w:rsidRPr="00625F4C">
        <w:t xml:space="preserve"> licence.</w:t>
      </w:r>
    </w:p>
    <w:p w14:paraId="31B36724" w14:textId="77777777" w:rsidR="00625F4C" w:rsidRPr="00625F4C" w:rsidRDefault="00625F4C" w:rsidP="00625F4C">
      <w:pPr>
        <w:pStyle w:val="DisclaimerTextinFrame"/>
        <w:framePr w:wrap="around"/>
      </w:pPr>
      <w:r w:rsidRPr="00625F4C">
        <w:t>The details of the relevant licence conditions are available on the Creative Commons website (accessible using the links provided) as is the full legal code for the CC BY 4.0 International (</w:t>
      </w:r>
      <w:hyperlink r:id="rId19" w:history="1">
        <w:r w:rsidRPr="00625F4C">
          <w:t>https://creativecommons.org/licenses/by/4.0/legalcode</w:t>
        </w:r>
      </w:hyperlink>
      <w:r w:rsidRPr="00625F4C">
        <w:t>)</w:t>
      </w:r>
    </w:p>
    <w:p w14:paraId="4A88A9EB" w14:textId="77777777" w:rsidR="00625F4C" w:rsidRDefault="00625F4C" w:rsidP="00625F4C"/>
    <w:p w14:paraId="77EB6E0A" w14:textId="77777777" w:rsidR="00625F4C" w:rsidRDefault="00625F4C" w:rsidP="00625F4C"/>
    <w:p w14:paraId="1DE97563" w14:textId="77777777" w:rsidR="00625F4C" w:rsidRDefault="00625F4C" w:rsidP="00625F4C">
      <w:pPr>
        <w:sectPr w:rsidR="00625F4C" w:rsidSect="00FE48F1">
          <w:pgSz w:w="11907" w:h="16839" w:code="9"/>
          <w:pgMar w:top="1077" w:right="1134" w:bottom="1134" w:left="1134" w:header="567" w:footer="805" w:gutter="0"/>
          <w:cols w:space="708"/>
          <w:titlePg/>
          <w:docGrid w:linePitch="360"/>
        </w:sectPr>
      </w:pPr>
    </w:p>
    <w:p w14:paraId="3EB49E96" w14:textId="6ED3B5BB" w:rsidR="004E283A" w:rsidRPr="00FA151D" w:rsidRDefault="00904BCF" w:rsidP="00FA151D">
      <w:pPr>
        <w:pStyle w:val="Heading1"/>
      </w:pPr>
      <w:r w:rsidRPr="00FA151D">
        <w:lastRenderedPageBreak/>
        <w:t>Review of Research Requirements</w:t>
      </w:r>
      <w:r w:rsidR="00205FF5" w:rsidRPr="00FA151D">
        <w:t>: ‘Australian University Category’</w:t>
      </w:r>
    </w:p>
    <w:p w14:paraId="3234B7A3" w14:textId="3247C59E" w:rsidR="000115DE" w:rsidRPr="007D62F5" w:rsidRDefault="00B50C0A" w:rsidP="000115DE">
      <w:pPr>
        <w:pStyle w:val="Introduction"/>
        <w:rPr>
          <w:sz w:val="22"/>
          <w:szCs w:val="16"/>
        </w:rPr>
      </w:pPr>
      <w:r w:rsidRPr="007D62F5">
        <w:rPr>
          <w:sz w:val="22"/>
          <w:szCs w:val="16"/>
        </w:rPr>
        <w:t>On 13 May 2026, the Hon Jason Clare MP, Minister for Education, announced the Government would progress the recommendation from the 2025 Ambitious Australia: Strategic Examination of Research and Development Report (SERD Report)1</w:t>
      </w:r>
      <w:r w:rsidR="009578A4">
        <w:rPr>
          <w:rStyle w:val="FootnoteReference"/>
          <w:sz w:val="22"/>
          <w:szCs w:val="16"/>
        </w:rPr>
        <w:footnoteReference w:id="2"/>
      </w:r>
      <w:r w:rsidRPr="007D62F5">
        <w:rPr>
          <w:sz w:val="22"/>
          <w:szCs w:val="16"/>
        </w:rPr>
        <w:t xml:space="preserve"> related to university research specialisation. The Minister for Education subsequently requested advice from the Australian Tertiary Education Commission (ATEC) on whether existing regulatory settings appropriately support research excellence, institutional differentiation and productivity objectives, informed by feedback from across the higher education sector regarding opportunities for greater research specialisation, including the extent to which amendments to the Higher Education Standards Framework (Threshold Standards) may be necessary to support these objectives</w:t>
      </w:r>
      <w:r w:rsidR="000115DE" w:rsidRPr="007D62F5">
        <w:rPr>
          <w:sz w:val="22"/>
          <w:szCs w:val="16"/>
        </w:rPr>
        <w:t>.</w:t>
      </w:r>
    </w:p>
    <w:p w14:paraId="2B75A535" w14:textId="5FFAA3F5" w:rsidR="00144086" w:rsidRPr="00D96685" w:rsidRDefault="00BC6AFA" w:rsidP="006C7FD3">
      <w:pPr>
        <w:pStyle w:val="Heading2"/>
      </w:pPr>
      <w:r>
        <w:t>Purpose</w:t>
      </w:r>
    </w:p>
    <w:p w14:paraId="7129F593" w14:textId="77777777" w:rsidR="00E5021E" w:rsidRDefault="00303004" w:rsidP="0028513C">
      <w:r w:rsidRPr="00303004">
        <w:rPr>
          <w:sz w:val="22"/>
          <w:szCs w:val="22"/>
        </w:rPr>
        <w:t xml:space="preserve">The SERD Report identified that universities may be able to achieve greater research excellence, impact and productivity by concentrating resources and capability in areas of demonstrated strength, rather than maintaining research breadth across a wide range of teaching fields. Further suggesting that this may support stronger institutional </w:t>
      </w:r>
      <w:r w:rsidRPr="00303004">
        <w:rPr>
          <w:sz w:val="24"/>
          <w:szCs w:val="24"/>
        </w:rPr>
        <w:t>differentiation</w:t>
      </w:r>
      <w:r w:rsidRPr="00303004">
        <w:rPr>
          <w:sz w:val="22"/>
          <w:szCs w:val="22"/>
        </w:rPr>
        <w:t>, research scale and strategic investment while maintaining the quality expectations associated with university status. In practice, this could involve replacing or reducing existing breadth-based research requirements with greater focus on demonstrating excellence, scale and sustainability in a smaller number of research fields</w:t>
      </w:r>
      <w:r w:rsidR="0028513C" w:rsidRPr="00303004">
        <w:rPr>
          <w:sz w:val="22"/>
          <w:szCs w:val="22"/>
        </w:rPr>
        <w:t>.</w:t>
      </w:r>
      <w:r w:rsidR="00E5021E" w:rsidRPr="00E5021E">
        <w:t xml:space="preserve"> </w:t>
      </w:r>
    </w:p>
    <w:p w14:paraId="5B4FB68C" w14:textId="71BF02E8" w:rsidR="0028513C" w:rsidRDefault="00E5021E" w:rsidP="0028513C">
      <w:pPr>
        <w:rPr>
          <w:sz w:val="22"/>
          <w:szCs w:val="22"/>
        </w:rPr>
      </w:pPr>
      <w:r w:rsidRPr="00E5021E">
        <w:rPr>
          <w:sz w:val="22"/>
          <w:szCs w:val="22"/>
        </w:rPr>
        <w:t>This paper supports ATEC’s consideration of how different settings may enable a more differentiated, high-quality and sustainable higher education research system, consistent with the Government’s position to progress the SERD recommendation on research specialisation. The purpose is not to test whether research specialisation should occur, but to inform how any potential reform might be designed, sequenced and implemented to provide greater flexibility to build research scale in areas of strength while maintaining research quality, student outcomes and public confidence in the Australian University category. The paper is framed around</w:t>
      </w:r>
      <w:r>
        <w:rPr>
          <w:sz w:val="22"/>
          <w:szCs w:val="22"/>
        </w:rPr>
        <w:t>:</w:t>
      </w:r>
    </w:p>
    <w:p w14:paraId="51D7DDDE" w14:textId="52E199A4" w:rsidR="00E5021E" w:rsidRPr="00E5021E" w:rsidRDefault="00E5021E" w:rsidP="00E5021E">
      <w:pPr>
        <w:pStyle w:val="ListParagraph"/>
        <w:numPr>
          <w:ilvl w:val="0"/>
          <w:numId w:val="16"/>
        </w:numPr>
        <w:rPr>
          <w:sz w:val="22"/>
          <w:szCs w:val="22"/>
        </w:rPr>
      </w:pPr>
      <w:r>
        <w:rPr>
          <w:sz w:val="22"/>
          <w:szCs w:val="22"/>
        </w:rPr>
        <w:t xml:space="preserve">the </w:t>
      </w:r>
      <w:r w:rsidRPr="00E5021E">
        <w:rPr>
          <w:sz w:val="22"/>
          <w:szCs w:val="22"/>
        </w:rPr>
        <w:t xml:space="preserve">policy objective of enabling greater research focus, scale and university differentiation; </w:t>
      </w:r>
    </w:p>
    <w:p w14:paraId="57F12CF5" w14:textId="77777777" w:rsidR="00E5021E" w:rsidRPr="00E5021E" w:rsidRDefault="00E5021E" w:rsidP="00E5021E">
      <w:pPr>
        <w:pStyle w:val="ListParagraph"/>
        <w:numPr>
          <w:ilvl w:val="0"/>
          <w:numId w:val="16"/>
        </w:numPr>
        <w:rPr>
          <w:sz w:val="22"/>
          <w:szCs w:val="22"/>
        </w:rPr>
      </w:pPr>
      <w:r w:rsidRPr="00E5021E">
        <w:rPr>
          <w:sz w:val="22"/>
          <w:szCs w:val="22"/>
        </w:rPr>
        <w:t xml:space="preserve">the tensions between flexibility, research quality, scholarship, and teaching and learning; </w:t>
      </w:r>
    </w:p>
    <w:p w14:paraId="49B5DA7B" w14:textId="77777777" w:rsidR="00E5021E" w:rsidRPr="00E5021E" w:rsidRDefault="00E5021E" w:rsidP="00E5021E">
      <w:pPr>
        <w:pStyle w:val="ListParagraph"/>
        <w:numPr>
          <w:ilvl w:val="0"/>
          <w:numId w:val="16"/>
        </w:numPr>
        <w:rPr>
          <w:sz w:val="22"/>
          <w:szCs w:val="22"/>
        </w:rPr>
      </w:pPr>
      <w:r w:rsidRPr="00E5021E">
        <w:rPr>
          <w:sz w:val="22"/>
          <w:szCs w:val="22"/>
        </w:rPr>
        <w:t xml:space="preserve">how research is currently addressed through the Threshold Standards; and  </w:t>
      </w:r>
    </w:p>
    <w:p w14:paraId="04B4B600" w14:textId="77777777" w:rsidR="00B93A41" w:rsidRDefault="00E5021E" w:rsidP="00E5021E">
      <w:pPr>
        <w:pStyle w:val="ListParagraph"/>
        <w:numPr>
          <w:ilvl w:val="0"/>
          <w:numId w:val="16"/>
        </w:numPr>
        <w:rPr>
          <w:sz w:val="22"/>
          <w:szCs w:val="22"/>
        </w:rPr>
      </w:pPr>
      <w:r w:rsidRPr="00E5021E">
        <w:rPr>
          <w:sz w:val="22"/>
          <w:szCs w:val="22"/>
        </w:rPr>
        <w:t>whether amendments to the Threshold Standards are necessary</w:t>
      </w:r>
      <w:r w:rsidR="00B93A41">
        <w:rPr>
          <w:sz w:val="22"/>
          <w:szCs w:val="22"/>
        </w:rPr>
        <w:t>.</w:t>
      </w:r>
    </w:p>
    <w:p w14:paraId="63ED2DD4" w14:textId="7C813AAB" w:rsidR="00E5021E" w:rsidRPr="00B93A41" w:rsidRDefault="00B93A41" w:rsidP="00B93A41">
      <w:pPr>
        <w:rPr>
          <w:sz w:val="22"/>
          <w:szCs w:val="22"/>
        </w:rPr>
      </w:pPr>
      <w:r w:rsidRPr="00B93A41">
        <w:rPr>
          <w:sz w:val="22"/>
          <w:szCs w:val="22"/>
        </w:rPr>
        <w:t>It also seeks views on how any amendments may be designed and implemented to realise the benefits of reform while mitigating risks</w:t>
      </w:r>
    </w:p>
    <w:p w14:paraId="1C1AFFF7" w14:textId="12A8780C" w:rsidR="00144086" w:rsidRPr="00E72AE2" w:rsidRDefault="00E84438" w:rsidP="002C4FCA">
      <w:pPr>
        <w:pStyle w:val="Heading3"/>
      </w:pPr>
      <w:r>
        <w:t>SERD Report</w:t>
      </w:r>
    </w:p>
    <w:p w14:paraId="62B3592A" w14:textId="454C657B" w:rsidR="004536AC" w:rsidRPr="00E37775" w:rsidRDefault="004536AC" w:rsidP="0028513C">
      <w:pPr>
        <w:rPr>
          <w:sz w:val="22"/>
          <w:szCs w:val="22"/>
        </w:rPr>
      </w:pPr>
      <w:r w:rsidRPr="00E37775">
        <w:rPr>
          <w:sz w:val="22"/>
          <w:szCs w:val="22"/>
        </w:rPr>
        <w:t xml:space="preserve">The Australian Government appointed an independent panel to lead the Strategic Examination of Research and Development (SERD) in 2024. The panel's final report reflects a year-long examination of the challenges and opportunities facing Australia’s research and development </w:t>
      </w:r>
      <w:r w:rsidRPr="00E37775">
        <w:rPr>
          <w:sz w:val="22"/>
          <w:szCs w:val="22"/>
        </w:rPr>
        <w:lastRenderedPageBreak/>
        <w:t xml:space="preserve">system, including how regulatory settings could support institutional diversity, research scale and areas of university research strength. The potential for university specialisation was considered as part of this work, including through the SERD issue </w:t>
      </w:r>
      <w:r w:rsidR="00741418" w:rsidRPr="00E37775">
        <w:rPr>
          <w:sz w:val="22"/>
          <w:szCs w:val="22"/>
        </w:rPr>
        <w:t>paper, </w:t>
      </w:r>
      <w:r w:rsidR="00741418" w:rsidRPr="00FF6078">
        <w:rPr>
          <w:sz w:val="22"/>
          <w:szCs w:val="22"/>
        </w:rPr>
        <w:t>Foundational research: Creating knowledge</w:t>
      </w:r>
      <w:r w:rsidR="00AD0B2C">
        <w:rPr>
          <w:rStyle w:val="FootnoteReference"/>
          <w:i/>
          <w:iCs/>
          <w:sz w:val="22"/>
          <w:szCs w:val="22"/>
        </w:rPr>
        <w:footnoteReference w:id="3"/>
      </w:r>
      <w:r w:rsidR="00741418" w:rsidRPr="00E37775">
        <w:rPr>
          <w:sz w:val="22"/>
          <w:szCs w:val="22"/>
        </w:rPr>
        <w:t>. </w:t>
      </w:r>
    </w:p>
    <w:p w14:paraId="52DA57CF" w14:textId="76CF0B42" w:rsidR="0028513C" w:rsidRDefault="00E37775" w:rsidP="0028513C">
      <w:pPr>
        <w:rPr>
          <w:sz w:val="22"/>
          <w:szCs w:val="22"/>
        </w:rPr>
      </w:pPr>
      <w:r w:rsidRPr="00E37775">
        <w:rPr>
          <w:sz w:val="22"/>
          <w:szCs w:val="22"/>
        </w:rPr>
        <w:t xml:space="preserve">The SERD Report identifies concerns that current research requirements may limit universities’ capacity to focus investment and capability in areas of comparative strength. It recommends reforming registration requirements for research breadth to enable universities to build scale in areas of competitive and comparative advantage. Recommendation 3 is of </w:t>
      </w:r>
      <w:proofErr w:type="gramStart"/>
      <w:r w:rsidRPr="00E37775">
        <w:rPr>
          <w:sz w:val="22"/>
          <w:szCs w:val="22"/>
        </w:rPr>
        <w:t>particular relevance</w:t>
      </w:r>
      <w:proofErr w:type="gramEnd"/>
      <w:r w:rsidRPr="00E37775">
        <w:rPr>
          <w:sz w:val="22"/>
          <w:szCs w:val="22"/>
        </w:rPr>
        <w:t xml:space="preserve"> to this consultation:</w:t>
      </w:r>
    </w:p>
    <w:p w14:paraId="042C998A" w14:textId="727E85CC" w:rsidR="001B67AB" w:rsidRPr="002C4FCA" w:rsidRDefault="001B67AB" w:rsidP="001B67AB">
      <w:pPr>
        <w:ind w:left="720"/>
        <w:rPr>
          <w:iCs/>
          <w:color w:val="auto"/>
          <w:sz w:val="24"/>
          <w:szCs w:val="18"/>
        </w:rPr>
      </w:pPr>
      <w:r w:rsidRPr="00D22C1A">
        <w:rPr>
          <w:i/>
          <w:color w:val="auto"/>
          <w:sz w:val="22"/>
          <w:szCs w:val="22"/>
        </w:rPr>
        <w:t>“Allow universities to achieve research specialisation by reforming registration requirements to reduce the condition for research breadth and enable each to build scale in areas of competitive and comparative advantage.”</w:t>
      </w:r>
      <w:r w:rsidR="00E739F1" w:rsidRPr="00D22C1A">
        <w:rPr>
          <w:color w:val="auto"/>
          <w:sz w:val="22"/>
          <w:szCs w:val="22"/>
          <w:vertAlign w:val="superscript"/>
        </w:rPr>
        <w:footnoteReference w:id="4"/>
      </w:r>
      <w:r w:rsidRPr="002C4FCA">
        <w:rPr>
          <w:iCs/>
          <w:color w:val="auto"/>
          <w:sz w:val="24"/>
          <w:szCs w:val="18"/>
        </w:rPr>
        <w:t>  </w:t>
      </w:r>
    </w:p>
    <w:p w14:paraId="7E1067FF" w14:textId="77777777" w:rsidR="00300EE5" w:rsidRPr="002C4FCA" w:rsidRDefault="00300EE5" w:rsidP="00300EE5">
      <w:pPr>
        <w:rPr>
          <w:color w:val="auto"/>
          <w:sz w:val="22"/>
          <w:szCs w:val="22"/>
        </w:rPr>
      </w:pPr>
      <w:r w:rsidRPr="002C4FCA">
        <w:rPr>
          <w:color w:val="auto"/>
          <w:sz w:val="22"/>
          <w:szCs w:val="22"/>
        </w:rPr>
        <w:t>The SERD Report also recommended an implementation pathway to enable institutional research specialisation: </w:t>
      </w:r>
    </w:p>
    <w:p w14:paraId="5672AFD9" w14:textId="716E66D8" w:rsidR="00300EE5" w:rsidRPr="002C4FCA" w:rsidRDefault="00B00BD7" w:rsidP="00300EE5">
      <w:pPr>
        <w:ind w:left="720"/>
        <w:rPr>
          <w:color w:val="auto"/>
          <w:sz w:val="24"/>
          <w:szCs w:val="24"/>
        </w:rPr>
      </w:pPr>
      <w:r w:rsidRPr="00D22C1A">
        <w:rPr>
          <w:i/>
          <w:color w:val="auto"/>
          <w:sz w:val="22"/>
          <w:szCs w:val="22"/>
        </w:rPr>
        <w:t>“R</w:t>
      </w:r>
      <w:r w:rsidR="00300EE5" w:rsidRPr="00D22C1A">
        <w:rPr>
          <w:i/>
          <w:color w:val="auto"/>
          <w:sz w:val="22"/>
          <w:szCs w:val="22"/>
        </w:rPr>
        <w:t>evise the provider category standards to provide universities the flexibility to undertake excellent research in 3 or more 4-digit Fields of Research (</w:t>
      </w:r>
      <w:proofErr w:type="spellStart"/>
      <w:r w:rsidR="00300EE5" w:rsidRPr="00D22C1A">
        <w:rPr>
          <w:i/>
          <w:color w:val="auto"/>
          <w:sz w:val="22"/>
          <w:szCs w:val="22"/>
        </w:rPr>
        <w:t>FoR</w:t>
      </w:r>
      <w:proofErr w:type="spellEnd"/>
      <w:r w:rsidR="00300EE5" w:rsidRPr="00D22C1A">
        <w:rPr>
          <w:i/>
          <w:color w:val="auto"/>
          <w:sz w:val="22"/>
          <w:szCs w:val="22"/>
        </w:rPr>
        <w:t>) and remove the requirement to undertake research at world standard for 50 per cent of the fields they teach in.”</w:t>
      </w:r>
      <w:r w:rsidR="00300EE5" w:rsidRPr="002C4FCA">
        <w:rPr>
          <w:iCs/>
          <w:color w:val="auto"/>
          <w:sz w:val="24"/>
          <w:szCs w:val="24"/>
        </w:rPr>
        <w:t xml:space="preserve"> </w:t>
      </w:r>
      <w:r w:rsidR="00B13C2C" w:rsidRPr="002C4FCA">
        <w:rPr>
          <w:color w:val="auto"/>
          <w:sz w:val="24"/>
          <w:szCs w:val="24"/>
          <w:vertAlign w:val="superscript"/>
        </w:rPr>
        <w:footnoteReference w:id="5"/>
      </w:r>
      <w:r w:rsidR="00300EE5" w:rsidRPr="002C4FCA">
        <w:rPr>
          <w:color w:val="auto"/>
          <w:sz w:val="24"/>
          <w:szCs w:val="24"/>
        </w:rPr>
        <w:t> </w:t>
      </w:r>
    </w:p>
    <w:p w14:paraId="08D10EBF" w14:textId="7B6C2EE0" w:rsidR="00300EE5" w:rsidRPr="00300EE5" w:rsidRDefault="00300EE5" w:rsidP="00300EE5">
      <w:pPr>
        <w:rPr>
          <w:sz w:val="22"/>
          <w:szCs w:val="22"/>
        </w:rPr>
      </w:pPr>
      <w:r w:rsidRPr="00300EE5">
        <w:rPr>
          <w:sz w:val="22"/>
          <w:szCs w:val="22"/>
        </w:rPr>
        <w:t>The SERD Report proposes a more flexible research framework that would enable universities to pursue greater research specialisation, while maintaining an appropriate research threshold for university status</w:t>
      </w:r>
      <w:r w:rsidR="00567AC0">
        <w:rPr>
          <w:sz w:val="22"/>
          <w:szCs w:val="22"/>
        </w:rPr>
        <w:t>.</w:t>
      </w:r>
    </w:p>
    <w:p w14:paraId="1F640D85" w14:textId="54859567" w:rsidR="00481C84" w:rsidRPr="00E72AE2" w:rsidRDefault="00481C84" w:rsidP="002C4FCA">
      <w:pPr>
        <w:pStyle w:val="Heading3"/>
      </w:pPr>
      <w:r>
        <w:t>Australian Universities Accord Final Report</w:t>
      </w:r>
    </w:p>
    <w:p w14:paraId="0E3FD560" w14:textId="5275CFAA" w:rsidR="00A520B6" w:rsidRPr="005903D3" w:rsidRDefault="00A520B6" w:rsidP="00A520B6">
      <w:pPr>
        <w:rPr>
          <w:iCs/>
          <w:color w:val="00855B"/>
          <w:sz w:val="24"/>
          <w:szCs w:val="24"/>
        </w:rPr>
      </w:pPr>
      <w:r w:rsidRPr="00A520B6">
        <w:rPr>
          <w:sz w:val="22"/>
          <w:szCs w:val="22"/>
        </w:rPr>
        <w:t>The Australian Universities Accord Final Report</w:t>
      </w:r>
      <w:r w:rsidR="002725BF">
        <w:rPr>
          <w:rStyle w:val="FootnoteReference"/>
          <w:sz w:val="22"/>
          <w:szCs w:val="22"/>
        </w:rPr>
        <w:footnoteReference w:id="6"/>
      </w:r>
      <w:r w:rsidRPr="00A520B6">
        <w:rPr>
          <w:sz w:val="22"/>
          <w:szCs w:val="22"/>
        </w:rPr>
        <w:t xml:space="preserve"> (Accord Report) also supported greater institutional differentiation. Recommendation 37(f) identifies possible revisions to the Provider Category Standards, including reinforcing scholarship and engagement in all universities. </w:t>
      </w:r>
      <w:r w:rsidRPr="00C72860">
        <w:rPr>
          <w:sz w:val="22"/>
          <w:szCs w:val="22"/>
        </w:rPr>
        <w:t>Recommendation 37(f)(ii) recommends:</w:t>
      </w:r>
      <w:r w:rsidRPr="005903D3">
        <w:rPr>
          <w:iCs/>
          <w:color w:val="00855B"/>
          <w:sz w:val="24"/>
          <w:szCs w:val="24"/>
        </w:rPr>
        <w:t>   </w:t>
      </w:r>
    </w:p>
    <w:p w14:paraId="41E98164" w14:textId="61084924" w:rsidR="00A520B6" w:rsidRPr="002C4FCA" w:rsidRDefault="00A520B6" w:rsidP="00A520B6">
      <w:pPr>
        <w:ind w:left="720"/>
        <w:rPr>
          <w:iCs/>
          <w:color w:val="auto"/>
          <w:sz w:val="24"/>
          <w:szCs w:val="24"/>
        </w:rPr>
      </w:pPr>
      <w:r w:rsidRPr="00C72860">
        <w:rPr>
          <w:i/>
          <w:color w:val="auto"/>
          <w:sz w:val="22"/>
          <w:szCs w:val="22"/>
        </w:rPr>
        <w:t>“</w:t>
      </w:r>
      <w:proofErr w:type="gramStart"/>
      <w:r w:rsidRPr="00C72860">
        <w:rPr>
          <w:i/>
          <w:color w:val="auto"/>
          <w:sz w:val="22"/>
          <w:szCs w:val="22"/>
        </w:rPr>
        <w:t>consider</w:t>
      </w:r>
      <w:proofErr w:type="gramEnd"/>
      <w:r w:rsidRPr="00C72860">
        <w:rPr>
          <w:i/>
          <w:color w:val="auto"/>
          <w:sz w:val="22"/>
          <w:szCs w:val="22"/>
        </w:rPr>
        <w:t> relaxing the current requirement to meet benchmark levels of research in at least three broad Fields of Education”</w:t>
      </w:r>
      <w:r w:rsidR="000176E7" w:rsidRPr="002C4FCA">
        <w:rPr>
          <w:iCs/>
          <w:color w:val="auto"/>
          <w:sz w:val="24"/>
          <w:szCs w:val="24"/>
        </w:rPr>
        <w:t xml:space="preserve"> </w:t>
      </w:r>
      <w:r w:rsidR="000176E7" w:rsidRPr="002C4FCA">
        <w:rPr>
          <w:color w:val="auto"/>
          <w:sz w:val="24"/>
          <w:szCs w:val="24"/>
          <w:vertAlign w:val="superscript"/>
        </w:rPr>
        <w:footnoteReference w:id="7"/>
      </w:r>
      <w:r w:rsidRPr="002C4FCA">
        <w:rPr>
          <w:iCs/>
          <w:color w:val="auto"/>
          <w:sz w:val="24"/>
          <w:szCs w:val="24"/>
          <w:vertAlign w:val="superscript"/>
        </w:rPr>
        <w:t> </w:t>
      </w:r>
    </w:p>
    <w:p w14:paraId="3615B80A" w14:textId="77777777" w:rsidR="00A520B6" w:rsidRDefault="00A520B6" w:rsidP="00A520B6">
      <w:pPr>
        <w:rPr>
          <w:sz w:val="22"/>
          <w:szCs w:val="22"/>
        </w:rPr>
      </w:pPr>
      <w:r w:rsidRPr="00A520B6">
        <w:rPr>
          <w:sz w:val="22"/>
          <w:szCs w:val="22"/>
        </w:rPr>
        <w:t>The Accord Report suggests a possible recalibration of the breadth requirement to support provider diversity, mission differentiation and research specialisation, while retaining appropriate safeguards for students, scholarship, engagement and public confidence in university status.  </w:t>
      </w:r>
    </w:p>
    <w:p w14:paraId="55AF54E1" w14:textId="77777777" w:rsidR="00BE0945" w:rsidRDefault="00BE0945" w:rsidP="00A520B6">
      <w:pPr>
        <w:rPr>
          <w:sz w:val="22"/>
          <w:szCs w:val="22"/>
        </w:rPr>
      </w:pPr>
    </w:p>
    <w:p w14:paraId="497F2F3D" w14:textId="138433CB" w:rsidR="00825FDF" w:rsidRPr="005903D3" w:rsidRDefault="005E2455" w:rsidP="002C4FCA">
      <w:pPr>
        <w:pStyle w:val="Heading2"/>
      </w:pPr>
      <w:r>
        <w:lastRenderedPageBreak/>
        <w:t xml:space="preserve">Focus of </w:t>
      </w:r>
      <w:r w:rsidR="00FE651E">
        <w:t>c</w:t>
      </w:r>
      <w:r w:rsidR="00825FDF">
        <w:t xml:space="preserve">onsultation </w:t>
      </w:r>
      <w:r w:rsidR="00262457">
        <w:t xml:space="preserve">and reform objectives </w:t>
      </w:r>
    </w:p>
    <w:p w14:paraId="25CDF0C8" w14:textId="77777777" w:rsidR="00437527" w:rsidRPr="00437527" w:rsidRDefault="00437527" w:rsidP="00437527">
      <w:pPr>
        <w:rPr>
          <w:sz w:val="22"/>
          <w:szCs w:val="22"/>
        </w:rPr>
      </w:pPr>
      <w:r w:rsidRPr="00150FD3">
        <w:rPr>
          <w:sz w:val="22"/>
          <w:szCs w:val="22"/>
        </w:rPr>
        <w:t>Australia's research</w:t>
      </w:r>
      <w:r w:rsidRPr="00437527">
        <w:rPr>
          <w:sz w:val="22"/>
          <w:szCs w:val="22"/>
        </w:rPr>
        <w:t xml:space="preserve"> environment has become increasingly competitive, with universities expected to sustain world-class research performance across a growing range of fields while operating within constrained financial and workforce settings. Research infrastructure, specialist facilities, research training capability and highly skilled academic staff all require significant and sustained investment to maintain internationally competitive research performance.</w:t>
      </w:r>
    </w:p>
    <w:p w14:paraId="689AEB6A" w14:textId="77777777" w:rsidR="00437527" w:rsidRPr="00437527" w:rsidRDefault="00437527" w:rsidP="00437527">
      <w:pPr>
        <w:rPr>
          <w:sz w:val="22"/>
          <w:szCs w:val="22"/>
        </w:rPr>
      </w:pPr>
      <w:r w:rsidRPr="00437527">
        <w:rPr>
          <w:sz w:val="22"/>
          <w:szCs w:val="22"/>
        </w:rPr>
        <w:t>Existing research breadth requirements may create incentives for universities to distribute research investment across a larger number of fields than would otherwise align with their strategic strengths. While these arrangements have supported broad research capability, they may inhibit universities from focusing on investment to achieve critical mass and develop globally recognised areas of excellence. This raises questions about whether the current balance between research breadth and research depth remains the most effective mechanism for supporting research quality, impact, productivity and long-term sustainability.</w:t>
      </w:r>
    </w:p>
    <w:p w14:paraId="1A463BA5" w14:textId="1588447D" w:rsidR="00437527" w:rsidRPr="00437527" w:rsidRDefault="00437527" w:rsidP="00437527">
      <w:pPr>
        <w:rPr>
          <w:sz w:val="22"/>
          <w:szCs w:val="22"/>
        </w:rPr>
      </w:pPr>
      <w:r w:rsidRPr="00437527">
        <w:rPr>
          <w:sz w:val="22"/>
          <w:szCs w:val="22"/>
        </w:rPr>
        <w:t xml:space="preserve">Consistent with the Government's </w:t>
      </w:r>
      <w:r w:rsidR="002430CF">
        <w:rPr>
          <w:sz w:val="22"/>
          <w:szCs w:val="22"/>
        </w:rPr>
        <w:t>position</w:t>
      </w:r>
      <w:r w:rsidRPr="00437527">
        <w:rPr>
          <w:sz w:val="22"/>
          <w:szCs w:val="22"/>
        </w:rPr>
        <w:t xml:space="preserve"> to progress the SERD recommendation, this consultation focuses on how reform could be designed and implemented to enhance the research and development system, including how regulatory settings could provide sufficient flexibility for universities to align research activity with their institutional mission, research focus, regional priorities, workforce needs and areas of demonstrated strength. </w:t>
      </w:r>
    </w:p>
    <w:p w14:paraId="136ADF44" w14:textId="77777777" w:rsidR="00437527" w:rsidRPr="00437527" w:rsidRDefault="00437527" w:rsidP="00437527">
      <w:pPr>
        <w:rPr>
          <w:sz w:val="22"/>
          <w:szCs w:val="22"/>
        </w:rPr>
      </w:pPr>
      <w:r w:rsidRPr="00437527">
        <w:rPr>
          <w:sz w:val="22"/>
          <w:szCs w:val="22"/>
        </w:rPr>
        <w:t xml:space="preserve">While the Threshold Standards provide some flexibility for universities to develop a specialised focus, questions have been raised about whether existing breadth-based requirements limit opportunities overall for universities to pursue greater research specialisation. </w:t>
      </w:r>
    </w:p>
    <w:p w14:paraId="246FE96A" w14:textId="745A56EE" w:rsidR="00437527" w:rsidRDefault="00437527" w:rsidP="00437527">
      <w:pPr>
        <w:rPr>
          <w:sz w:val="22"/>
          <w:szCs w:val="22"/>
        </w:rPr>
      </w:pPr>
      <w:r w:rsidRPr="00437527">
        <w:rPr>
          <w:sz w:val="22"/>
          <w:szCs w:val="22"/>
        </w:rPr>
        <w:t>If a specialised model were made available more broadly, what safeguards, design settings and transition arrangements would be needed to ensure universities can demonstrate research depth, scale and sustainability while realising the benefits of reform and mitigating risks.</w:t>
      </w:r>
    </w:p>
    <w:p w14:paraId="37E7BDC5" w14:textId="42A7DD7F" w:rsidR="00971171" w:rsidRPr="00437527" w:rsidRDefault="00971171" w:rsidP="002C4FCA">
      <w:pPr>
        <w:pStyle w:val="Heading3"/>
      </w:pPr>
      <w:r>
        <w:t>Key objectives of proposed reforms</w:t>
      </w:r>
    </w:p>
    <w:p w14:paraId="254D6333" w14:textId="77777777" w:rsidR="0075746B" w:rsidRPr="0058343C" w:rsidRDefault="0075746B" w:rsidP="0075746B">
      <w:pPr>
        <w:rPr>
          <w:sz w:val="22"/>
          <w:szCs w:val="22"/>
        </w:rPr>
      </w:pPr>
      <w:r w:rsidRPr="0058343C">
        <w:rPr>
          <w:sz w:val="22"/>
          <w:szCs w:val="22"/>
        </w:rPr>
        <w:t xml:space="preserve">The SERD Report suggests current settings may favour broad-based university models over specialised approaches that allow universities to build greater depth, scale and capability in areas of comparative advantage. A model that allows universities to choose to specialise could enable them to demonstrate research excellence through greater focus and scale in selected areas, rather than through research breadth across a proportion of teaching fields. </w:t>
      </w:r>
    </w:p>
    <w:p w14:paraId="05927483" w14:textId="77777777" w:rsidR="0058343C" w:rsidRPr="0058343C" w:rsidRDefault="0075746B" w:rsidP="0058343C">
      <w:pPr>
        <w:rPr>
          <w:sz w:val="22"/>
          <w:szCs w:val="22"/>
        </w:rPr>
      </w:pPr>
      <w:r w:rsidRPr="0058343C">
        <w:rPr>
          <w:sz w:val="22"/>
          <w:szCs w:val="22"/>
        </w:rPr>
        <w:t>Potential benefits of a more specialised model may include stronger concentration of expertise, greater research scale and critical mass, more targeted investment in research capability and infrastructure, enhanced collaboration, clearer institutional missions, and improved capacity for universities to build internationally recognised areas of research strength.</w:t>
      </w:r>
      <w:r w:rsidR="0058343C" w:rsidRPr="0058343C">
        <w:rPr>
          <w:sz w:val="22"/>
          <w:szCs w:val="22"/>
        </w:rPr>
        <w:t xml:space="preserve"> </w:t>
      </w:r>
    </w:p>
    <w:p w14:paraId="363B6835" w14:textId="632B0CAF" w:rsidR="0058343C" w:rsidRPr="0058343C" w:rsidRDefault="0058343C" w:rsidP="0058343C">
      <w:pPr>
        <w:rPr>
          <w:sz w:val="22"/>
          <w:szCs w:val="22"/>
        </w:rPr>
      </w:pPr>
      <w:r w:rsidRPr="0058343C">
        <w:rPr>
          <w:sz w:val="22"/>
          <w:szCs w:val="22"/>
        </w:rPr>
        <w:t>A specialised approach would need to be accompanied by higher expectations regarding research quality, capability and sustainability in the nominated fields of research. The intent would not be to lower research expectations, but to enable universities to demonstrate research excellence through stronger capability, sustainability and performance in their nominated areas of research. It would also preserve institutional autonomy by allowing universities to determine their own research priorities and investment decisions, consistent with their mission and strategic objectives.</w:t>
      </w:r>
    </w:p>
    <w:p w14:paraId="2019968B" w14:textId="77777777" w:rsidR="0058343C" w:rsidRPr="0058343C" w:rsidRDefault="0058343C" w:rsidP="0058343C">
      <w:pPr>
        <w:rPr>
          <w:sz w:val="22"/>
          <w:szCs w:val="22"/>
        </w:rPr>
      </w:pPr>
      <w:r w:rsidRPr="0058343C">
        <w:rPr>
          <w:sz w:val="22"/>
          <w:szCs w:val="22"/>
        </w:rPr>
        <w:t xml:space="preserve">To support confidence in a more specialised model, any revised approach would need to be capable of clear and consistent regulatory assessment. This includes how research excellence, capability, and sustainability would be defined, measured and evidenced across universities with </w:t>
      </w:r>
      <w:r w:rsidRPr="0058343C">
        <w:rPr>
          <w:sz w:val="22"/>
          <w:szCs w:val="22"/>
        </w:rPr>
        <w:lastRenderedPageBreak/>
        <w:t>different research profiles. A key consideration is whether any changes to the Threshold Standards can provide greater flexibility for research specialisation while maintaining confidence in the quality and integrity of the Australian university sector. It is equally important to examine whether a more focused research requirement could affect other aspects of a university’s mission, including its ability to sustain research capability and areas of research strength over time.</w:t>
      </w:r>
    </w:p>
    <w:p w14:paraId="10B10B72" w14:textId="77777777" w:rsidR="0058343C" w:rsidRPr="0058343C" w:rsidRDefault="0058343C" w:rsidP="0058343C">
      <w:pPr>
        <w:rPr>
          <w:sz w:val="22"/>
          <w:szCs w:val="22"/>
        </w:rPr>
      </w:pPr>
      <w:r w:rsidRPr="0058343C">
        <w:rPr>
          <w:sz w:val="22"/>
          <w:szCs w:val="22"/>
        </w:rPr>
        <w:t xml:space="preserve">Reform would also need to maintain clarity in the Australian University category and distinguish appropriately between provider categories. This would require universities to demonstrate coherent and sustainable research strategies, sufficient research-active staff, appropriate infrastructure, governance, research integrity, and a research environment that supports research training, supervision and academic leadership. </w:t>
      </w:r>
    </w:p>
    <w:p w14:paraId="355A5826" w14:textId="7310C9AF" w:rsidR="0075746B" w:rsidRDefault="0058343C" w:rsidP="0058343C">
      <w:pPr>
        <w:rPr>
          <w:sz w:val="22"/>
          <w:szCs w:val="22"/>
        </w:rPr>
      </w:pPr>
      <w:r w:rsidRPr="0058343C">
        <w:rPr>
          <w:sz w:val="22"/>
          <w:szCs w:val="22"/>
        </w:rPr>
        <w:t>Ultimately decisions about institutional mission, research focus and investment remain matters for universities themselves, consistent with principles of institutional autonomy and academic freedom. Reforms to the research requirements should preserve institutional autonomy while providing greater flexibility for universities to pursue their distinct missions and strengths.</w:t>
      </w:r>
    </w:p>
    <w:p w14:paraId="4ED969AA" w14:textId="7B11C739" w:rsidR="0058343C" w:rsidRDefault="0058343C" w:rsidP="002C4FCA">
      <w:pPr>
        <w:pStyle w:val="Heading3"/>
      </w:pPr>
      <w:r>
        <w:t xml:space="preserve">Research productivity and system performance </w:t>
      </w:r>
    </w:p>
    <w:p w14:paraId="67F8E528" w14:textId="77777777" w:rsidR="008A2FBD" w:rsidRPr="00FD4FD0" w:rsidRDefault="008A2FBD" w:rsidP="008A2FBD">
      <w:pPr>
        <w:rPr>
          <w:rFonts w:ascii="Arial" w:eastAsia="Arial" w:hAnsi="Arial" w:cs="Arial"/>
          <w:sz w:val="22"/>
          <w:szCs w:val="22"/>
        </w:rPr>
      </w:pPr>
      <w:r w:rsidRPr="00FD4FD0">
        <w:rPr>
          <w:rFonts w:ascii="Arial" w:eastAsia="Arial" w:hAnsi="Arial" w:cs="Arial"/>
          <w:sz w:val="22"/>
          <w:szCs w:val="22"/>
        </w:rPr>
        <w:t>Research productivity is a key consideration in assessing whether greater research specialisation could improve system performance. Concentrating research capability in areas of demonstrated strength may enable universities to reduce fragmentation of investment and maximise the return on investment in research infrastructure and capability development.</w:t>
      </w:r>
      <w:r w:rsidRPr="008527A7">
        <w:t xml:space="preserve"> </w:t>
      </w:r>
      <w:r w:rsidRPr="008527A7">
        <w:rPr>
          <w:rFonts w:ascii="Arial" w:eastAsia="Arial" w:hAnsi="Arial" w:cs="Arial"/>
          <w:sz w:val="22"/>
          <w:szCs w:val="22"/>
        </w:rPr>
        <w:t xml:space="preserve">This has the potential to deliver broader national benefits through a more coherent and productive research system, </w:t>
      </w:r>
      <w:r>
        <w:rPr>
          <w:rFonts w:ascii="Arial" w:eastAsia="Arial" w:hAnsi="Arial" w:cs="Arial"/>
          <w:sz w:val="22"/>
          <w:szCs w:val="22"/>
        </w:rPr>
        <w:t xml:space="preserve">which </w:t>
      </w:r>
      <w:r w:rsidRPr="008527A7">
        <w:rPr>
          <w:rFonts w:ascii="Arial" w:eastAsia="Arial" w:hAnsi="Arial" w:cs="Arial"/>
          <w:sz w:val="22"/>
          <w:szCs w:val="22"/>
        </w:rPr>
        <w:t>align</w:t>
      </w:r>
      <w:r>
        <w:rPr>
          <w:rFonts w:ascii="Arial" w:eastAsia="Arial" w:hAnsi="Arial" w:cs="Arial"/>
          <w:sz w:val="22"/>
          <w:szCs w:val="22"/>
        </w:rPr>
        <w:t>s</w:t>
      </w:r>
      <w:r w:rsidRPr="008527A7">
        <w:rPr>
          <w:rFonts w:ascii="Arial" w:eastAsia="Arial" w:hAnsi="Arial" w:cs="Arial"/>
          <w:sz w:val="22"/>
          <w:szCs w:val="22"/>
        </w:rPr>
        <w:t xml:space="preserve"> </w:t>
      </w:r>
      <w:r>
        <w:rPr>
          <w:rFonts w:ascii="Arial" w:eastAsia="Arial" w:hAnsi="Arial" w:cs="Arial"/>
          <w:sz w:val="22"/>
          <w:szCs w:val="22"/>
        </w:rPr>
        <w:t xml:space="preserve">national </w:t>
      </w:r>
      <w:r w:rsidRPr="008527A7">
        <w:rPr>
          <w:rFonts w:ascii="Arial" w:eastAsia="Arial" w:hAnsi="Arial" w:cs="Arial"/>
          <w:sz w:val="22"/>
          <w:szCs w:val="22"/>
        </w:rPr>
        <w:t xml:space="preserve">investment with areas of comparative advantage, </w:t>
      </w:r>
      <w:r>
        <w:rPr>
          <w:rFonts w:ascii="Arial" w:eastAsia="Arial" w:hAnsi="Arial" w:cs="Arial"/>
          <w:sz w:val="22"/>
          <w:szCs w:val="22"/>
        </w:rPr>
        <w:t>to</w:t>
      </w:r>
      <w:r w:rsidRPr="008527A7">
        <w:rPr>
          <w:rFonts w:ascii="Arial" w:eastAsia="Arial" w:hAnsi="Arial" w:cs="Arial"/>
          <w:sz w:val="22"/>
          <w:szCs w:val="22"/>
        </w:rPr>
        <w:t xml:space="preserve"> </w:t>
      </w:r>
      <w:r>
        <w:rPr>
          <w:rFonts w:ascii="Arial" w:eastAsia="Arial" w:hAnsi="Arial" w:cs="Arial"/>
          <w:sz w:val="22"/>
          <w:szCs w:val="22"/>
        </w:rPr>
        <w:t xml:space="preserve">achieve </w:t>
      </w:r>
      <w:r w:rsidRPr="008527A7">
        <w:rPr>
          <w:rFonts w:ascii="Arial" w:eastAsia="Arial" w:hAnsi="Arial" w:cs="Arial"/>
          <w:sz w:val="22"/>
          <w:szCs w:val="22"/>
        </w:rPr>
        <w:t>stronger research outcomes for the economy and community.</w:t>
      </w:r>
    </w:p>
    <w:p w14:paraId="527C185B" w14:textId="77777777" w:rsidR="008A2FBD" w:rsidRPr="00FD4FD0" w:rsidRDefault="008A2FBD" w:rsidP="008A2FBD">
      <w:pPr>
        <w:rPr>
          <w:rFonts w:ascii="Arial" w:eastAsia="Arial" w:hAnsi="Arial" w:cs="Arial"/>
          <w:sz w:val="22"/>
          <w:szCs w:val="22"/>
        </w:rPr>
      </w:pPr>
      <w:r w:rsidRPr="00FD4FD0">
        <w:rPr>
          <w:rFonts w:ascii="Arial" w:eastAsia="Arial" w:hAnsi="Arial" w:cs="Arial"/>
          <w:sz w:val="22"/>
          <w:szCs w:val="22"/>
        </w:rPr>
        <w:t>Greater concentration of expertise may also create opportunities for stronger collaboration with industry, government and international partners, support participation in large-scale research initiatives, and improve the capacity of universities to translate research into economic, social and environmental outcomes. At the same time, any productivity benefits would need to be balanced against broader objectives relating to capability, teaching and learning, student opportunity and the long-term resilience of the national research system.</w:t>
      </w:r>
    </w:p>
    <w:p w14:paraId="5C1A7784" w14:textId="12CDF535" w:rsidR="0058343C" w:rsidRDefault="008A2FBD" w:rsidP="002C4FCA">
      <w:pPr>
        <w:pStyle w:val="Heading3"/>
      </w:pPr>
      <w:r>
        <w:t xml:space="preserve">Current settings </w:t>
      </w:r>
    </w:p>
    <w:p w14:paraId="050F672D" w14:textId="2D7E3A6B" w:rsidR="008F1648" w:rsidRDefault="008F1648" w:rsidP="008F1648">
      <w:pPr>
        <w:rPr>
          <w:rFonts w:ascii="Arial" w:eastAsia="Arial" w:hAnsi="Arial" w:cs="Arial"/>
          <w:sz w:val="22"/>
          <w:szCs w:val="22"/>
        </w:rPr>
      </w:pPr>
      <w:r w:rsidRPr="1F6DA542">
        <w:rPr>
          <w:rFonts w:ascii="Arial" w:eastAsia="Arial" w:hAnsi="Arial" w:cs="Arial"/>
          <w:sz w:val="22"/>
          <w:szCs w:val="22"/>
        </w:rPr>
        <w:t xml:space="preserve">The Threshold Standards set the minimum requirements </w:t>
      </w:r>
      <w:r w:rsidRPr="00B654A9">
        <w:rPr>
          <w:rFonts w:ascii="Arial" w:hAnsi="Arial" w:cs="Arial"/>
          <w:sz w:val="22"/>
          <w:szCs w:val="22"/>
        </w:rPr>
        <w:t>for</w:t>
      </w:r>
      <w:r w:rsidRPr="1F6DA542">
        <w:rPr>
          <w:rFonts w:ascii="Arial" w:eastAsia="Arial" w:hAnsi="Arial" w:cs="Arial"/>
          <w:sz w:val="22"/>
          <w:szCs w:val="22"/>
        </w:rPr>
        <w:t xml:space="preserve"> higher education providers</w:t>
      </w:r>
      <w:r>
        <w:rPr>
          <w:rFonts w:ascii="Arial" w:eastAsia="Arial" w:hAnsi="Arial" w:cs="Arial"/>
          <w:sz w:val="22"/>
          <w:szCs w:val="22"/>
        </w:rPr>
        <w:t xml:space="preserve">, including the criteria that distinguish </w:t>
      </w:r>
      <w:r w:rsidRPr="00B654A9">
        <w:rPr>
          <w:rFonts w:ascii="Arial" w:hAnsi="Arial" w:cs="Arial"/>
          <w:sz w:val="22"/>
          <w:szCs w:val="22"/>
        </w:rPr>
        <w:t xml:space="preserve">the </w:t>
      </w:r>
      <w:r>
        <w:rPr>
          <w:rFonts w:ascii="Arial" w:eastAsia="Arial" w:hAnsi="Arial" w:cs="Arial"/>
          <w:sz w:val="22"/>
          <w:szCs w:val="22"/>
        </w:rPr>
        <w:t>Australian University category from other provider categories.</w:t>
      </w:r>
      <w:r w:rsidRPr="00D8686E">
        <w:t xml:space="preserve"> </w:t>
      </w:r>
      <w:r w:rsidRPr="00D8686E">
        <w:rPr>
          <w:rFonts w:ascii="Arial" w:eastAsia="Arial" w:hAnsi="Arial" w:cs="Arial"/>
          <w:sz w:val="22"/>
          <w:szCs w:val="22"/>
        </w:rPr>
        <w:t>The Tertiary Education Quality and Standards Agency (TEQSA) assess whether providers meet these requirements.</w:t>
      </w:r>
      <w:r w:rsidRPr="1F6DA542">
        <w:rPr>
          <w:rFonts w:ascii="Arial" w:eastAsia="Arial" w:hAnsi="Arial" w:cs="Arial"/>
          <w:sz w:val="22"/>
          <w:szCs w:val="22"/>
        </w:rPr>
        <w:t xml:space="preserve"> </w:t>
      </w:r>
      <w:r>
        <w:rPr>
          <w:rFonts w:ascii="Arial" w:eastAsia="Arial" w:hAnsi="Arial" w:cs="Arial"/>
          <w:sz w:val="22"/>
          <w:szCs w:val="22"/>
        </w:rPr>
        <w:t>To be registered in the</w:t>
      </w:r>
      <w:r w:rsidRPr="1F6DA542">
        <w:rPr>
          <w:rFonts w:ascii="Arial" w:eastAsia="Arial" w:hAnsi="Arial" w:cs="Arial"/>
          <w:sz w:val="22"/>
          <w:szCs w:val="22"/>
        </w:rPr>
        <w:t>in the Australian University category</w:t>
      </w:r>
      <w:r>
        <w:rPr>
          <w:rFonts w:ascii="Arial" w:eastAsia="Arial" w:hAnsi="Arial" w:cs="Arial"/>
          <w:sz w:val="22"/>
          <w:szCs w:val="22"/>
        </w:rPr>
        <w:t>, providers</w:t>
      </w:r>
      <w:r w:rsidRPr="1F6DA542">
        <w:rPr>
          <w:rFonts w:ascii="Arial" w:eastAsia="Arial" w:hAnsi="Arial" w:cs="Arial"/>
          <w:sz w:val="22"/>
          <w:szCs w:val="22"/>
        </w:rPr>
        <w:t xml:space="preserve"> </w:t>
      </w:r>
      <w:r>
        <w:rPr>
          <w:rFonts w:ascii="Arial" w:eastAsia="Arial" w:hAnsi="Arial" w:cs="Arial"/>
          <w:sz w:val="22"/>
          <w:szCs w:val="22"/>
        </w:rPr>
        <w:t xml:space="preserve">must </w:t>
      </w:r>
      <w:r w:rsidRPr="1F6DA542">
        <w:rPr>
          <w:rFonts w:ascii="Arial" w:eastAsia="Arial" w:hAnsi="Arial" w:cs="Arial"/>
          <w:sz w:val="22"/>
          <w:szCs w:val="22"/>
        </w:rPr>
        <w:t>demonstrate an appropriate level of academic standing, research capability and institutional maturity. Under the current Part B settings, an Australian University is required to undertake world</w:t>
      </w:r>
      <w:r>
        <w:rPr>
          <w:rFonts w:ascii="Arial" w:eastAsia="Arial" w:hAnsi="Arial" w:cs="Arial"/>
          <w:sz w:val="22"/>
          <w:szCs w:val="22"/>
        </w:rPr>
        <w:t>-</w:t>
      </w:r>
      <w:r w:rsidRPr="1F6DA542">
        <w:rPr>
          <w:rFonts w:ascii="Arial" w:eastAsia="Arial" w:hAnsi="Arial" w:cs="Arial"/>
          <w:sz w:val="22"/>
          <w:szCs w:val="22"/>
        </w:rPr>
        <w:t>standard research in</w:t>
      </w:r>
      <w:r>
        <w:rPr>
          <w:rFonts w:ascii="Arial" w:eastAsia="Arial" w:hAnsi="Arial" w:cs="Arial"/>
          <w:sz w:val="22"/>
          <w:szCs w:val="22"/>
        </w:rPr>
        <w:t>:</w:t>
      </w:r>
    </w:p>
    <w:p w14:paraId="397D7525" w14:textId="1766B231" w:rsidR="00CB5DCB" w:rsidRPr="009A1715" w:rsidRDefault="00CB5DCB" w:rsidP="0080011E">
      <w:pPr>
        <w:numPr>
          <w:ilvl w:val="0"/>
          <w:numId w:val="17"/>
        </w:numPr>
        <w:spacing w:before="0" w:after="0" w:line="240" w:lineRule="auto"/>
        <w:ind w:left="426"/>
        <w:rPr>
          <w:rFonts w:ascii="Arial" w:eastAsia="Arial" w:hAnsi="Arial" w:cs="Arial"/>
          <w:sz w:val="22"/>
          <w:szCs w:val="22"/>
        </w:rPr>
      </w:pPr>
      <w:r w:rsidRPr="1F6DA542">
        <w:rPr>
          <w:rFonts w:ascii="Arial" w:eastAsia="Arial" w:hAnsi="Arial" w:cs="Arial"/>
          <w:sz w:val="22"/>
          <w:szCs w:val="22"/>
        </w:rPr>
        <w:t>at least 50 per cent of the 2-digit Fields of Education</w:t>
      </w:r>
      <w:r w:rsidR="00B6357D">
        <w:rPr>
          <w:rStyle w:val="FootnoteReference"/>
          <w:rFonts w:ascii="Arial" w:eastAsia="Arial" w:hAnsi="Arial" w:cs="Arial"/>
          <w:sz w:val="22"/>
          <w:szCs w:val="22"/>
        </w:rPr>
        <w:footnoteReference w:id="8"/>
      </w:r>
      <w:r w:rsidRPr="1F6DA542">
        <w:rPr>
          <w:rFonts w:ascii="Arial" w:eastAsia="Arial" w:hAnsi="Arial" w:cs="Arial"/>
          <w:sz w:val="22"/>
          <w:szCs w:val="22"/>
        </w:rPr>
        <w:t xml:space="preserve"> (</w:t>
      </w:r>
      <w:proofErr w:type="spellStart"/>
      <w:r w:rsidRPr="1F6DA542">
        <w:rPr>
          <w:rFonts w:ascii="Arial" w:eastAsia="Arial" w:hAnsi="Arial" w:cs="Arial"/>
          <w:sz w:val="22"/>
          <w:szCs w:val="22"/>
        </w:rPr>
        <w:t>FoE</w:t>
      </w:r>
      <w:proofErr w:type="spellEnd"/>
      <w:r w:rsidRPr="1F6DA542">
        <w:rPr>
          <w:rFonts w:ascii="Arial" w:eastAsia="Arial" w:hAnsi="Arial" w:cs="Arial"/>
          <w:sz w:val="22"/>
          <w:szCs w:val="22"/>
        </w:rPr>
        <w:t>) in which they deliver courses, or</w:t>
      </w:r>
    </w:p>
    <w:p w14:paraId="1D03E4A2" w14:textId="77777777" w:rsidR="00CB5DCB" w:rsidRPr="009A1715" w:rsidRDefault="00CB5DCB" w:rsidP="0080011E">
      <w:pPr>
        <w:numPr>
          <w:ilvl w:val="0"/>
          <w:numId w:val="17"/>
        </w:numPr>
        <w:spacing w:before="0" w:line="240" w:lineRule="auto"/>
        <w:ind w:left="426"/>
        <w:rPr>
          <w:rFonts w:ascii="Arial" w:eastAsia="Arial" w:hAnsi="Arial" w:cs="Arial"/>
          <w:sz w:val="22"/>
          <w:szCs w:val="22"/>
        </w:rPr>
      </w:pPr>
      <w:r w:rsidRPr="1F6DA542">
        <w:rPr>
          <w:rFonts w:ascii="Arial" w:eastAsia="Arial" w:hAnsi="Arial" w:cs="Arial"/>
          <w:sz w:val="22"/>
          <w:szCs w:val="22"/>
        </w:rPr>
        <w:t xml:space="preserve">a minimum of three broad </w:t>
      </w:r>
      <w:proofErr w:type="spellStart"/>
      <w:r w:rsidRPr="1F6DA542">
        <w:rPr>
          <w:rFonts w:ascii="Arial" w:eastAsia="Arial" w:hAnsi="Arial" w:cs="Arial"/>
          <w:sz w:val="22"/>
          <w:szCs w:val="22"/>
        </w:rPr>
        <w:t>FoE</w:t>
      </w:r>
      <w:proofErr w:type="spellEnd"/>
      <w:r w:rsidRPr="1F6DA542">
        <w:rPr>
          <w:rFonts w:ascii="Arial" w:eastAsia="Arial" w:hAnsi="Arial" w:cs="Arial"/>
          <w:sz w:val="22"/>
          <w:szCs w:val="22"/>
        </w:rPr>
        <w:t>, whichever is greater.</w:t>
      </w:r>
    </w:p>
    <w:p w14:paraId="6BAA239A" w14:textId="059292D4" w:rsidR="008F1648" w:rsidRPr="00DC12E2" w:rsidRDefault="00E73214" w:rsidP="00E73214">
      <w:pPr>
        <w:rPr>
          <w:sz w:val="22"/>
          <w:szCs w:val="22"/>
        </w:rPr>
      </w:pPr>
      <w:r w:rsidRPr="00DC12E2">
        <w:rPr>
          <w:sz w:val="22"/>
          <w:szCs w:val="22"/>
        </w:rPr>
        <w:lastRenderedPageBreak/>
        <w:t xml:space="preserve">Universities with a specialised focus must demonstrate research at the required standard in all </w:t>
      </w:r>
      <w:proofErr w:type="spellStart"/>
      <w:r w:rsidRPr="00DC12E2">
        <w:rPr>
          <w:sz w:val="22"/>
          <w:szCs w:val="22"/>
        </w:rPr>
        <w:t>FoE</w:t>
      </w:r>
      <w:proofErr w:type="spellEnd"/>
      <w:r w:rsidRPr="00DC12E2">
        <w:rPr>
          <w:sz w:val="22"/>
          <w:szCs w:val="22"/>
        </w:rPr>
        <w:t xml:space="preserve"> in which they exercise self</w:t>
      </w:r>
      <w:r w:rsidRPr="00DC12E2">
        <w:rPr>
          <w:rFonts w:ascii="Cambria Math" w:hAnsi="Cambria Math" w:cs="Cambria Math"/>
          <w:sz w:val="22"/>
          <w:szCs w:val="22"/>
        </w:rPr>
        <w:t>‑</w:t>
      </w:r>
      <w:r w:rsidRPr="00DC12E2">
        <w:rPr>
          <w:sz w:val="22"/>
          <w:szCs w:val="22"/>
        </w:rPr>
        <w:t>accrediting authority, rather than a proportion of fields as applies to universities with a non-specialised focus.</w:t>
      </w:r>
    </w:p>
    <w:p w14:paraId="1E871216" w14:textId="33D696C6" w:rsidR="009C6384" w:rsidRDefault="00DC12E2" w:rsidP="009C6384">
      <w:pPr>
        <w:rPr>
          <w:sz w:val="22"/>
          <w:szCs w:val="22"/>
        </w:rPr>
      </w:pPr>
      <w:r w:rsidRPr="00DC12E2">
        <w:rPr>
          <w:sz w:val="22"/>
          <w:szCs w:val="22"/>
        </w:rPr>
        <w:t>Fields of Education (</w:t>
      </w:r>
      <w:proofErr w:type="spellStart"/>
      <w:r w:rsidRPr="00DC12E2">
        <w:rPr>
          <w:sz w:val="22"/>
          <w:szCs w:val="22"/>
        </w:rPr>
        <w:t>FoE</w:t>
      </w:r>
      <w:proofErr w:type="spellEnd"/>
      <w:r w:rsidRPr="00DC12E2">
        <w:rPr>
          <w:sz w:val="22"/>
          <w:szCs w:val="22"/>
        </w:rPr>
        <w:t>) and Fields of Research</w:t>
      </w:r>
      <w:r w:rsidR="00D53A60">
        <w:rPr>
          <w:rStyle w:val="FootnoteReference"/>
          <w:sz w:val="22"/>
          <w:szCs w:val="22"/>
        </w:rPr>
        <w:footnoteReference w:id="9"/>
      </w:r>
      <w:r w:rsidRPr="00DC12E2">
        <w:rPr>
          <w:sz w:val="22"/>
          <w:szCs w:val="22"/>
        </w:rPr>
        <w:t xml:space="preserve"> (</w:t>
      </w:r>
      <w:proofErr w:type="spellStart"/>
      <w:r w:rsidRPr="00DC12E2">
        <w:rPr>
          <w:sz w:val="22"/>
          <w:szCs w:val="22"/>
        </w:rPr>
        <w:t>FoR</w:t>
      </w:r>
      <w:proofErr w:type="spellEnd"/>
      <w:r w:rsidRPr="00DC12E2">
        <w:rPr>
          <w:sz w:val="22"/>
          <w:szCs w:val="22"/>
        </w:rPr>
        <w:t xml:space="preserve">) are classification frameworks used to describe, respectively, the areas in which higher education courses are taught and the disciplinary areas in which research is conducted. </w:t>
      </w:r>
      <w:proofErr w:type="spellStart"/>
      <w:r w:rsidRPr="00DC12E2">
        <w:rPr>
          <w:sz w:val="22"/>
          <w:szCs w:val="22"/>
        </w:rPr>
        <w:t>FoE</w:t>
      </w:r>
      <w:proofErr w:type="spellEnd"/>
      <w:r w:rsidRPr="00DC12E2">
        <w:rPr>
          <w:sz w:val="22"/>
          <w:szCs w:val="22"/>
        </w:rPr>
        <w:t xml:space="preserve"> classifications relate to teaching and course delivery, while </w:t>
      </w:r>
      <w:proofErr w:type="spellStart"/>
      <w:proofErr w:type="gramStart"/>
      <w:r w:rsidRPr="00DC12E2">
        <w:rPr>
          <w:sz w:val="22"/>
          <w:szCs w:val="22"/>
        </w:rPr>
        <w:t>FoR</w:t>
      </w:r>
      <w:proofErr w:type="spellEnd"/>
      <w:proofErr w:type="gramEnd"/>
      <w:r w:rsidRPr="00DC12E2">
        <w:rPr>
          <w:sz w:val="22"/>
          <w:szCs w:val="22"/>
        </w:rPr>
        <w:t xml:space="preserve"> classifications are used to categorise research activity and research outputs according to the field of research. Both are used in the Australian and New Zealand Standard Research Classification (ANZSRC)</w:t>
      </w:r>
      <w:r w:rsidR="00A50667">
        <w:rPr>
          <w:rStyle w:val="FootnoteReference"/>
          <w:sz w:val="22"/>
          <w:szCs w:val="22"/>
        </w:rPr>
        <w:footnoteReference w:id="10"/>
      </w:r>
      <w:r w:rsidRPr="00DC12E2">
        <w:rPr>
          <w:sz w:val="22"/>
          <w:szCs w:val="22"/>
        </w:rPr>
        <w:t xml:space="preserve"> and are referred to in the Threshold Standards to assess the relationship between a provider’s teaching profile and its research capability.</w:t>
      </w:r>
      <w:r w:rsidR="00721AB1">
        <w:rPr>
          <w:rStyle w:val="FootnoteReference"/>
          <w:sz w:val="22"/>
          <w:szCs w:val="22"/>
        </w:rPr>
        <w:footnoteReference w:id="11"/>
      </w:r>
      <w:r w:rsidRPr="00DC12E2">
        <w:rPr>
          <w:sz w:val="22"/>
          <w:szCs w:val="22"/>
        </w:rPr>
        <w:t xml:space="preserve">   </w:t>
      </w:r>
    </w:p>
    <w:p w14:paraId="42D23D75" w14:textId="77777777" w:rsidR="00D22E92" w:rsidRPr="009D6D2E" w:rsidRDefault="00D22E92" w:rsidP="00D22E92">
      <w:pPr>
        <w:rPr>
          <w:rFonts w:ascii="Arial" w:eastAsia="Arial" w:hAnsi="Arial" w:cs="Arial"/>
          <w:sz w:val="22"/>
          <w:szCs w:val="22"/>
        </w:rPr>
      </w:pPr>
      <w:r w:rsidRPr="009D6D2E">
        <w:rPr>
          <w:rFonts w:ascii="Arial" w:eastAsia="Arial" w:hAnsi="Arial" w:cs="Arial"/>
          <w:sz w:val="22"/>
          <w:szCs w:val="22"/>
        </w:rPr>
        <w:t>Collectively, these settings are intended to ensure:</w:t>
      </w:r>
    </w:p>
    <w:p w14:paraId="168C84FA" w14:textId="6F4A4E44" w:rsidR="00D22E92" w:rsidRPr="009D6D2E" w:rsidRDefault="00D22E92" w:rsidP="004772F0">
      <w:pPr>
        <w:numPr>
          <w:ilvl w:val="0"/>
          <w:numId w:val="18"/>
        </w:numPr>
        <w:tabs>
          <w:tab w:val="clear" w:pos="1080"/>
        </w:tabs>
        <w:spacing w:before="0" w:after="0" w:line="240" w:lineRule="auto"/>
        <w:ind w:left="426"/>
        <w:rPr>
          <w:rFonts w:ascii="Arial" w:eastAsia="Arial" w:hAnsi="Arial" w:cs="Arial"/>
          <w:sz w:val="22"/>
          <w:szCs w:val="22"/>
        </w:rPr>
      </w:pPr>
      <w:r w:rsidRPr="009D6D2E">
        <w:rPr>
          <w:rFonts w:ascii="Arial" w:eastAsia="Arial" w:hAnsi="Arial" w:cs="Arial"/>
          <w:sz w:val="22"/>
          <w:szCs w:val="22"/>
        </w:rPr>
        <w:t>sufficient breadth and depth of research capability</w:t>
      </w:r>
      <w:r w:rsidR="00A1148A">
        <w:rPr>
          <w:rFonts w:ascii="Arial" w:eastAsia="Arial" w:hAnsi="Arial" w:cs="Arial"/>
          <w:sz w:val="22"/>
          <w:szCs w:val="22"/>
        </w:rPr>
        <w:t>;</w:t>
      </w:r>
    </w:p>
    <w:p w14:paraId="27D62BA3" w14:textId="7DE48898" w:rsidR="00D22E92" w:rsidRPr="009D6D2E" w:rsidRDefault="00D22E92" w:rsidP="004772F0">
      <w:pPr>
        <w:numPr>
          <w:ilvl w:val="0"/>
          <w:numId w:val="18"/>
        </w:numPr>
        <w:tabs>
          <w:tab w:val="clear" w:pos="1080"/>
        </w:tabs>
        <w:spacing w:before="0" w:after="0" w:line="240" w:lineRule="auto"/>
        <w:ind w:left="426"/>
        <w:rPr>
          <w:rFonts w:ascii="Arial" w:eastAsia="Arial" w:hAnsi="Arial" w:cs="Arial"/>
          <w:sz w:val="22"/>
          <w:szCs w:val="22"/>
        </w:rPr>
      </w:pPr>
      <w:r w:rsidRPr="009D6D2E">
        <w:rPr>
          <w:rFonts w:ascii="Arial" w:eastAsia="Arial" w:hAnsi="Arial" w:cs="Arial"/>
          <w:sz w:val="22"/>
          <w:szCs w:val="22"/>
        </w:rPr>
        <w:t xml:space="preserve">a strong research environment </w:t>
      </w:r>
      <w:r>
        <w:rPr>
          <w:rFonts w:ascii="Arial" w:eastAsia="Arial" w:hAnsi="Arial" w:cs="Arial"/>
          <w:sz w:val="22"/>
          <w:szCs w:val="22"/>
        </w:rPr>
        <w:t>that supports</w:t>
      </w:r>
      <w:r w:rsidRPr="009D6D2E">
        <w:rPr>
          <w:rFonts w:ascii="Arial" w:eastAsia="Arial" w:hAnsi="Arial" w:cs="Arial"/>
          <w:sz w:val="22"/>
          <w:szCs w:val="22"/>
        </w:rPr>
        <w:t xml:space="preserve"> teaching and training</w:t>
      </w:r>
      <w:r w:rsidR="00A1148A">
        <w:rPr>
          <w:rFonts w:ascii="Arial" w:eastAsia="Arial" w:hAnsi="Arial" w:cs="Arial"/>
          <w:sz w:val="22"/>
          <w:szCs w:val="22"/>
        </w:rPr>
        <w:t>; and</w:t>
      </w:r>
    </w:p>
    <w:p w14:paraId="5E54C442" w14:textId="77777777" w:rsidR="00D22E92" w:rsidRPr="009D6D2E" w:rsidDel="005B7F39" w:rsidRDefault="00D22E92" w:rsidP="004772F0">
      <w:pPr>
        <w:numPr>
          <w:ilvl w:val="0"/>
          <w:numId w:val="18"/>
        </w:numPr>
        <w:tabs>
          <w:tab w:val="clear" w:pos="1080"/>
        </w:tabs>
        <w:spacing w:before="0" w:line="240" w:lineRule="auto"/>
        <w:ind w:left="426"/>
        <w:rPr>
          <w:rFonts w:ascii="Arial" w:eastAsia="Arial" w:hAnsi="Arial" w:cs="Arial"/>
          <w:sz w:val="22"/>
          <w:szCs w:val="22"/>
        </w:rPr>
      </w:pPr>
      <w:r w:rsidRPr="009D6D2E">
        <w:rPr>
          <w:rFonts w:ascii="Arial" w:eastAsia="Arial" w:hAnsi="Arial" w:cs="Arial"/>
          <w:sz w:val="22"/>
          <w:szCs w:val="22"/>
        </w:rPr>
        <w:t>system-wide confidence in the Australian University category.</w:t>
      </w:r>
    </w:p>
    <w:p w14:paraId="0AB4529E" w14:textId="40B0CDA2" w:rsidR="00D22E92" w:rsidRDefault="00D22E92" w:rsidP="009C6384">
      <w:pPr>
        <w:rPr>
          <w:rFonts w:ascii="Arial" w:eastAsia="Arial" w:hAnsi="Arial" w:cs="Arial"/>
          <w:sz w:val="22"/>
          <w:szCs w:val="22"/>
        </w:rPr>
      </w:pPr>
      <w:r w:rsidRPr="009D6D2E">
        <w:rPr>
          <w:rFonts w:ascii="Arial" w:eastAsia="Arial" w:hAnsi="Arial" w:cs="Arial"/>
          <w:sz w:val="22"/>
          <w:szCs w:val="22"/>
        </w:rPr>
        <w:t xml:space="preserve">The requirements </w:t>
      </w:r>
      <w:r>
        <w:rPr>
          <w:rFonts w:ascii="Arial" w:eastAsia="Arial" w:hAnsi="Arial" w:cs="Arial"/>
          <w:sz w:val="22"/>
          <w:szCs w:val="22"/>
        </w:rPr>
        <w:t xml:space="preserve">in the Threshold Standards </w:t>
      </w:r>
      <w:r w:rsidRPr="009D6D2E">
        <w:rPr>
          <w:rFonts w:ascii="Arial" w:eastAsia="Arial" w:hAnsi="Arial" w:cs="Arial"/>
          <w:sz w:val="22"/>
          <w:szCs w:val="22"/>
        </w:rPr>
        <w:t>also reflect the understanding that a university's research capability contributes to teaching quality, curriculum renewal, academic leadership and opportunities for student engagement in inquiry and research, particularly where research activity is effectively integrated with teaching and learning.</w:t>
      </w:r>
    </w:p>
    <w:p w14:paraId="5B289B69" w14:textId="3221E9F6" w:rsidR="00363C8B" w:rsidRDefault="00363C8B" w:rsidP="00363C8B">
      <w:pPr>
        <w:pStyle w:val="Heading2"/>
      </w:pPr>
      <w:r>
        <w:t>Policy design challenges, tensions and safeguards</w:t>
      </w:r>
    </w:p>
    <w:p w14:paraId="45C1F26F" w14:textId="77777777" w:rsidR="00E6245A" w:rsidRPr="00E6245A" w:rsidRDefault="00E6245A" w:rsidP="00E6245A">
      <w:pPr>
        <w:rPr>
          <w:sz w:val="22"/>
          <w:szCs w:val="22"/>
        </w:rPr>
      </w:pPr>
      <w:r w:rsidRPr="00E6245A">
        <w:rPr>
          <w:sz w:val="22"/>
          <w:szCs w:val="22"/>
        </w:rPr>
        <w:t>The policy design challenge is how regulatory settings can support greater institutional differentiation while ensuring research excellence, capability and sustainability are demonstrated clearly and consistently. Any revised approach would need to balance greater flexibility for universities to pursue research specialisation with clear expectations for research depth, excellence and sustainable capability in nominated fields.</w:t>
      </w:r>
    </w:p>
    <w:p w14:paraId="58A944DA" w14:textId="77777777" w:rsidR="00E6245A" w:rsidRPr="00E6245A" w:rsidRDefault="00E6245A" w:rsidP="00E6245A">
      <w:pPr>
        <w:rPr>
          <w:sz w:val="22"/>
          <w:szCs w:val="22"/>
        </w:rPr>
      </w:pPr>
      <w:r w:rsidRPr="00E6245A">
        <w:rPr>
          <w:sz w:val="22"/>
          <w:szCs w:val="22"/>
        </w:rPr>
        <w:t xml:space="preserve">A related issue arises for universities with a specialised focus, which are currently required to demonstrate world-standard research across all </w:t>
      </w:r>
      <w:proofErr w:type="spellStart"/>
      <w:r w:rsidRPr="00E6245A">
        <w:rPr>
          <w:sz w:val="22"/>
          <w:szCs w:val="22"/>
        </w:rPr>
        <w:t>FoE</w:t>
      </w:r>
      <w:proofErr w:type="spellEnd"/>
      <w:r w:rsidRPr="00E6245A">
        <w:rPr>
          <w:sz w:val="22"/>
          <w:szCs w:val="22"/>
        </w:rPr>
        <w:t xml:space="preserve"> in which they self-accredit. Consideration may be needed of how revised criteria would apply to these universities to ensure consistency, proportionality and alignment with the intent of enabling genuine research specialisation.</w:t>
      </w:r>
    </w:p>
    <w:p w14:paraId="70C336B5" w14:textId="77777777" w:rsidR="00E6245A" w:rsidRPr="00E6245A" w:rsidRDefault="00E6245A" w:rsidP="00E6245A">
      <w:pPr>
        <w:rPr>
          <w:sz w:val="22"/>
          <w:szCs w:val="22"/>
        </w:rPr>
      </w:pPr>
      <w:r w:rsidRPr="00E6245A">
        <w:rPr>
          <w:sz w:val="22"/>
          <w:szCs w:val="22"/>
        </w:rPr>
        <w:t xml:space="preserve">Changes to research requirements may also affect the range or number of providers capable of meeting the Australian University category criteria, including whether providers that do not currently satisfy the category requirements could become eligible to seek university status. This raises broader questions about system structure, regulatory workload and the clarity of distinctions between the provider categories.  </w:t>
      </w:r>
    </w:p>
    <w:p w14:paraId="0C16C3F4" w14:textId="77777777" w:rsidR="00E6245A" w:rsidRPr="00E6245A" w:rsidRDefault="00E6245A" w:rsidP="00E6245A">
      <w:pPr>
        <w:rPr>
          <w:sz w:val="22"/>
          <w:szCs w:val="22"/>
        </w:rPr>
      </w:pPr>
      <w:r w:rsidRPr="00E6245A">
        <w:rPr>
          <w:sz w:val="22"/>
          <w:szCs w:val="22"/>
        </w:rPr>
        <w:t xml:space="preserve">Any reform approach would need clear and robust expectations for research quality, capability and sustainability in nominated fields of research. A key consideration is what constitutes a materially higher requirement in a more specialised model, how this would be evidenced, and whether revised expectations could be applied consistently across institutions with different research </w:t>
      </w:r>
      <w:r w:rsidRPr="00E6245A">
        <w:rPr>
          <w:sz w:val="22"/>
          <w:szCs w:val="22"/>
        </w:rPr>
        <w:lastRenderedPageBreak/>
        <w:t xml:space="preserve">profiles. This may require further consideration of appropriate indicators, benchmarks and assessment methodologies. </w:t>
      </w:r>
    </w:p>
    <w:p w14:paraId="60682767" w14:textId="77777777" w:rsidR="00E6245A" w:rsidRPr="00E6245A" w:rsidRDefault="00E6245A" w:rsidP="00E6245A">
      <w:pPr>
        <w:rPr>
          <w:sz w:val="22"/>
          <w:szCs w:val="22"/>
        </w:rPr>
      </w:pPr>
      <w:r w:rsidRPr="00E6245A">
        <w:rPr>
          <w:sz w:val="22"/>
          <w:szCs w:val="22"/>
        </w:rPr>
        <w:t>Universities operate within an interconnected research environment characterised by competition for funding, talent and infrastructure, alongside extensive collaboration between institutions, disciplines and sectors domestically and internationally. Greater research specialisation may create opportunities to strengthen research focus, scale, and collaboration, while also requiring careful management of transition risks as universities adjust research strategies, investment decisions and areas of focus. At a system level, consideration may be needed of how to maintain national capability, resilience and disciplinary coverage in areas of strategic importance.</w:t>
      </w:r>
    </w:p>
    <w:p w14:paraId="16BC8A5D" w14:textId="77777777" w:rsidR="00E6245A" w:rsidRPr="00E6245A" w:rsidRDefault="00E6245A" w:rsidP="00E6245A">
      <w:pPr>
        <w:rPr>
          <w:sz w:val="22"/>
          <w:szCs w:val="22"/>
        </w:rPr>
      </w:pPr>
      <w:r w:rsidRPr="00E6245A">
        <w:rPr>
          <w:sz w:val="22"/>
          <w:szCs w:val="22"/>
        </w:rPr>
        <w:t>TEQSA’s current guidance recognises that there is no single approach to assessing research quality and draws on measures of research activity and performance, including those in the Tertiary Education Quality and Standards Agency (Quality of Research) Determination 2021 (Determination 2021).  The Australian Research Council (ARC) is developing a new Research Insights Capability to support more accessible and actionable understanding of research performance and the research environment. The timing and design of this work will be relevant to whether any changes to the Threshold Standards proceed ahead of, alongside, or after revised national research evaluation approaches are settled.</w:t>
      </w:r>
    </w:p>
    <w:p w14:paraId="5A14D37F" w14:textId="77777777" w:rsidR="00E6245A" w:rsidRPr="00E6245A" w:rsidRDefault="00E6245A" w:rsidP="00E6245A">
      <w:pPr>
        <w:pStyle w:val="Heading3"/>
      </w:pPr>
      <w:r w:rsidRPr="00E6245A">
        <w:t xml:space="preserve">Defining research depth and breadth </w:t>
      </w:r>
    </w:p>
    <w:p w14:paraId="58DCD2AD" w14:textId="6C029470" w:rsidR="00E6245A" w:rsidRDefault="00E6245A" w:rsidP="00E6245A">
      <w:pPr>
        <w:rPr>
          <w:sz w:val="22"/>
          <w:szCs w:val="22"/>
        </w:rPr>
      </w:pPr>
      <w:r w:rsidRPr="00E6245A">
        <w:rPr>
          <w:sz w:val="22"/>
          <w:szCs w:val="22"/>
        </w:rPr>
        <w:t>A shift towards specialisation raises questions about what constitutes “depth” of research capability and how it should be defined and measured. Relevant considerations may include scale and concentration, sustainability over time, critical mass of research activity, research-active staff, infrastructure, research training, partnerships, governance, and demonstrated outputs and impact.</w:t>
      </w:r>
    </w:p>
    <w:p w14:paraId="44DBA146" w14:textId="77777777" w:rsidR="001018D3" w:rsidRPr="001018D3" w:rsidRDefault="001018D3" w:rsidP="001018D3">
      <w:pPr>
        <w:pStyle w:val="Heading3"/>
      </w:pPr>
      <w:r w:rsidRPr="001018D3">
        <w:t>Teaching, learning and student experience</w:t>
      </w:r>
    </w:p>
    <w:p w14:paraId="38C6E427" w14:textId="77777777" w:rsidR="001018D3" w:rsidRPr="001018D3" w:rsidRDefault="001018D3" w:rsidP="001018D3">
      <w:pPr>
        <w:rPr>
          <w:sz w:val="22"/>
          <w:szCs w:val="22"/>
        </w:rPr>
      </w:pPr>
      <w:r w:rsidRPr="001018D3">
        <w:rPr>
          <w:sz w:val="22"/>
          <w:szCs w:val="22"/>
        </w:rPr>
        <w:t>Current requirements link research expectations with research training, academic governance and the institutional research environment. A more specialised model may strengthen the depth and sustainability of research activity in selected areas of institutional focus, but also raises questions about how scholarship, academic leadership and curriculum renewal would be supported across a university’s broader teaching profile.</w:t>
      </w:r>
    </w:p>
    <w:p w14:paraId="412B9152" w14:textId="77777777" w:rsidR="001018D3" w:rsidRPr="001018D3" w:rsidRDefault="001018D3" w:rsidP="001018D3">
      <w:pPr>
        <w:rPr>
          <w:sz w:val="22"/>
          <w:szCs w:val="22"/>
        </w:rPr>
      </w:pPr>
      <w:r w:rsidRPr="001018D3">
        <w:rPr>
          <w:sz w:val="22"/>
          <w:szCs w:val="22"/>
        </w:rPr>
        <w:t>Universities would need to consider how students continue to access contemporary disciplinary expertise, research-informed curricula, honours pathways, higher degree by research supervision, and opportunities to participate in research activity. These issues may be particularly important for regional universities and their local communities, where changes to research capability could affect local ecosystems, postgraduate pathways, industry engagement and workforce development.</w:t>
      </w:r>
    </w:p>
    <w:p w14:paraId="3F72D8DF" w14:textId="77777777" w:rsidR="001018D3" w:rsidRPr="001018D3" w:rsidRDefault="001018D3" w:rsidP="001018D3">
      <w:pPr>
        <w:pStyle w:val="Heading3"/>
      </w:pPr>
      <w:r w:rsidRPr="001018D3">
        <w:t>Minimum disciplinary spread</w:t>
      </w:r>
    </w:p>
    <w:p w14:paraId="33F6B3EF" w14:textId="77777777" w:rsidR="001018D3" w:rsidRPr="001018D3" w:rsidRDefault="001018D3" w:rsidP="001018D3">
      <w:pPr>
        <w:rPr>
          <w:sz w:val="22"/>
          <w:szCs w:val="22"/>
        </w:rPr>
      </w:pPr>
      <w:r w:rsidRPr="001018D3">
        <w:rPr>
          <w:sz w:val="22"/>
          <w:szCs w:val="22"/>
        </w:rPr>
        <w:t xml:space="preserve">The SERD Report recommends retaining a minimum number of </w:t>
      </w:r>
      <w:proofErr w:type="spellStart"/>
      <w:r w:rsidRPr="001018D3">
        <w:rPr>
          <w:sz w:val="22"/>
          <w:szCs w:val="22"/>
        </w:rPr>
        <w:t>FoRs</w:t>
      </w:r>
      <w:proofErr w:type="spellEnd"/>
      <w:r w:rsidRPr="001018D3">
        <w:rPr>
          <w:sz w:val="22"/>
          <w:szCs w:val="22"/>
        </w:rPr>
        <w:t xml:space="preserve"> while reducing overall disciplinary breadth. A key design question is whether the minimum should be expressed only as </w:t>
      </w:r>
      <w:proofErr w:type="gramStart"/>
      <w:r w:rsidRPr="001018D3">
        <w:rPr>
          <w:sz w:val="22"/>
          <w:szCs w:val="22"/>
        </w:rPr>
        <w:t>a number of</w:t>
      </w:r>
      <w:proofErr w:type="gramEnd"/>
      <w:r w:rsidRPr="001018D3">
        <w:rPr>
          <w:sz w:val="22"/>
          <w:szCs w:val="22"/>
        </w:rPr>
        <w:t xml:space="preserve"> 4-digit </w:t>
      </w:r>
      <w:proofErr w:type="spellStart"/>
      <w:r w:rsidRPr="001018D3">
        <w:rPr>
          <w:sz w:val="22"/>
          <w:szCs w:val="22"/>
        </w:rPr>
        <w:t>FoRs</w:t>
      </w:r>
      <w:proofErr w:type="spellEnd"/>
      <w:r w:rsidRPr="001018D3">
        <w:rPr>
          <w:sz w:val="22"/>
          <w:szCs w:val="22"/>
        </w:rPr>
        <w:t xml:space="preserve">, or whether additional requirements are needed to ensure sufficient disciplinary spread, university resilience and system value. </w:t>
      </w:r>
    </w:p>
    <w:p w14:paraId="1A61B842" w14:textId="77777777" w:rsidR="001018D3" w:rsidRPr="001018D3" w:rsidRDefault="001018D3" w:rsidP="001018D3">
      <w:pPr>
        <w:rPr>
          <w:sz w:val="22"/>
          <w:szCs w:val="22"/>
        </w:rPr>
      </w:pPr>
      <w:r w:rsidRPr="001018D3">
        <w:rPr>
          <w:sz w:val="22"/>
          <w:szCs w:val="22"/>
        </w:rPr>
        <w:t xml:space="preserve">Requiring a minimum number of 4-digit </w:t>
      </w:r>
      <w:proofErr w:type="spellStart"/>
      <w:r w:rsidRPr="001018D3">
        <w:rPr>
          <w:sz w:val="22"/>
          <w:szCs w:val="22"/>
        </w:rPr>
        <w:t>FoRs</w:t>
      </w:r>
      <w:proofErr w:type="spellEnd"/>
      <w:r w:rsidRPr="001018D3">
        <w:rPr>
          <w:sz w:val="22"/>
          <w:szCs w:val="22"/>
        </w:rPr>
        <w:t xml:space="preserve"> may support greater focus but could also permit institutions to meet the requirement through combinations of research fields that are technically compliant yet too narrow to demonstrate a coherent or sustainable research profile. Consideration </w:t>
      </w:r>
      <w:r w:rsidRPr="001018D3">
        <w:rPr>
          <w:sz w:val="22"/>
          <w:szCs w:val="22"/>
        </w:rPr>
        <w:lastRenderedPageBreak/>
        <w:t>may therefore be needed on the minimum level of disciplinary spread required to support academic ecosystems, cross-disciplinary engagement and university adaptability over time.</w:t>
      </w:r>
    </w:p>
    <w:p w14:paraId="31E68D0D" w14:textId="77777777" w:rsidR="001018D3" w:rsidRPr="001018D3" w:rsidRDefault="001018D3" w:rsidP="001018D3">
      <w:pPr>
        <w:rPr>
          <w:sz w:val="22"/>
          <w:szCs w:val="22"/>
        </w:rPr>
      </w:pPr>
      <w:r w:rsidRPr="001018D3">
        <w:rPr>
          <w:sz w:val="22"/>
          <w:szCs w:val="22"/>
        </w:rPr>
        <w:t>At a system level, concentration of university research effort may affect the breadth and distribution of research capability across disciplines. While some disciplines may be more likely to attract focused institutional investment than others, maintaining a diverse and resilient research system depends on a range of factors beyond individual institutional decisions, including student demand, research funding, workforce movements, international collaborations and broader government policy settings.</w:t>
      </w:r>
    </w:p>
    <w:p w14:paraId="74BDF3BA" w14:textId="77777777" w:rsidR="001018D3" w:rsidRPr="001018D3" w:rsidRDefault="001018D3" w:rsidP="001018D3">
      <w:pPr>
        <w:pStyle w:val="Heading3"/>
      </w:pPr>
      <w:r w:rsidRPr="001018D3">
        <w:t>Voluntary uptake and higher expectations</w:t>
      </w:r>
    </w:p>
    <w:p w14:paraId="6952DED2" w14:textId="363C15C4" w:rsidR="001018D3" w:rsidRDefault="001018D3" w:rsidP="001018D3">
      <w:pPr>
        <w:rPr>
          <w:sz w:val="22"/>
          <w:szCs w:val="22"/>
        </w:rPr>
      </w:pPr>
      <w:r w:rsidRPr="001018D3">
        <w:rPr>
          <w:sz w:val="22"/>
          <w:szCs w:val="22"/>
        </w:rPr>
        <w:t>The SERD Report proposes voluntary uptake, allowing universities to align any move toward specialisation with their mission, strategy and local context. While a voluntary model supports institutional autonomy, it may create uneven sector-wide uptake, concentration in some fields, gaps in national capability, or strategic behaviour focused on threshold compliance rather than long-term sustainability. Where institutions elect to pursue a narrower research profile, expectations for research excellence would need to be meaningfully higher than those currently applied. This would help ensure reduced breadth is justified by depth, quality and sustainability, rather than a narrow recalibration toward minimum compliance.</w:t>
      </w:r>
    </w:p>
    <w:p w14:paraId="08A0C92E" w14:textId="1CD7D159" w:rsidR="009C6384" w:rsidRPr="009C6384" w:rsidRDefault="009C6384" w:rsidP="009C6384">
      <w:pPr>
        <w:pStyle w:val="Heading3"/>
      </w:pPr>
      <w:r w:rsidRPr="009C6384">
        <w:t>Interaction with funding and incentives</w:t>
      </w:r>
    </w:p>
    <w:p w14:paraId="1B52A13C" w14:textId="77777777" w:rsidR="009C6384" w:rsidRPr="009C6384" w:rsidRDefault="009C6384" w:rsidP="009C6384">
      <w:pPr>
        <w:rPr>
          <w:sz w:val="22"/>
          <w:szCs w:val="22"/>
        </w:rPr>
      </w:pPr>
      <w:r w:rsidRPr="009C6384">
        <w:rPr>
          <w:sz w:val="22"/>
          <w:szCs w:val="22"/>
        </w:rPr>
        <w:t xml:space="preserve">Changes to research requirements may interact with funding frameworks, institutional investment decisions and broader strategic and operational settings in different ways across universities and prospective university category applicants. A key consideration is how regulatory settings may interact with research investment and risk management. </w:t>
      </w:r>
    </w:p>
    <w:p w14:paraId="4C004520" w14:textId="77777777" w:rsidR="009C6384" w:rsidRPr="009C6384" w:rsidRDefault="009C6384" w:rsidP="009C6384">
      <w:pPr>
        <w:pStyle w:val="Heading3"/>
      </w:pPr>
      <w:r w:rsidRPr="009C6384">
        <w:t>Regulatory and implementation impacts</w:t>
      </w:r>
    </w:p>
    <w:p w14:paraId="4168BDA8" w14:textId="77777777" w:rsidR="009C6384" w:rsidRPr="009C6384" w:rsidRDefault="009C6384" w:rsidP="009C6384">
      <w:pPr>
        <w:rPr>
          <w:sz w:val="22"/>
          <w:szCs w:val="22"/>
        </w:rPr>
      </w:pPr>
      <w:r w:rsidRPr="009C6384">
        <w:rPr>
          <w:sz w:val="22"/>
          <w:szCs w:val="22"/>
        </w:rPr>
        <w:t xml:space="preserve">A move toward narrower </w:t>
      </w:r>
      <w:proofErr w:type="spellStart"/>
      <w:r w:rsidRPr="009C6384">
        <w:rPr>
          <w:sz w:val="22"/>
          <w:szCs w:val="22"/>
        </w:rPr>
        <w:t>FoR</w:t>
      </w:r>
      <w:proofErr w:type="spellEnd"/>
      <w:r w:rsidRPr="009C6384">
        <w:rPr>
          <w:sz w:val="22"/>
          <w:szCs w:val="22"/>
        </w:rPr>
        <w:t>-based research assessment would require alignment between TEQSA, the ARC and other relevant parts of the research evaluation system to ensure assessment approaches, benchmarks and evidence are aligned and fit for purpose. Consideration would also need to be given to the availability, timeliness and consistency of data used to assess research quality, capability and impact. Amendments to the Threshold Standards may also require arrangements to determine whether existing providers continue to meet revised criteria. This raises questions about reassessment, transitional arrangements, regulatory burden and whether existing providers should be deemed to continue meeting the category standard for a defined period while revised evidence requirements are phased in.</w:t>
      </w:r>
    </w:p>
    <w:p w14:paraId="6A40B87C" w14:textId="77777777" w:rsidR="009C6384" w:rsidRPr="009C6384" w:rsidRDefault="009C6384" w:rsidP="009C6384">
      <w:pPr>
        <w:pStyle w:val="Heading3"/>
      </w:pPr>
      <w:r w:rsidRPr="009C6384">
        <w:t>Transition and timing</w:t>
      </w:r>
    </w:p>
    <w:p w14:paraId="2DA37B0E" w14:textId="4FF260CF" w:rsidR="00DC12E2" w:rsidRPr="00DC12E2" w:rsidRDefault="009C6384" w:rsidP="009C6384">
      <w:pPr>
        <w:rPr>
          <w:sz w:val="22"/>
          <w:szCs w:val="22"/>
        </w:rPr>
      </w:pPr>
      <w:r w:rsidRPr="009C6384">
        <w:rPr>
          <w:sz w:val="22"/>
          <w:szCs w:val="22"/>
        </w:rPr>
        <w:t>Current transitional arrangements under the Threshold Standards recognise the long lead times required to build research capability, including strategy, staffing, culture, infrastructure, governance and measurable outputs. Any further reform would need to account for providers already operating within these pathways, including investments and organisational changes already underway. Transition arrangements would need to balance regulatory stability and fairness for providers with timely implementation of reforms intended to support greater focus, scale and impact in the research system.</w:t>
      </w:r>
    </w:p>
    <w:p w14:paraId="0496CE6F" w14:textId="0980010B" w:rsidR="00D96685" w:rsidRDefault="00F061D7" w:rsidP="00F061D7">
      <w:pPr>
        <w:pStyle w:val="Heading2"/>
      </w:pPr>
      <w:r>
        <w:lastRenderedPageBreak/>
        <w:t>International comparison</w:t>
      </w:r>
    </w:p>
    <w:p w14:paraId="4EB2BA2B" w14:textId="77777777" w:rsidR="00F061D7" w:rsidRPr="0023675C" w:rsidRDefault="00F061D7" w:rsidP="00F061D7">
      <w:pPr>
        <w:rPr>
          <w:sz w:val="22"/>
          <w:szCs w:val="22"/>
        </w:rPr>
      </w:pPr>
      <w:r w:rsidRPr="0023675C">
        <w:rPr>
          <w:sz w:val="22"/>
          <w:szCs w:val="22"/>
        </w:rPr>
        <w:t xml:space="preserve">International experience shows that higher education systems can support differentiated institutional missions while maintaining quality assurance, public confidence and system coherence. </w:t>
      </w:r>
    </w:p>
    <w:p w14:paraId="399CD24C" w14:textId="66E0D582" w:rsidR="00F061D7" w:rsidRPr="0023675C" w:rsidRDefault="00F061D7" w:rsidP="00F061D7">
      <w:pPr>
        <w:rPr>
          <w:sz w:val="22"/>
          <w:szCs w:val="22"/>
        </w:rPr>
      </w:pPr>
      <w:r w:rsidRPr="0023675C">
        <w:rPr>
          <w:sz w:val="22"/>
          <w:szCs w:val="22"/>
        </w:rPr>
        <w:t>European reforms under the Bologna Process</w:t>
      </w:r>
      <w:r w:rsidR="00EE1F30" w:rsidRPr="0023675C">
        <w:rPr>
          <w:rStyle w:val="FootnoteReference"/>
          <w:sz w:val="22"/>
          <w:szCs w:val="22"/>
        </w:rPr>
        <w:footnoteReference w:id="12"/>
      </w:r>
      <w:r w:rsidRPr="0023675C">
        <w:rPr>
          <w:sz w:val="22"/>
          <w:szCs w:val="22"/>
        </w:rPr>
        <w:t xml:space="preserve"> have emphasised transparency, comparability and institutional diversity, while Germany’s Excellence Strategy</w:t>
      </w:r>
      <w:r w:rsidR="00DB4525" w:rsidRPr="0023675C">
        <w:rPr>
          <w:rStyle w:val="FootnoteReference"/>
          <w:sz w:val="22"/>
          <w:szCs w:val="22"/>
        </w:rPr>
        <w:footnoteReference w:id="13"/>
      </w:r>
      <w:r w:rsidRPr="0023675C">
        <w:rPr>
          <w:sz w:val="22"/>
          <w:szCs w:val="22"/>
        </w:rPr>
        <w:t xml:space="preserve"> supports research performance and institutional profiling through targeted funding and collaboration. In the United States, the Carnegie Classification framework </w:t>
      </w:r>
      <w:r w:rsidR="00FC2B61" w:rsidRPr="0023675C">
        <w:rPr>
          <w:rStyle w:val="FootnoteReference"/>
          <w:sz w:val="22"/>
          <w:szCs w:val="22"/>
        </w:rPr>
        <w:footnoteReference w:id="14"/>
      </w:r>
      <w:r w:rsidRPr="0023675C">
        <w:rPr>
          <w:sz w:val="22"/>
          <w:szCs w:val="22"/>
        </w:rPr>
        <w:t xml:space="preserve"> distinguishes institutions by mission, degree profile and research intensity, enabling research concentration in some universities alongside diverse teaching and research missions across the system.</w:t>
      </w:r>
    </w:p>
    <w:p w14:paraId="6B64140F" w14:textId="77777777" w:rsidR="00F061D7" w:rsidRPr="0023675C" w:rsidRDefault="00F061D7" w:rsidP="00F061D7">
      <w:pPr>
        <w:rPr>
          <w:sz w:val="22"/>
          <w:szCs w:val="22"/>
        </w:rPr>
      </w:pPr>
      <w:r w:rsidRPr="0023675C">
        <w:rPr>
          <w:sz w:val="22"/>
          <w:szCs w:val="22"/>
        </w:rPr>
        <w:t xml:space="preserve">These examples suggest that differentiated research missions can be compatible with strong research quality, governance and public accountability, provided regulatory and funding settings clearly distinguish between institutional mission, research intensity, quality assurance and university status. </w:t>
      </w:r>
    </w:p>
    <w:p w14:paraId="456072DB" w14:textId="77777777" w:rsidR="00356EBE" w:rsidRPr="0023675C" w:rsidRDefault="00356EBE" w:rsidP="00F061D7">
      <w:pPr>
        <w:rPr>
          <w:sz w:val="22"/>
          <w:szCs w:val="22"/>
        </w:rPr>
      </w:pPr>
      <w:r w:rsidRPr="0023675C">
        <w:rPr>
          <w:sz w:val="22"/>
          <w:szCs w:val="22"/>
        </w:rPr>
        <w:t>They also indicate that greater differentiation can create challenges for system coordination, disciplinary coverage, student mobility and equitable access to research opportunities, requiring ongoing stewardship, monitoring and policy oversight.</w:t>
      </w:r>
    </w:p>
    <w:p w14:paraId="20230CA2" w14:textId="6406AB6A" w:rsidR="00356EBE" w:rsidRPr="0023675C" w:rsidRDefault="00356EBE" w:rsidP="00356EBE">
      <w:pPr>
        <w:rPr>
          <w:sz w:val="22"/>
          <w:szCs w:val="22"/>
        </w:rPr>
      </w:pPr>
      <w:r w:rsidRPr="0023675C">
        <w:rPr>
          <w:sz w:val="22"/>
          <w:szCs w:val="22"/>
        </w:rPr>
        <w:t xml:space="preserve">This is consistent with the </w:t>
      </w:r>
      <w:proofErr w:type="spellStart"/>
      <w:r w:rsidRPr="0023675C">
        <w:rPr>
          <w:sz w:val="22"/>
          <w:szCs w:val="22"/>
        </w:rPr>
        <w:t>Coaldrake</w:t>
      </w:r>
      <w:proofErr w:type="spellEnd"/>
      <w:r w:rsidRPr="0023675C">
        <w:rPr>
          <w:sz w:val="22"/>
          <w:szCs w:val="22"/>
        </w:rPr>
        <w:t xml:space="preserve"> Review of the Higher Education Provider Category Standards </w:t>
      </w:r>
      <w:r w:rsidR="00095505" w:rsidRPr="0023675C">
        <w:rPr>
          <w:rStyle w:val="FootnoteReference"/>
          <w:sz w:val="22"/>
          <w:szCs w:val="22"/>
        </w:rPr>
        <w:footnoteReference w:id="15"/>
      </w:r>
      <w:r w:rsidRPr="0023675C">
        <w:rPr>
          <w:sz w:val="22"/>
          <w:szCs w:val="22"/>
        </w:rPr>
        <w:t xml:space="preserve">, which highlighted the value of a more differentiated higher education system and recognised that institutions may pursue different missions, strengths and areas of excellence. The review emphasised the importance of ensuring that provider category standards remain fit for purpose, support innovation and diversity, and continue to uphold public confidence in the university title. </w:t>
      </w:r>
    </w:p>
    <w:p w14:paraId="1476A6F9" w14:textId="7BA86ADB" w:rsidR="00356EBE" w:rsidRDefault="00356EBE" w:rsidP="00356EBE">
      <w:pPr>
        <w:rPr>
          <w:sz w:val="22"/>
          <w:szCs w:val="22"/>
        </w:rPr>
      </w:pPr>
      <w:r w:rsidRPr="0023675C">
        <w:rPr>
          <w:sz w:val="22"/>
          <w:szCs w:val="22"/>
        </w:rPr>
        <w:t>In this context, research specialisation should not be viewed as lowering expectations for research performance. Rather, the focus is how research excellence, capability and impact can be demonstrated through different institutional models while maintaining confidence in university status.</w:t>
      </w:r>
    </w:p>
    <w:p w14:paraId="641C80AA" w14:textId="19A347E3" w:rsidR="0023675C" w:rsidRDefault="004772F0" w:rsidP="0023675C">
      <w:pPr>
        <w:pStyle w:val="Heading2"/>
      </w:pPr>
      <w:r>
        <w:t>C</w:t>
      </w:r>
      <w:r w:rsidR="006D6454">
        <w:t>oncluding considerations</w:t>
      </w:r>
      <w:r w:rsidDel="004772F0">
        <w:t xml:space="preserve"> </w:t>
      </w:r>
    </w:p>
    <w:p w14:paraId="2A0D8A84" w14:textId="77777777" w:rsidR="009B7F78" w:rsidRDefault="0023675C" w:rsidP="0023675C">
      <w:r w:rsidRPr="0023675C">
        <w:rPr>
          <w:sz w:val="22"/>
          <w:szCs w:val="22"/>
        </w:rPr>
        <w:t>Current breadth-based research requirements have supported a shared understanding of university-level research capability, research-informed teaching and institutional maturity. At the same time, the SERD Report and the Accord Report identify opportunities for a more differentiated system. If amendments to regulatory settings are required, they need to support specialisation while managing risks to quality, scholarship, student experience, disciplinary capability and system confidence.</w:t>
      </w:r>
      <w:r w:rsidR="009B7F78" w:rsidRPr="009B7F78">
        <w:t xml:space="preserve"> </w:t>
      </w:r>
    </w:p>
    <w:p w14:paraId="53F55CB5" w14:textId="3A034226" w:rsidR="0023675C" w:rsidRPr="0023675C" w:rsidRDefault="009B7F78" w:rsidP="0023675C">
      <w:pPr>
        <w:rPr>
          <w:sz w:val="22"/>
          <w:szCs w:val="22"/>
        </w:rPr>
      </w:pPr>
      <w:r w:rsidRPr="009B7F78">
        <w:rPr>
          <w:sz w:val="22"/>
          <w:szCs w:val="22"/>
        </w:rPr>
        <w:t xml:space="preserve">Feedback provided through this submission will contribute to ATEC's advice to the Minister on whether existing regulatory settings appropriately support research excellence, institutional differentiation and productivity objectives, including whether amendments to the Higher Education Standards Framework (Threshold Standards) may be necessary to support greater research </w:t>
      </w:r>
      <w:r w:rsidRPr="009B7F78">
        <w:rPr>
          <w:sz w:val="22"/>
          <w:szCs w:val="22"/>
        </w:rPr>
        <w:lastRenderedPageBreak/>
        <w:t>specialisation. To support your consideration of these issues, a series of consultation questions is provided below.</w:t>
      </w:r>
    </w:p>
    <w:p w14:paraId="0186CD90" w14:textId="05D6CD4F" w:rsidR="009A7527" w:rsidRDefault="009A7527" w:rsidP="009A7527">
      <w:pPr>
        <w:pStyle w:val="Heading2"/>
      </w:pPr>
      <w:r>
        <w:t xml:space="preserve">Consultation Questions </w:t>
      </w:r>
    </w:p>
    <w:p w14:paraId="6E3FC4AB" w14:textId="77777777" w:rsidR="00F14255" w:rsidRPr="00CE1533" w:rsidRDefault="00F14255" w:rsidP="00F14255">
      <w:pPr>
        <w:pStyle w:val="ListParagraph"/>
        <w:numPr>
          <w:ilvl w:val="0"/>
          <w:numId w:val="19"/>
        </w:numPr>
        <w:spacing w:before="0" w:line="278" w:lineRule="auto"/>
        <w:rPr>
          <w:rFonts w:ascii="Arial" w:hAnsi="Arial" w:cs="Arial"/>
          <w:sz w:val="22"/>
          <w:szCs w:val="22"/>
        </w:rPr>
      </w:pPr>
      <w:r w:rsidRPr="00CE1533">
        <w:rPr>
          <w:rFonts w:ascii="Arial" w:hAnsi="Arial" w:cs="Arial"/>
          <w:sz w:val="22"/>
          <w:szCs w:val="22"/>
        </w:rPr>
        <w:t xml:space="preserve">How should research depth, scale and sustainability be demonstrated under a more specialised model, including in relation to staffing, infrastructure, governance, research training, </w:t>
      </w:r>
      <w:r>
        <w:rPr>
          <w:rFonts w:ascii="Arial" w:hAnsi="Arial" w:cs="Arial"/>
          <w:sz w:val="22"/>
          <w:szCs w:val="22"/>
        </w:rPr>
        <w:t xml:space="preserve">research </w:t>
      </w:r>
      <w:r w:rsidRPr="00CE1533">
        <w:rPr>
          <w:rFonts w:ascii="Arial" w:hAnsi="Arial" w:cs="Arial"/>
          <w:sz w:val="22"/>
          <w:szCs w:val="22"/>
        </w:rPr>
        <w:t xml:space="preserve">integrity and </w:t>
      </w:r>
      <w:r>
        <w:rPr>
          <w:rFonts w:ascii="Arial" w:hAnsi="Arial" w:cs="Arial"/>
          <w:sz w:val="22"/>
          <w:szCs w:val="22"/>
        </w:rPr>
        <w:t xml:space="preserve">research </w:t>
      </w:r>
      <w:r w:rsidRPr="00CE1533">
        <w:rPr>
          <w:rFonts w:ascii="Arial" w:hAnsi="Arial" w:cs="Arial"/>
          <w:sz w:val="22"/>
          <w:szCs w:val="22"/>
        </w:rPr>
        <w:t>security?</w:t>
      </w:r>
    </w:p>
    <w:p w14:paraId="1F68CC02" w14:textId="77777777" w:rsidR="00F14255" w:rsidRPr="00CE1533" w:rsidRDefault="00F14255" w:rsidP="00F14255">
      <w:pPr>
        <w:pStyle w:val="ListParagraph"/>
        <w:rPr>
          <w:rFonts w:ascii="Arial" w:hAnsi="Arial" w:cs="Arial"/>
          <w:sz w:val="22"/>
          <w:szCs w:val="22"/>
        </w:rPr>
      </w:pPr>
    </w:p>
    <w:p w14:paraId="1267342F" w14:textId="77777777" w:rsidR="00F14255" w:rsidRPr="00CE1533" w:rsidRDefault="00F14255" w:rsidP="00F14255">
      <w:pPr>
        <w:pStyle w:val="ListParagraph"/>
        <w:numPr>
          <w:ilvl w:val="0"/>
          <w:numId w:val="19"/>
        </w:numPr>
        <w:spacing w:before="0" w:line="278" w:lineRule="auto"/>
        <w:rPr>
          <w:rFonts w:ascii="Arial" w:hAnsi="Arial" w:cs="Arial"/>
          <w:sz w:val="22"/>
          <w:szCs w:val="22"/>
        </w:rPr>
      </w:pPr>
      <w:r w:rsidRPr="00CE1533">
        <w:rPr>
          <w:rFonts w:ascii="Arial" w:hAnsi="Arial" w:cs="Arial"/>
          <w:sz w:val="22"/>
          <w:szCs w:val="22"/>
        </w:rPr>
        <w:t>What safeguards are needed to ensure a more specialised research model continues to support research quality, scholarship, teaching and learning, student outcomes and institutional maturity?</w:t>
      </w:r>
    </w:p>
    <w:p w14:paraId="1C499F2E" w14:textId="77777777" w:rsidR="00F14255" w:rsidRPr="001E2B7A" w:rsidRDefault="00F14255" w:rsidP="00F14255">
      <w:pPr>
        <w:pStyle w:val="ListParagraph"/>
        <w:rPr>
          <w:rFonts w:ascii="Arial" w:hAnsi="Arial" w:cs="Arial"/>
          <w:sz w:val="22"/>
          <w:szCs w:val="22"/>
        </w:rPr>
      </w:pPr>
    </w:p>
    <w:p w14:paraId="4F6C72B7" w14:textId="77777777" w:rsidR="00F14255" w:rsidRPr="006A343D" w:rsidRDefault="00F14255" w:rsidP="00F14255">
      <w:pPr>
        <w:pStyle w:val="ListParagraph"/>
        <w:numPr>
          <w:ilvl w:val="0"/>
          <w:numId w:val="19"/>
        </w:numPr>
        <w:spacing w:before="0" w:line="278" w:lineRule="auto"/>
        <w:rPr>
          <w:rFonts w:ascii="Arial" w:hAnsi="Arial" w:cs="Arial"/>
          <w:sz w:val="22"/>
          <w:szCs w:val="22"/>
        </w:rPr>
      </w:pPr>
      <w:r w:rsidRPr="006A343D">
        <w:rPr>
          <w:rFonts w:ascii="Arial" w:hAnsi="Arial" w:cs="Arial"/>
          <w:sz w:val="22"/>
          <w:szCs w:val="22"/>
        </w:rPr>
        <w:t xml:space="preserve">How should </w:t>
      </w:r>
      <w:r>
        <w:rPr>
          <w:rFonts w:ascii="Arial" w:hAnsi="Arial" w:cs="Arial"/>
          <w:sz w:val="22"/>
          <w:szCs w:val="22"/>
        </w:rPr>
        <w:t>regulatory settings</w:t>
      </w:r>
      <w:r w:rsidRPr="006A343D">
        <w:rPr>
          <w:rFonts w:ascii="Arial" w:hAnsi="Arial" w:cs="Arial"/>
          <w:sz w:val="22"/>
          <w:szCs w:val="22"/>
        </w:rPr>
        <w:t xml:space="preserve"> be designed to enable greater research specialisation while maintaining confidence in the Australian University category?</w:t>
      </w:r>
    </w:p>
    <w:p w14:paraId="0E79A981" w14:textId="77777777" w:rsidR="00F14255" w:rsidRPr="001E2B7A" w:rsidRDefault="00F14255" w:rsidP="00F14255">
      <w:pPr>
        <w:pStyle w:val="ListParagraph"/>
        <w:rPr>
          <w:rFonts w:ascii="Arial" w:hAnsi="Arial" w:cs="Arial"/>
          <w:sz w:val="22"/>
          <w:szCs w:val="22"/>
        </w:rPr>
      </w:pPr>
    </w:p>
    <w:p w14:paraId="6C68773A" w14:textId="77777777" w:rsidR="00F14255" w:rsidRPr="00CE1533" w:rsidRDefault="00F14255" w:rsidP="00F14255">
      <w:pPr>
        <w:pStyle w:val="ListParagraph"/>
        <w:numPr>
          <w:ilvl w:val="0"/>
          <w:numId w:val="19"/>
        </w:numPr>
        <w:spacing w:before="0" w:line="278" w:lineRule="auto"/>
        <w:rPr>
          <w:rFonts w:ascii="Arial" w:hAnsi="Arial" w:cs="Arial"/>
          <w:sz w:val="22"/>
          <w:szCs w:val="22"/>
        </w:rPr>
      </w:pPr>
      <w:r w:rsidRPr="00CE1533">
        <w:rPr>
          <w:rFonts w:ascii="Arial" w:hAnsi="Arial" w:cs="Arial"/>
          <w:sz w:val="22"/>
          <w:szCs w:val="22"/>
        </w:rPr>
        <w:t>What institutional, regulatory or system-level risks could arise during implementation, and how could these be mitigated through regulatory design, transition arrangements, guidance or monitoring?</w:t>
      </w:r>
    </w:p>
    <w:p w14:paraId="7EB2E334" w14:textId="77777777" w:rsidR="00F14255" w:rsidRPr="001E2B7A" w:rsidRDefault="00F14255" w:rsidP="00F14255">
      <w:pPr>
        <w:pStyle w:val="ListParagraph"/>
        <w:rPr>
          <w:rFonts w:ascii="Arial" w:hAnsi="Arial" w:cs="Arial"/>
          <w:sz w:val="22"/>
          <w:szCs w:val="22"/>
        </w:rPr>
      </w:pPr>
    </w:p>
    <w:p w14:paraId="2FC33AE7" w14:textId="77777777" w:rsidR="00F14255" w:rsidRPr="001E2B7A" w:rsidRDefault="00F14255" w:rsidP="00F14255">
      <w:pPr>
        <w:pStyle w:val="ListParagraph"/>
        <w:numPr>
          <w:ilvl w:val="0"/>
          <w:numId w:val="19"/>
        </w:numPr>
        <w:spacing w:before="0" w:line="278" w:lineRule="auto"/>
        <w:rPr>
          <w:rFonts w:ascii="Arial" w:hAnsi="Arial" w:cs="Arial"/>
          <w:sz w:val="22"/>
          <w:szCs w:val="22"/>
        </w:rPr>
      </w:pPr>
      <w:r w:rsidRPr="004F02F7">
        <w:rPr>
          <w:rFonts w:ascii="Arial" w:hAnsi="Arial" w:cs="Arial"/>
          <w:sz w:val="22"/>
          <w:szCs w:val="22"/>
        </w:rPr>
        <w:t xml:space="preserve">What </w:t>
      </w:r>
      <w:r w:rsidRPr="001E2B7A">
        <w:rPr>
          <w:rFonts w:ascii="Arial" w:hAnsi="Arial" w:cs="Arial"/>
          <w:sz w:val="22"/>
          <w:szCs w:val="22"/>
        </w:rPr>
        <w:t>transition arrangements, implementation timeframes and grandfathering provisions, if any, should apply to</w:t>
      </w:r>
      <w:r w:rsidRPr="004F02F7">
        <w:rPr>
          <w:rFonts w:ascii="Arial" w:hAnsi="Arial" w:cs="Arial"/>
          <w:sz w:val="22"/>
          <w:szCs w:val="22"/>
        </w:rPr>
        <w:t xml:space="preserve"> existing Australian Universities, Australian Universities with a specialised focus, prospective applicants and providers </w:t>
      </w:r>
      <w:r w:rsidRPr="001E2B7A">
        <w:rPr>
          <w:rFonts w:ascii="Arial" w:hAnsi="Arial" w:cs="Arial"/>
          <w:sz w:val="22"/>
          <w:szCs w:val="22"/>
        </w:rPr>
        <w:t>currently progressing under existing transitional arrangements?</w:t>
      </w:r>
    </w:p>
    <w:p w14:paraId="3850E64D" w14:textId="77777777" w:rsidR="009A7527" w:rsidRDefault="009A7527" w:rsidP="009A7527"/>
    <w:p w14:paraId="32315504" w14:textId="0854051E" w:rsidR="004F1F97" w:rsidRPr="009A7527" w:rsidRDefault="004F1F97" w:rsidP="006E5E76">
      <w:pPr>
        <w:pStyle w:val="ListParagraph"/>
        <w:spacing w:after="0"/>
        <w:ind w:left="360"/>
      </w:pPr>
      <w:r w:rsidRPr="009B7190">
        <w:rPr>
          <w:b/>
          <w:bCs/>
        </w:rPr>
        <w:t xml:space="preserve">Submissions are </w:t>
      </w:r>
      <w:r w:rsidRPr="00445CFA">
        <w:rPr>
          <w:b/>
          <w:bCs/>
        </w:rPr>
        <w:t>due Monday 7 September</w:t>
      </w:r>
      <w:r w:rsidRPr="009B7190">
        <w:rPr>
          <w:b/>
          <w:bCs/>
        </w:rPr>
        <w:t xml:space="preserve"> 2026 to </w:t>
      </w:r>
      <w:r w:rsidR="006E5E76" w:rsidRPr="006E5E76">
        <w:rPr>
          <w:b/>
          <w:bCs/>
        </w:rPr>
        <w:t>HESFconsultation@atec.gov.au</w:t>
      </w:r>
    </w:p>
    <w:sectPr w:rsidR="004F1F97" w:rsidRPr="009A7527" w:rsidSect="00FE48F1">
      <w:pgSz w:w="11907" w:h="16839" w:code="9"/>
      <w:pgMar w:top="1077" w:right="1134" w:bottom="1134" w:left="1134" w:header="567"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D5FD" w14:textId="77777777" w:rsidR="002A586A" w:rsidRDefault="002A586A" w:rsidP="002B7185">
      <w:r>
        <w:pict w14:anchorId="64A4454F">
          <v:rect id="_x0000_i1027" style="width:0;height:1.5pt" o:hralign="center" o:hrstd="t" o:hr="t" fillcolor="#a0a0a0" stroked="f"/>
        </w:pict>
      </w:r>
    </w:p>
  </w:endnote>
  <w:endnote w:type="continuationSeparator" w:id="0">
    <w:p w14:paraId="31748939" w14:textId="77777777" w:rsidR="002A586A" w:rsidRDefault="002A586A" w:rsidP="002B7185">
      <w:r>
        <w:pict w14:anchorId="0D03E2A9">
          <v:rect id="_x0000_i1028" style="width:0;height:1.5pt" o:hralign="center" o:hrstd="t" o:hr="t" fillcolor="#a0a0a0" stroked="f"/>
        </w:pict>
      </w:r>
    </w:p>
  </w:endnote>
  <w:endnote w:type="continuationNotice" w:id="1">
    <w:p w14:paraId="345246CC" w14:textId="77777777" w:rsidR="002A586A" w:rsidRDefault="002A58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26F2" w14:textId="77777777" w:rsidR="00216468" w:rsidRPr="00216468" w:rsidRDefault="00216468" w:rsidP="00026F37">
    <w:pPr>
      <w:pStyle w:val="FooterLineBelow"/>
    </w:pPr>
  </w:p>
  <w:p w14:paraId="2CBCD1FB" w14:textId="77777777" w:rsidR="00257BE9" w:rsidRPr="00B30BDC" w:rsidRDefault="00026F37" w:rsidP="00B30BDC">
    <w:pPr>
      <w:pStyle w:val="Footer"/>
    </w:pPr>
    <w:r>
      <w:rPr>
        <w:noProof/>
      </w:rPr>
      <mc:AlternateContent>
        <mc:Choice Requires="wps">
          <w:drawing>
            <wp:inline distT="0" distB="0" distL="0" distR="0" wp14:anchorId="34F44CEB" wp14:editId="3B73BA64">
              <wp:extent cx="3646170" cy="396000"/>
              <wp:effectExtent l="0" t="0" r="11430" b="4445"/>
              <wp:docPr id="1481274879"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46170" cy="396000"/>
                      </a:xfrm>
                      <a:prstGeom prst="rect">
                        <a:avLst/>
                      </a:prstGeom>
                      <a:noFill/>
                      <a:ln w="6350">
                        <a:noFill/>
                      </a:ln>
                    </wps:spPr>
                    <wps:txbx>
                      <w:txbxContent>
                        <w:p w14:paraId="40134FFA" w14:textId="5CA57FF1" w:rsidR="00026F37" w:rsidRPr="00625F4C" w:rsidRDefault="000F32BD" w:rsidP="00625F4C">
                          <w:pPr>
                            <w:pStyle w:val="Footer"/>
                          </w:pPr>
                          <w:r>
                            <w:t>Review of Research Requirements: ‘Australian University Category’</w:t>
                          </w:r>
                          <w:r w:rsidR="00026F37" w:rsidRPr="00625F4C">
                            <w:t> | </w:t>
                          </w:r>
                          <w:r w:rsidR="00625F4C" w:rsidRPr="00625F4C">
                            <w:fldChar w:fldCharType="begin"/>
                          </w:r>
                          <w:r w:rsidR="00625F4C" w:rsidRPr="00625F4C">
                            <w:instrText xml:space="preserve"> PAGE  \# "00"</w:instrText>
                          </w:r>
                          <w:r w:rsidR="00625F4C" w:rsidRPr="00625F4C">
                            <w:fldChar w:fldCharType="separate"/>
                          </w:r>
                          <w:r w:rsidR="00625F4C">
                            <w:t>03</w:t>
                          </w:r>
                          <w:r w:rsidR="00625F4C" w:rsidRPr="00625F4C">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type w14:anchorId="34F44CEB" id="_x0000_t202" coordsize="21600,21600" o:spt="202" path="m,l,21600r21600,l21600,xe">
              <v:stroke joinstyle="miter"/>
              <v:path gradientshapeok="t" o:connecttype="rect"/>
            </v:shapetype>
            <v:shape id="Text Box 5" o:spid="_x0000_s1027" type="#_x0000_t202" alt="&quot;&quot;" style="width:287.1pt;height:31.2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YPDQIAABwEAAAOAAAAZHJzL2Uyb0RvYy54bWysU02P0zAQvSPxHyzfadItFKiarsquipCq&#10;3ZW6aM+uYzeRHI8Zu03Kr2fsJC1aOCEuzsTz/d7z8rZrDDsp9DXYgk8nOWfKSihreyj49+fNu0+c&#10;+SBsKQxYVfCz8vx29fbNsnULdQMVmFIhoyLWL1pX8CoEt8gyLyvVCD8Bpyw5NWAjAv3iIStRtFS9&#10;MdlNns+zFrB0CFJ5T7f3vZOvUn2tlQyPWnsVmCk4zRbSiencxzNbLcXigMJVtRzGEP8wRSNqS00v&#10;pe5FEOyI9R+lmloieNBhIqHJQOtaqrQDbTPNX22zq4RTaRcCx7sLTP7/lZUPp517Qha6L9ARgRGQ&#10;1vmFp8u4T6exiV+alJGfIDxfYFNdYJIuZ/P38+lHcknyzT7P8zzhml2zHfrwVUHDolFwJFoSWuK0&#10;9YE6UugYEptZ2NTGJGqMZW3B57MPeUq4eCjDWEq8zhqt0O27YYE9lGfaC6Gn3Du5qan5VvjwJJA4&#10;pnlJt+GRDm2AmsBgcVYB/vzbfYwn6MnLWUuaKbj/cRSoODPfLJESBTYaOBr70bDH5g5IhlN6EU4m&#10;kxIwmNHUCM0LyXkdu5BLWEm9Cr4fzbvQK5eeg1TrdQoiGTkRtnbnZCwd4YtQPncvAt2AdyCmHmBU&#10;k1i8gr2P7YFfHwPoOnESAe1RHHAmCSaqhucSNf77f4q6PurVLwAAAP//AwBQSwMEFAAGAAgAAAAh&#10;AHFWowHdAAAABAEAAA8AAABkcnMvZG93bnJldi54bWxMj0tPwzAQhO9I/AdrkbhRp6ENKMSpEBVC&#10;SBza8jhv4iWJGq+j2HmUX4/hApeVRjOa+TbbzKYVI/WusaxguYhAEJdWN1wpeHt9vLoF4TyyxtYy&#10;KTiRg01+fpZhqu3EexoPvhKhhF2KCmrvu1RKV9Zk0C1sRxy8T9sb9EH2ldQ9TqHctDKOokQabDgs&#10;1NjRQ03l8TAYBbuv4j15+RhO0/Z5O+7p+DSsl9dKXV7M93cgPM3+Lww/+AEd8sBU2IG1E62C8Ij/&#10;vcFb36xiEIWCJF6BzDP5Hz7/BgAA//8DAFBLAQItABQABgAIAAAAIQC2gziS/gAAAOEBAAATAAAA&#10;AAAAAAAAAAAAAAAAAABbQ29udGVudF9UeXBlc10ueG1sUEsBAi0AFAAGAAgAAAAhADj9If/WAAAA&#10;lAEAAAsAAAAAAAAAAAAAAAAALwEAAF9yZWxzLy5yZWxzUEsBAi0AFAAGAAgAAAAhAAhkZg8NAgAA&#10;HAQAAA4AAAAAAAAAAAAAAAAALgIAAGRycy9lMm9Eb2MueG1sUEsBAi0AFAAGAAgAAAAhAHFWowHd&#10;AAAABAEAAA8AAAAAAAAAAAAAAAAAZwQAAGRycy9kb3ducmV2LnhtbFBLBQYAAAAABAAEAPMAAABx&#10;BQAAAAA=&#10;" filled="f" stroked="f" strokeweight=".5pt">
              <v:textbox inset="0,0,0,0">
                <w:txbxContent>
                  <w:p w14:paraId="40134FFA" w14:textId="5CA57FF1" w:rsidR="00026F37" w:rsidRPr="00625F4C" w:rsidRDefault="000F32BD" w:rsidP="00625F4C">
                    <w:pPr>
                      <w:pStyle w:val="Footer"/>
                    </w:pPr>
                    <w:r>
                      <w:t>Review of Research Requirements: ‘Australian University Category’</w:t>
                    </w:r>
                    <w:r w:rsidR="00026F37" w:rsidRPr="00625F4C">
                      <w:t> | </w:t>
                    </w:r>
                    <w:r w:rsidR="00625F4C" w:rsidRPr="00625F4C">
                      <w:fldChar w:fldCharType="begin"/>
                    </w:r>
                    <w:r w:rsidR="00625F4C" w:rsidRPr="00625F4C">
                      <w:instrText xml:space="preserve"> PAGE  \# "00"</w:instrText>
                    </w:r>
                    <w:r w:rsidR="00625F4C" w:rsidRPr="00625F4C">
                      <w:fldChar w:fldCharType="separate"/>
                    </w:r>
                    <w:r w:rsidR="00625F4C">
                      <w:t>03</w:t>
                    </w:r>
                    <w:r w:rsidR="00625F4C" w:rsidRPr="00625F4C">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A961" w14:textId="62250B94" w:rsidR="00BE01A1" w:rsidRDefault="00BE01A1">
    <w:pPr>
      <w:pStyle w:val="Footer"/>
    </w:pPr>
    <w:r>
      <w:t xml:space="preserve">Review of Research Requirements: ‘Australian University Category’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2385" w14:textId="77777777" w:rsidR="002A586A" w:rsidRPr="00026DC2" w:rsidRDefault="002A586A" w:rsidP="007A42F5">
      <w:pPr>
        <w:ind w:right="7370"/>
      </w:pPr>
      <w:r>
        <w:pict w14:anchorId="62A36531">
          <v:rect id="_x0000_i1025" style="width:0;height:1.5pt" o:hralign="center" o:hrstd="t" o:hr="t" fillcolor="#a0a0a0" stroked="f"/>
        </w:pict>
      </w:r>
    </w:p>
  </w:footnote>
  <w:footnote w:type="continuationSeparator" w:id="0">
    <w:p w14:paraId="2B3F9E33" w14:textId="77777777" w:rsidR="002A586A" w:rsidRDefault="002A586A" w:rsidP="007A42F5">
      <w:pPr>
        <w:ind w:right="7370"/>
      </w:pPr>
      <w:r>
        <w:pict w14:anchorId="316E0435">
          <v:rect id="_x0000_i1026" style="width:0;height:1.5pt" o:hralign="center" o:hrstd="t" o:hr="t" fillcolor="#a0a0a0" stroked="f"/>
        </w:pict>
      </w:r>
    </w:p>
  </w:footnote>
  <w:footnote w:type="continuationNotice" w:id="1">
    <w:p w14:paraId="45C95625" w14:textId="77777777" w:rsidR="002A586A" w:rsidRDefault="002A586A" w:rsidP="002B7185"/>
  </w:footnote>
  <w:footnote w:id="2">
    <w:p w14:paraId="06750D01" w14:textId="2C9BE370" w:rsidR="009578A4" w:rsidRPr="00095505" w:rsidRDefault="009578A4">
      <w:pPr>
        <w:pStyle w:val="FootnoteText"/>
        <w:rPr>
          <w:sz w:val="18"/>
          <w:szCs w:val="18"/>
        </w:rPr>
      </w:pPr>
      <w:r w:rsidRPr="00095505">
        <w:rPr>
          <w:rStyle w:val="FootnoteReference"/>
          <w:sz w:val="18"/>
          <w:szCs w:val="18"/>
        </w:rPr>
        <w:footnoteRef/>
      </w:r>
      <w:r w:rsidRPr="00095505">
        <w:rPr>
          <w:sz w:val="18"/>
          <w:szCs w:val="18"/>
        </w:rPr>
        <w:t xml:space="preserve"> </w:t>
      </w:r>
      <w:hyperlink r:id="rId1" w:history="1">
        <w:r w:rsidR="00A3734E" w:rsidRPr="00095505">
          <w:rPr>
            <w:rStyle w:val="Hyperlink"/>
            <w:sz w:val="18"/>
            <w:szCs w:val="18"/>
          </w:rPr>
          <w:t>Ambitious Australia – Strategic Examination of R&amp;D Final Report</w:t>
        </w:r>
      </w:hyperlink>
    </w:p>
  </w:footnote>
  <w:footnote w:id="3">
    <w:p w14:paraId="1EDE0BBC" w14:textId="2C130275" w:rsidR="00AD0B2C" w:rsidRPr="00095505" w:rsidRDefault="00AD0B2C">
      <w:pPr>
        <w:pStyle w:val="FootnoteText"/>
        <w:rPr>
          <w:sz w:val="18"/>
          <w:szCs w:val="18"/>
        </w:rPr>
      </w:pPr>
      <w:r w:rsidRPr="00095505">
        <w:rPr>
          <w:rStyle w:val="FootnoteReference"/>
          <w:sz w:val="18"/>
          <w:szCs w:val="18"/>
        </w:rPr>
        <w:footnoteRef/>
      </w:r>
      <w:r w:rsidRPr="00095505">
        <w:rPr>
          <w:sz w:val="18"/>
          <w:szCs w:val="18"/>
        </w:rPr>
        <w:t xml:space="preserve"> </w:t>
      </w:r>
      <w:r w:rsidR="001E0F7E" w:rsidRPr="00095505">
        <w:rPr>
          <w:rStyle w:val="Hyperlink"/>
          <w:sz w:val="18"/>
          <w:szCs w:val="18"/>
        </w:rPr>
        <w:t>Foundational research: Creating knowledge</w:t>
      </w:r>
    </w:p>
  </w:footnote>
  <w:footnote w:id="4">
    <w:p w14:paraId="7ADFC749" w14:textId="492BA756" w:rsidR="00E739F1" w:rsidRPr="00095505" w:rsidRDefault="00E739F1">
      <w:pPr>
        <w:pStyle w:val="FootnoteText"/>
        <w:rPr>
          <w:sz w:val="18"/>
          <w:szCs w:val="18"/>
        </w:rPr>
      </w:pPr>
      <w:r w:rsidRPr="00095505">
        <w:rPr>
          <w:rStyle w:val="FootnoteReference"/>
          <w:sz w:val="18"/>
          <w:szCs w:val="18"/>
        </w:rPr>
        <w:footnoteRef/>
      </w:r>
      <w:r w:rsidRPr="00095505">
        <w:rPr>
          <w:sz w:val="18"/>
          <w:szCs w:val="18"/>
        </w:rPr>
        <w:t xml:space="preserve"> </w:t>
      </w:r>
      <w:hyperlink r:id="rId2" w:history="1">
        <w:r w:rsidR="00E0467C" w:rsidRPr="00095505">
          <w:rPr>
            <w:rStyle w:val="Hyperlink"/>
            <w:sz w:val="18"/>
            <w:szCs w:val="18"/>
          </w:rPr>
          <w:t>Ambitious Australia – Strategic Examination of R&amp;D Final Report</w:t>
        </w:r>
      </w:hyperlink>
      <w:r w:rsidR="00E0467C" w:rsidRPr="00095505">
        <w:rPr>
          <w:sz w:val="18"/>
          <w:szCs w:val="18"/>
        </w:rPr>
        <w:t>, p49</w:t>
      </w:r>
    </w:p>
  </w:footnote>
  <w:footnote w:id="5">
    <w:p w14:paraId="336C536C" w14:textId="0FE508BE" w:rsidR="00B13C2C" w:rsidRPr="00095505" w:rsidRDefault="00B13C2C">
      <w:pPr>
        <w:pStyle w:val="FootnoteText"/>
        <w:rPr>
          <w:sz w:val="18"/>
          <w:szCs w:val="18"/>
        </w:rPr>
      </w:pPr>
      <w:r w:rsidRPr="00095505">
        <w:rPr>
          <w:rStyle w:val="FootnoteReference"/>
          <w:sz w:val="18"/>
          <w:szCs w:val="18"/>
        </w:rPr>
        <w:footnoteRef/>
      </w:r>
      <w:r w:rsidRPr="00095505">
        <w:rPr>
          <w:sz w:val="18"/>
          <w:szCs w:val="18"/>
        </w:rPr>
        <w:t xml:space="preserve"> Ibid.</w:t>
      </w:r>
    </w:p>
  </w:footnote>
  <w:footnote w:id="6">
    <w:p w14:paraId="0CAC919D" w14:textId="5FA07265" w:rsidR="002725BF" w:rsidRPr="00095505" w:rsidRDefault="002725BF">
      <w:pPr>
        <w:pStyle w:val="FootnoteText"/>
        <w:rPr>
          <w:sz w:val="18"/>
          <w:szCs w:val="18"/>
        </w:rPr>
      </w:pPr>
      <w:r w:rsidRPr="00095505">
        <w:rPr>
          <w:rStyle w:val="FootnoteReference"/>
          <w:sz w:val="18"/>
          <w:szCs w:val="18"/>
        </w:rPr>
        <w:footnoteRef/>
      </w:r>
      <w:r w:rsidRPr="00095505">
        <w:rPr>
          <w:sz w:val="18"/>
          <w:szCs w:val="18"/>
        </w:rPr>
        <w:t xml:space="preserve"> </w:t>
      </w:r>
      <w:hyperlink r:id="rId3" w:history="1">
        <w:r w:rsidRPr="00095505">
          <w:rPr>
            <w:rStyle w:val="Hyperlink"/>
            <w:sz w:val="18"/>
            <w:szCs w:val="18"/>
          </w:rPr>
          <w:t>Australian Universities Accord - Final Report.pdf</w:t>
        </w:r>
      </w:hyperlink>
      <w:r w:rsidRPr="00095505">
        <w:rPr>
          <w:sz w:val="18"/>
          <w:szCs w:val="18"/>
        </w:rPr>
        <w:t>, pp257-266</w:t>
      </w:r>
    </w:p>
  </w:footnote>
  <w:footnote w:id="7">
    <w:p w14:paraId="15EAE2A4" w14:textId="219431DD" w:rsidR="000176E7" w:rsidRDefault="000176E7">
      <w:pPr>
        <w:pStyle w:val="FootnoteText"/>
      </w:pPr>
      <w:r w:rsidRPr="00095505">
        <w:rPr>
          <w:rStyle w:val="FootnoteReference"/>
          <w:sz w:val="18"/>
          <w:szCs w:val="18"/>
        </w:rPr>
        <w:footnoteRef/>
      </w:r>
      <w:r w:rsidRPr="00095505">
        <w:rPr>
          <w:sz w:val="18"/>
          <w:szCs w:val="18"/>
        </w:rPr>
        <w:t xml:space="preserve"> </w:t>
      </w:r>
      <w:r w:rsidR="002725BF" w:rsidRPr="00095505">
        <w:rPr>
          <w:sz w:val="18"/>
          <w:szCs w:val="18"/>
        </w:rPr>
        <w:t>Ibid.</w:t>
      </w:r>
      <w:r w:rsidR="002725BF">
        <w:t xml:space="preserve"> </w:t>
      </w:r>
    </w:p>
  </w:footnote>
  <w:footnote w:id="8">
    <w:p w14:paraId="59CEC490" w14:textId="110053FC" w:rsidR="00B6357D" w:rsidRPr="00541AEF" w:rsidRDefault="00B6357D" w:rsidP="00541AEF">
      <w:pPr>
        <w:spacing w:after="0" w:line="240" w:lineRule="auto"/>
        <w:rPr>
          <w:sz w:val="18"/>
          <w:szCs w:val="18"/>
        </w:rPr>
      </w:pPr>
      <w:r>
        <w:rPr>
          <w:rStyle w:val="FootnoteReference"/>
        </w:rPr>
        <w:footnoteRef/>
      </w:r>
      <w:r>
        <w:t xml:space="preserve"> </w:t>
      </w:r>
      <w:hyperlink r:id="rId4" w:history="1">
        <w:r w:rsidR="00541AEF" w:rsidRPr="00095227">
          <w:rPr>
            <w:rStyle w:val="Hyperlink"/>
            <w:sz w:val="18"/>
            <w:szCs w:val="18"/>
          </w:rPr>
          <w:t>Field of Education | Australian Bureau of Statistics</w:t>
        </w:r>
      </w:hyperlink>
    </w:p>
  </w:footnote>
  <w:footnote w:id="9">
    <w:p w14:paraId="343F0F4C" w14:textId="17178819" w:rsidR="00D53A60" w:rsidRPr="00095505" w:rsidRDefault="00D53A60" w:rsidP="00A50667">
      <w:pPr>
        <w:spacing w:after="0" w:line="240" w:lineRule="auto"/>
        <w:rPr>
          <w:sz w:val="18"/>
          <w:szCs w:val="18"/>
        </w:rPr>
      </w:pPr>
      <w:r w:rsidRPr="00095505">
        <w:rPr>
          <w:rStyle w:val="FootnoteReference"/>
          <w:sz w:val="18"/>
          <w:szCs w:val="18"/>
        </w:rPr>
        <w:footnoteRef/>
      </w:r>
      <w:r w:rsidRPr="00095505">
        <w:rPr>
          <w:sz w:val="18"/>
          <w:szCs w:val="18"/>
        </w:rPr>
        <w:t xml:space="preserve"> </w:t>
      </w:r>
      <w:hyperlink r:id="rId5" w:history="1">
        <w:r w:rsidR="00C9377F" w:rsidRPr="00095505">
          <w:rPr>
            <w:rStyle w:val="Hyperlink"/>
            <w:sz w:val="18"/>
            <w:szCs w:val="18"/>
          </w:rPr>
          <w:t>Australian and New Zealand Standard Research Classification (ANZSRC), 2020 | Australian Bureau of Statistics</w:t>
        </w:r>
      </w:hyperlink>
    </w:p>
  </w:footnote>
  <w:footnote w:id="10">
    <w:p w14:paraId="33E54C60" w14:textId="038C8D81" w:rsidR="00A50667" w:rsidRPr="00095505" w:rsidRDefault="00A50667">
      <w:pPr>
        <w:pStyle w:val="FootnoteText"/>
        <w:rPr>
          <w:sz w:val="18"/>
          <w:szCs w:val="18"/>
        </w:rPr>
      </w:pPr>
      <w:r w:rsidRPr="00095505">
        <w:rPr>
          <w:rStyle w:val="FootnoteReference"/>
          <w:sz w:val="18"/>
          <w:szCs w:val="18"/>
        </w:rPr>
        <w:footnoteRef/>
      </w:r>
      <w:r w:rsidRPr="00095505">
        <w:rPr>
          <w:sz w:val="18"/>
          <w:szCs w:val="18"/>
        </w:rPr>
        <w:t xml:space="preserve"> </w:t>
      </w:r>
      <w:hyperlink r:id="rId6" w:history="1">
        <w:r w:rsidR="00E4393D" w:rsidRPr="00095505">
          <w:rPr>
            <w:rStyle w:val="Hyperlink"/>
            <w:sz w:val="18"/>
            <w:szCs w:val="18"/>
          </w:rPr>
          <w:t>State of Australian University Research | Home</w:t>
        </w:r>
      </w:hyperlink>
    </w:p>
  </w:footnote>
  <w:footnote w:id="11">
    <w:p w14:paraId="4A62F828" w14:textId="3BA561F2" w:rsidR="00721AB1" w:rsidRDefault="00721AB1">
      <w:pPr>
        <w:pStyle w:val="FootnoteText"/>
      </w:pPr>
      <w:r w:rsidRPr="00095505">
        <w:rPr>
          <w:rStyle w:val="FootnoteReference"/>
          <w:sz w:val="18"/>
          <w:szCs w:val="18"/>
        </w:rPr>
        <w:footnoteRef/>
      </w:r>
      <w:r w:rsidRPr="00095505">
        <w:rPr>
          <w:sz w:val="18"/>
          <w:szCs w:val="18"/>
        </w:rPr>
        <w:t xml:space="preserve"> </w:t>
      </w:r>
      <w:r w:rsidR="00626933" w:rsidRPr="00095505">
        <w:rPr>
          <w:sz w:val="18"/>
          <w:szCs w:val="18"/>
        </w:rPr>
        <w:t>The codes are used by the Australian Bureau of Statistics (ABS), government agencies, higher education providers and research organisations for the collection, reporting, publication and analysis of higher education, research and innovation data. The classifications support national and international statistical reporting and benchmarking.</w:t>
      </w:r>
    </w:p>
  </w:footnote>
  <w:footnote w:id="12">
    <w:p w14:paraId="1C19244F" w14:textId="2316C2F8" w:rsidR="00EE1F30" w:rsidRPr="0023675C" w:rsidRDefault="00EE1F30">
      <w:pPr>
        <w:pStyle w:val="FootnoteText"/>
        <w:rPr>
          <w:sz w:val="18"/>
          <w:szCs w:val="18"/>
        </w:rPr>
      </w:pPr>
      <w:r w:rsidRPr="0023675C">
        <w:rPr>
          <w:rStyle w:val="FootnoteReference"/>
          <w:sz w:val="18"/>
          <w:szCs w:val="18"/>
        </w:rPr>
        <w:footnoteRef/>
      </w:r>
      <w:r w:rsidRPr="0023675C">
        <w:rPr>
          <w:sz w:val="18"/>
          <w:szCs w:val="18"/>
        </w:rPr>
        <w:t xml:space="preserve"> </w:t>
      </w:r>
      <w:hyperlink r:id="rId7" w:history="1">
        <w:r w:rsidR="00E80151" w:rsidRPr="0023675C">
          <w:rPr>
            <w:rStyle w:val="Hyperlink"/>
            <w:sz w:val="18"/>
            <w:szCs w:val="18"/>
          </w:rPr>
          <w:t>The Bologna Process and the European Higher Education Area (European Commission)</w:t>
        </w:r>
      </w:hyperlink>
    </w:p>
  </w:footnote>
  <w:footnote w:id="13">
    <w:p w14:paraId="1EB50483" w14:textId="7D937948" w:rsidR="00DB4525" w:rsidRPr="0023675C" w:rsidRDefault="00DB4525">
      <w:pPr>
        <w:pStyle w:val="FootnoteText"/>
        <w:rPr>
          <w:sz w:val="18"/>
          <w:szCs w:val="18"/>
        </w:rPr>
      </w:pPr>
      <w:r w:rsidRPr="0023675C">
        <w:rPr>
          <w:rStyle w:val="FootnoteReference"/>
          <w:sz w:val="18"/>
          <w:szCs w:val="18"/>
        </w:rPr>
        <w:footnoteRef/>
      </w:r>
      <w:r w:rsidRPr="0023675C">
        <w:rPr>
          <w:sz w:val="18"/>
          <w:szCs w:val="18"/>
        </w:rPr>
        <w:t xml:space="preserve"> </w:t>
      </w:r>
      <w:hyperlink r:id="rId8" w:history="1">
        <w:r w:rsidR="004F75B0" w:rsidRPr="0023675C">
          <w:rPr>
            <w:rStyle w:val="Hyperlink"/>
            <w:sz w:val="18"/>
            <w:szCs w:val="18"/>
          </w:rPr>
          <w:t>Excellence Strategy | DFG</w:t>
        </w:r>
      </w:hyperlink>
      <w:r w:rsidR="004F75B0" w:rsidRPr="0023675C">
        <w:rPr>
          <w:sz w:val="18"/>
          <w:szCs w:val="18"/>
        </w:rPr>
        <w:t xml:space="preserve"> </w:t>
      </w:r>
    </w:p>
  </w:footnote>
  <w:footnote w:id="14">
    <w:p w14:paraId="5A6BDB27" w14:textId="561D2875" w:rsidR="00FC2B61" w:rsidRPr="0023675C" w:rsidRDefault="00FC2B61">
      <w:pPr>
        <w:pStyle w:val="FootnoteText"/>
        <w:rPr>
          <w:sz w:val="18"/>
          <w:szCs w:val="18"/>
        </w:rPr>
      </w:pPr>
      <w:r w:rsidRPr="0023675C">
        <w:rPr>
          <w:rStyle w:val="FootnoteReference"/>
          <w:sz w:val="18"/>
          <w:szCs w:val="18"/>
        </w:rPr>
        <w:footnoteRef/>
      </w:r>
      <w:r w:rsidRPr="0023675C">
        <w:rPr>
          <w:sz w:val="18"/>
          <w:szCs w:val="18"/>
        </w:rPr>
        <w:t xml:space="preserve"> </w:t>
      </w:r>
      <w:hyperlink r:id="rId9" w:history="1">
        <w:r w:rsidR="00095505" w:rsidRPr="0023675C">
          <w:rPr>
            <w:rStyle w:val="Hyperlink"/>
            <w:sz w:val="18"/>
            <w:szCs w:val="18"/>
          </w:rPr>
          <w:t>Carnegie Classification of Institutions of Higher Education</w:t>
        </w:r>
      </w:hyperlink>
    </w:p>
  </w:footnote>
  <w:footnote w:id="15">
    <w:p w14:paraId="6EEADF51" w14:textId="1D2BA216" w:rsidR="00095505" w:rsidRDefault="00095505">
      <w:pPr>
        <w:pStyle w:val="FootnoteText"/>
      </w:pPr>
      <w:r w:rsidRPr="0023675C">
        <w:rPr>
          <w:rStyle w:val="FootnoteReference"/>
          <w:sz w:val="18"/>
          <w:szCs w:val="18"/>
        </w:rPr>
        <w:footnoteRef/>
      </w:r>
      <w:r w:rsidRPr="0023675C">
        <w:rPr>
          <w:sz w:val="18"/>
          <w:szCs w:val="18"/>
        </w:rPr>
        <w:t xml:space="preserve"> </w:t>
      </w:r>
      <w:hyperlink r:id="rId10" w:history="1">
        <w:r w:rsidR="0023675C" w:rsidRPr="0023675C">
          <w:rPr>
            <w:rStyle w:val="Hyperlink"/>
            <w:sz w:val="18"/>
            <w:szCs w:val="18"/>
          </w:rPr>
          <w:t>What’s in a Name? Review of the Higher Education Provider Category Standards Final Report October 2019 Emeritus Professor Peter Coaldrake AO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FA38" w14:textId="77777777" w:rsidR="00D91D02" w:rsidRPr="000115DE" w:rsidRDefault="00D91D02" w:rsidP="00331B78">
    <w:pPr>
      <w:pStyle w:val="Header"/>
      <w:tabs>
        <w:tab w:val="clear" w:pos="1860"/>
        <w:tab w:val="clear" w:pos="2730"/>
        <w:tab w:val="left" w:pos="24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5043"/>
    <w:multiLevelType w:val="hybridMultilevel"/>
    <w:tmpl w:val="C310C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4C35743"/>
    <w:multiLevelType w:val="multilevel"/>
    <w:tmpl w:val="00A29E5C"/>
    <w:styleLink w:val="LstLegalNumbering"/>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701" w:hanging="737"/>
      </w:pPr>
      <w:rPr>
        <w:rFonts w:hint="default"/>
      </w:rPr>
    </w:lvl>
    <w:lvl w:ilvl="3">
      <w:start w:val="1"/>
      <w:numFmt w:val="decimal"/>
      <w:pStyle w:val="ListNumber4"/>
      <w:lvlText w:val="%1.%2.%3.%4"/>
      <w:lvlJc w:val="left"/>
      <w:pPr>
        <w:ind w:left="2665" w:hanging="964"/>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3" w15:restartNumberingAfterBreak="0">
    <w:nsid w:val="0B3C3F52"/>
    <w:multiLevelType w:val="multilevel"/>
    <w:tmpl w:val="13F4C276"/>
    <w:lvl w:ilvl="0">
      <w:start w:val="1"/>
      <w:numFmt w:val="decimal"/>
      <w:pStyle w:val="NotesNumbere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FE4956"/>
    <w:multiLevelType w:val="hybridMultilevel"/>
    <w:tmpl w:val="59241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1032"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001032" w:themeColor="text2"/>
        <w:position w:val="2"/>
        <w:sz w:val="20"/>
      </w:rPr>
    </w:lvl>
    <w:lvl w:ilvl="2">
      <w:start w:val="1"/>
      <w:numFmt w:val="bullet"/>
      <w:lvlText w:val="–"/>
      <w:lvlJc w:val="left"/>
      <w:pPr>
        <w:tabs>
          <w:tab w:val="num" w:pos="1361"/>
        </w:tabs>
        <w:ind w:left="1361" w:hanging="340"/>
      </w:pPr>
      <w:rPr>
        <w:rFonts w:ascii="Arial" w:hAnsi="Arial" w:hint="default"/>
        <w:color w:val="00103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FF52668"/>
    <w:multiLevelType w:val="multilevel"/>
    <w:tmpl w:val="A4F832D2"/>
    <w:styleLink w:val="Lst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27C445F5"/>
    <w:multiLevelType w:val="multilevel"/>
    <w:tmpl w:val="4972262A"/>
    <w:styleLink w:val="HangingList"/>
    <w:lvl w:ilvl="0">
      <w:start w:val="1"/>
      <w:numFmt w:val="none"/>
      <w:pStyle w:val="ListContinue"/>
      <w:suff w:val="nothing"/>
      <w:lvlText w:val=""/>
      <w:lvlJc w:val="left"/>
      <w:pPr>
        <w:ind w:left="794" w:hanging="397"/>
      </w:pPr>
      <w:rPr>
        <w:rFonts w:hint="default"/>
      </w:rPr>
    </w:lvl>
    <w:lvl w:ilvl="1">
      <w:start w:val="1"/>
      <w:numFmt w:val="none"/>
      <w:pStyle w:val="ListContinue2"/>
      <w:suff w:val="nothing"/>
      <w:lvlText w:val=""/>
      <w:lvlJc w:val="left"/>
      <w:pPr>
        <w:ind w:left="1191" w:hanging="397"/>
      </w:pPr>
      <w:rPr>
        <w:rFonts w:hint="default"/>
      </w:rPr>
    </w:lvl>
    <w:lvl w:ilvl="2">
      <w:start w:val="1"/>
      <w:numFmt w:val="none"/>
      <w:pStyle w:val="ListContinue3"/>
      <w:suff w:val="nothing"/>
      <w:lvlText w:val=""/>
      <w:lvlJc w:val="left"/>
      <w:pPr>
        <w:ind w:left="1588" w:hanging="397"/>
      </w:pPr>
      <w:rPr>
        <w:rFonts w:hint="default"/>
      </w:rPr>
    </w:lvl>
    <w:lvl w:ilvl="3">
      <w:start w:val="1"/>
      <w:numFmt w:val="none"/>
      <w:suff w:val="nothing"/>
      <w:lvlText w:val=""/>
      <w:lvlJc w:val="left"/>
      <w:pPr>
        <w:ind w:left="1985" w:hanging="397"/>
      </w:pPr>
      <w:rPr>
        <w:rFonts w:hint="default"/>
      </w:rPr>
    </w:lvl>
    <w:lvl w:ilvl="4">
      <w:start w:val="1"/>
      <w:numFmt w:val="none"/>
      <w:suff w:val="nothing"/>
      <w:lvlText w:val=""/>
      <w:lvlJc w:val="left"/>
      <w:pPr>
        <w:ind w:left="2382" w:hanging="397"/>
      </w:pPr>
      <w:rPr>
        <w:rFonts w:hint="default"/>
      </w:rPr>
    </w:lvl>
    <w:lvl w:ilvl="5">
      <w:start w:val="1"/>
      <w:numFmt w:val="none"/>
      <w:suff w:val="nothing"/>
      <w:lvlText w:val=""/>
      <w:lvlJc w:val="left"/>
      <w:pPr>
        <w:ind w:left="2779" w:hanging="397"/>
      </w:pPr>
      <w:rPr>
        <w:rFonts w:hint="default"/>
      </w:rPr>
    </w:lvl>
    <w:lvl w:ilvl="6">
      <w:start w:val="1"/>
      <w:numFmt w:val="none"/>
      <w:suff w:val="nothing"/>
      <w:lvlText w:val=""/>
      <w:lvlJc w:val="left"/>
      <w:pPr>
        <w:ind w:left="3176" w:hanging="397"/>
      </w:pPr>
      <w:rPr>
        <w:rFonts w:hint="default"/>
      </w:rPr>
    </w:lvl>
    <w:lvl w:ilvl="7">
      <w:start w:val="1"/>
      <w:numFmt w:val="none"/>
      <w:suff w:val="nothing"/>
      <w:lvlText w:val=""/>
      <w:lvlJc w:val="left"/>
      <w:pPr>
        <w:ind w:left="3573" w:hanging="397"/>
      </w:pPr>
      <w:rPr>
        <w:rFonts w:hint="default"/>
      </w:rPr>
    </w:lvl>
    <w:lvl w:ilvl="8">
      <w:start w:val="1"/>
      <w:numFmt w:val="none"/>
      <w:suff w:val="nothing"/>
      <w:lvlText w:val=""/>
      <w:lvlJc w:val="left"/>
      <w:pPr>
        <w:ind w:left="3970" w:hanging="397"/>
      </w:pPr>
      <w:rPr>
        <w:rFonts w:hint="default"/>
      </w:rPr>
    </w:lvl>
  </w:abstractNum>
  <w:abstractNum w:abstractNumId="9" w15:restartNumberingAfterBreak="0">
    <w:nsid w:val="28E92CC8"/>
    <w:multiLevelType w:val="multilevel"/>
    <w:tmpl w:val="C366AC72"/>
    <w:lvl w:ilvl="0">
      <w:start w:val="1"/>
      <w:numFmt w:val="none"/>
      <w:pStyle w:val="Source"/>
      <w:suff w:val="space"/>
      <w:lvlText w:val="%1Source:"/>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A6B16A6"/>
    <w:multiLevelType w:val="multilevel"/>
    <w:tmpl w:val="471215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F623DA"/>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03927AF"/>
    <w:multiLevelType w:val="multilevel"/>
    <w:tmpl w:val="4972262A"/>
    <w:numStyleLink w:val="HangingList"/>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B66643"/>
    <w:multiLevelType w:val="multilevel"/>
    <w:tmpl w:val="F736735C"/>
    <w:numStyleLink w:val="LstAlpha"/>
  </w:abstractNum>
  <w:abstractNum w:abstractNumId="1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001032"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001032"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001032"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3246CDA"/>
    <w:multiLevelType w:val="multilevel"/>
    <w:tmpl w:val="F736735C"/>
    <w:styleLink w:val="LstAlpha"/>
    <w:lvl w:ilvl="0">
      <w:start w:val="1"/>
      <w:numFmt w:val="lowerLetter"/>
      <w:pStyle w:val="ListAlpha"/>
      <w:lvlText w:val="%1."/>
      <w:lvlJc w:val="left"/>
      <w:pPr>
        <w:ind w:left="397" w:hanging="397"/>
      </w:pPr>
      <w:rPr>
        <w:rFonts w:hint="default"/>
      </w:rPr>
    </w:lvl>
    <w:lvl w:ilvl="1">
      <w:start w:val="1"/>
      <w:numFmt w:val="none"/>
      <w:lvlText w:val="%2"/>
      <w:lvlJc w:val="left"/>
      <w:pPr>
        <w:ind w:left="794" w:hanging="397"/>
      </w:pPr>
      <w:rPr>
        <w:rFonts w:hint="default"/>
      </w:rPr>
    </w:lvl>
    <w:lvl w:ilvl="2">
      <w:start w:val="1"/>
      <w:numFmt w:val="none"/>
      <w:lvlText w:val="%3"/>
      <w:lvlJc w:val="left"/>
      <w:pPr>
        <w:ind w:left="1191" w:hanging="397"/>
      </w:pPr>
      <w:rPr>
        <w:rFonts w:hint="default"/>
      </w:rPr>
    </w:lvl>
    <w:lvl w:ilvl="3">
      <w:start w:val="1"/>
      <w:numFmt w:val="none"/>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6"/>
      <w:lvlJc w:val="right"/>
      <w:pPr>
        <w:ind w:left="2382" w:hanging="397"/>
      </w:pPr>
      <w:rPr>
        <w:rFonts w:hint="default"/>
      </w:rPr>
    </w:lvl>
    <w:lvl w:ilvl="6">
      <w:start w:val="1"/>
      <w:numFmt w:val="none"/>
      <w:lvlText w:val="%7"/>
      <w:lvlJc w:val="left"/>
      <w:pPr>
        <w:ind w:left="2779" w:hanging="397"/>
      </w:pPr>
      <w:rPr>
        <w:rFonts w:hint="default"/>
      </w:rPr>
    </w:lvl>
    <w:lvl w:ilvl="7">
      <w:start w:val="1"/>
      <w:numFmt w:val="none"/>
      <w:lvlText w:val="%8"/>
      <w:lvlJc w:val="left"/>
      <w:pPr>
        <w:ind w:left="3176" w:hanging="397"/>
      </w:pPr>
      <w:rPr>
        <w:rFonts w:hint="default"/>
      </w:rPr>
    </w:lvl>
    <w:lvl w:ilvl="8">
      <w:start w:val="1"/>
      <w:numFmt w:val="none"/>
      <w:lvlText w:val="%9"/>
      <w:lvlJc w:val="right"/>
      <w:pPr>
        <w:ind w:left="3573" w:hanging="397"/>
      </w:pPr>
      <w:rPr>
        <w:rFonts w:hint="default"/>
      </w:rPr>
    </w:lvl>
  </w:abstractNum>
  <w:abstractNum w:abstractNumId="21" w15:restartNumberingAfterBreak="0">
    <w:nsid w:val="44687A2C"/>
    <w:multiLevelType w:val="multilevel"/>
    <w:tmpl w:val="5F60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013C64"/>
    <w:multiLevelType w:val="multilevel"/>
    <w:tmpl w:val="FFA858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AA27F2E"/>
    <w:multiLevelType w:val="multilevel"/>
    <w:tmpl w:val="BD3E64C2"/>
    <w:name w:val="Bullets"/>
    <w:lvl w:ilvl="0">
      <w:start w:val="1"/>
      <w:numFmt w:val="bullet"/>
      <w:lvlText w:val="•"/>
      <w:lvlJc w:val="left"/>
      <w:pPr>
        <w:ind w:left="397" w:hanging="397"/>
      </w:pPr>
      <w:rPr>
        <w:rFonts w:ascii="Arial" w:hAnsi="Arial" w:hint="default"/>
      </w:rPr>
    </w:lvl>
    <w:lvl w:ilvl="1">
      <w:start w:val="1"/>
      <w:numFmt w:val="bullet"/>
      <w:lvlText w:val="-"/>
      <w:lvlJc w:val="left"/>
      <w:pPr>
        <w:ind w:left="794" w:hanging="397"/>
      </w:pPr>
      <w:rPr>
        <w:rFonts w:ascii="Arial" w:hAnsi="Arial" w:hint="default"/>
      </w:rPr>
    </w:lvl>
    <w:lvl w:ilvl="2">
      <w:start w:val="1"/>
      <w:numFmt w:val="bullet"/>
      <w:lvlText w:val="◦"/>
      <w:lvlJc w:val="left"/>
      <w:pPr>
        <w:ind w:left="1191" w:hanging="397"/>
      </w:pPr>
      <w:rPr>
        <w:rFonts w:ascii="Arial" w:hAnsi="Arial" w:hint="default"/>
      </w:rPr>
    </w:lvl>
    <w:lvl w:ilvl="3">
      <w:start w:val="1"/>
      <w:numFmt w:val="bullet"/>
      <w:lvlText w:val="▪"/>
      <w:lvlJc w:val="left"/>
      <w:pPr>
        <w:ind w:left="1588" w:hanging="397"/>
      </w:pPr>
      <w:rPr>
        <w:rFonts w:ascii="Arial" w:hAnsi="Arial" w:hint="default"/>
      </w:rPr>
    </w:lvl>
    <w:lvl w:ilvl="4">
      <w:start w:val="1"/>
      <w:numFmt w:val="bullet"/>
      <w:lvlText w:val="o"/>
      <w:lvlJc w:val="left"/>
      <w:pPr>
        <w:tabs>
          <w:tab w:val="num" w:pos="2155"/>
        </w:tabs>
        <w:ind w:left="1985" w:hanging="397"/>
      </w:pPr>
      <w:rPr>
        <w:rFonts w:ascii="Courier New" w:hAnsi="Courier New" w:cs="Courier New" w:hint="default"/>
      </w:rPr>
    </w:lvl>
    <w:lvl w:ilvl="5">
      <w:start w:val="1"/>
      <w:numFmt w:val="bullet"/>
      <w:lvlText w:val=""/>
      <w:lvlJc w:val="left"/>
      <w:pPr>
        <w:tabs>
          <w:tab w:val="num" w:pos="2552"/>
        </w:tabs>
        <w:ind w:left="2382" w:hanging="397"/>
      </w:pPr>
      <w:rPr>
        <w:rFonts w:ascii="Wingdings" w:hAnsi="Wingdings" w:hint="default"/>
      </w:rPr>
    </w:lvl>
    <w:lvl w:ilvl="6">
      <w:start w:val="1"/>
      <w:numFmt w:val="bullet"/>
      <w:lvlText w:val=""/>
      <w:lvlJc w:val="left"/>
      <w:pPr>
        <w:tabs>
          <w:tab w:val="num" w:pos="2949"/>
        </w:tabs>
        <w:ind w:left="2779" w:hanging="397"/>
      </w:pPr>
      <w:rPr>
        <w:rFonts w:ascii="Symbol" w:hAnsi="Symbol" w:hint="default"/>
      </w:rPr>
    </w:lvl>
    <w:lvl w:ilvl="7">
      <w:start w:val="1"/>
      <w:numFmt w:val="bullet"/>
      <w:lvlText w:val="o"/>
      <w:lvlJc w:val="left"/>
      <w:pPr>
        <w:tabs>
          <w:tab w:val="num" w:pos="3346"/>
        </w:tabs>
        <w:ind w:left="3176" w:hanging="397"/>
      </w:pPr>
      <w:rPr>
        <w:rFonts w:ascii="Courier New" w:hAnsi="Courier New" w:cs="Courier New" w:hint="default"/>
      </w:rPr>
    </w:lvl>
    <w:lvl w:ilvl="8">
      <w:start w:val="1"/>
      <w:numFmt w:val="bullet"/>
      <w:lvlText w:val=""/>
      <w:lvlJc w:val="left"/>
      <w:pPr>
        <w:tabs>
          <w:tab w:val="num" w:pos="3743"/>
        </w:tabs>
        <w:ind w:left="3573" w:hanging="397"/>
      </w:pPr>
      <w:rPr>
        <w:rFonts w:ascii="Wingdings" w:hAnsi="Wingdings" w:hint="default"/>
      </w:rPr>
    </w:lvl>
  </w:abstractNum>
  <w:abstractNum w:abstractNumId="24" w15:restartNumberingAfterBreak="0">
    <w:nsid w:val="4E380AB1"/>
    <w:multiLevelType w:val="multilevel"/>
    <w:tmpl w:val="ECEE2290"/>
    <w:numStyleLink w:val="LstStandardNumbering"/>
  </w:abstractNum>
  <w:abstractNum w:abstractNumId="2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6" w15:restartNumberingAfterBreak="0">
    <w:nsid w:val="533157A3"/>
    <w:multiLevelType w:val="multilevel"/>
    <w:tmpl w:val="4BDCB4EA"/>
    <w:name w:val="NumberedHeadings"/>
    <w:lvl w:ilvl="0">
      <w:start w:val="1"/>
      <w:numFmt w:val="decimal"/>
      <w:lvlText w:val="%1."/>
      <w:lvlJc w:val="left"/>
      <w:pPr>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7" w15:restartNumberingAfterBreak="0">
    <w:nsid w:val="5680327F"/>
    <w:multiLevelType w:val="multilevel"/>
    <w:tmpl w:val="5540E618"/>
    <w:styleLink w:val="LstBullets"/>
    <w:lvl w:ilvl="0">
      <w:start w:val="1"/>
      <w:numFmt w:val="bullet"/>
      <w:pStyle w:val="ListBullet"/>
      <w:lvlText w:val="•"/>
      <w:lvlJc w:val="left"/>
      <w:pPr>
        <w:ind w:left="397" w:hanging="397"/>
      </w:pPr>
      <w:rPr>
        <w:rFonts w:ascii="Arial" w:hAnsi="Arial" w:hint="default"/>
      </w:rPr>
    </w:lvl>
    <w:lvl w:ilvl="1">
      <w:start w:val="1"/>
      <w:numFmt w:val="bullet"/>
      <w:pStyle w:val="ListBullet2"/>
      <w:lvlText w:val="-"/>
      <w:lvlJc w:val="left"/>
      <w:pPr>
        <w:ind w:left="794" w:hanging="397"/>
      </w:pPr>
      <w:rPr>
        <w:rFonts w:ascii="Arial" w:hAnsi="Arial" w:hint="default"/>
      </w:rPr>
    </w:lvl>
    <w:lvl w:ilvl="2">
      <w:start w:val="1"/>
      <w:numFmt w:val="bullet"/>
      <w:pStyle w:val="ListBullet3"/>
      <w:lvlText w:val="◦"/>
      <w:lvlJc w:val="left"/>
      <w:pPr>
        <w:ind w:left="1191" w:hanging="397"/>
      </w:pPr>
      <w:rPr>
        <w:rFonts w:ascii="Arial" w:hAnsi="Arial" w:hint="default"/>
      </w:rPr>
    </w:lvl>
    <w:lvl w:ilvl="3">
      <w:start w:val="1"/>
      <w:numFmt w:val="bullet"/>
      <w:pStyle w:val="ListBullet4"/>
      <w:lvlText w:val="▪"/>
      <w:lvlJc w:val="left"/>
      <w:pPr>
        <w:ind w:left="1588" w:hanging="397"/>
      </w:pPr>
      <w:rPr>
        <w:rFonts w:ascii="Arial" w:hAnsi="Arial" w:hint="default"/>
      </w:rPr>
    </w:lvl>
    <w:lvl w:ilvl="4">
      <w:start w:val="1"/>
      <w:numFmt w:val="bullet"/>
      <w:lvlText w:val="o"/>
      <w:lvlJc w:val="left"/>
      <w:pPr>
        <w:tabs>
          <w:tab w:val="num" w:pos="2155"/>
        </w:tabs>
        <w:ind w:left="1985" w:hanging="397"/>
      </w:pPr>
      <w:rPr>
        <w:rFonts w:ascii="Courier New" w:hAnsi="Courier New" w:cs="Courier New" w:hint="default"/>
      </w:rPr>
    </w:lvl>
    <w:lvl w:ilvl="5">
      <w:start w:val="1"/>
      <w:numFmt w:val="bullet"/>
      <w:lvlText w:val=""/>
      <w:lvlJc w:val="left"/>
      <w:pPr>
        <w:tabs>
          <w:tab w:val="num" w:pos="2552"/>
        </w:tabs>
        <w:ind w:left="2382" w:hanging="397"/>
      </w:pPr>
      <w:rPr>
        <w:rFonts w:ascii="Wingdings" w:hAnsi="Wingdings" w:hint="default"/>
      </w:rPr>
    </w:lvl>
    <w:lvl w:ilvl="6">
      <w:start w:val="1"/>
      <w:numFmt w:val="bullet"/>
      <w:lvlText w:val=""/>
      <w:lvlJc w:val="left"/>
      <w:pPr>
        <w:tabs>
          <w:tab w:val="num" w:pos="2949"/>
        </w:tabs>
        <w:ind w:left="2779" w:hanging="397"/>
      </w:pPr>
      <w:rPr>
        <w:rFonts w:ascii="Symbol" w:hAnsi="Symbol" w:hint="default"/>
      </w:rPr>
    </w:lvl>
    <w:lvl w:ilvl="7">
      <w:start w:val="1"/>
      <w:numFmt w:val="bullet"/>
      <w:lvlText w:val="o"/>
      <w:lvlJc w:val="left"/>
      <w:pPr>
        <w:tabs>
          <w:tab w:val="num" w:pos="3346"/>
        </w:tabs>
        <w:ind w:left="3176" w:hanging="397"/>
      </w:pPr>
      <w:rPr>
        <w:rFonts w:ascii="Courier New" w:hAnsi="Courier New" w:cs="Courier New" w:hint="default"/>
      </w:rPr>
    </w:lvl>
    <w:lvl w:ilvl="8">
      <w:start w:val="1"/>
      <w:numFmt w:val="bullet"/>
      <w:lvlText w:val=""/>
      <w:lvlJc w:val="left"/>
      <w:pPr>
        <w:tabs>
          <w:tab w:val="num" w:pos="3743"/>
        </w:tabs>
        <w:ind w:left="3573" w:hanging="397"/>
      </w:pPr>
      <w:rPr>
        <w:rFonts w:ascii="Wingdings" w:hAnsi="Wingdings" w:hint="default"/>
      </w:rPr>
    </w:lvl>
  </w:abstractNum>
  <w:abstractNum w:abstractNumId="2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9"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0" w15:restartNumberingAfterBreak="0">
    <w:nsid w:val="59B82888"/>
    <w:multiLevelType w:val="multilevel"/>
    <w:tmpl w:val="5540E618"/>
    <w:numStyleLink w:val="LstBullets"/>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3" w15:restartNumberingAfterBreak="0">
    <w:nsid w:val="61387C37"/>
    <w:multiLevelType w:val="multilevel"/>
    <w:tmpl w:val="ECEE2290"/>
    <w:styleLink w:val="LstStandardNumbering"/>
    <w:lvl w:ilvl="0">
      <w:start w:val="1"/>
      <w:numFmt w:val="decimal"/>
      <w:pStyle w:val="List"/>
      <w:lvlText w:val="%1."/>
      <w:lvlJc w:val="left"/>
      <w:pPr>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Arial" w:hAnsi="Arial" w:hint="default"/>
      </w:rPr>
    </w:lvl>
    <w:lvl w:ilvl="4">
      <w:start w:val="1"/>
      <w:numFmt w:val="bullet"/>
      <w:lvlText w:val="o"/>
      <w:lvlJc w:val="left"/>
      <w:pPr>
        <w:ind w:left="1985" w:hanging="397"/>
      </w:pPr>
      <w:rPr>
        <w:rFonts w:ascii="Courier New" w:hAnsi="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4"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001032" w:themeColor="text2"/>
      </w:rPr>
    </w:lvl>
    <w:lvl w:ilvl="1">
      <w:start w:val="1"/>
      <w:numFmt w:val="bullet"/>
      <w:lvlText w:val="–"/>
      <w:lvlJc w:val="left"/>
      <w:pPr>
        <w:ind w:left="539" w:hanging="227"/>
      </w:pPr>
      <w:rPr>
        <w:rFonts w:ascii="Arial" w:hAnsi="Arial" w:hint="default"/>
        <w:color w:val="001032"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001032" w:themeColor="text2"/>
        <w:sz w:val="32"/>
      </w:rPr>
    </w:lvl>
    <w:lvl w:ilvl="1">
      <w:start w:val="1"/>
      <w:numFmt w:val="decimal"/>
      <w:lvlText w:val="%2."/>
      <w:lvlJc w:val="left"/>
      <w:pPr>
        <w:tabs>
          <w:tab w:val="num" w:pos="992"/>
        </w:tabs>
        <w:ind w:left="992" w:hanging="992"/>
      </w:pPr>
      <w:rPr>
        <w:rFonts w:hint="default"/>
        <w:b w:val="0"/>
        <w:i w:val="0"/>
        <w:color w:val="001032"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1032"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001032" w:themeColor="text2"/>
        <w:position w:val="2"/>
        <w:sz w:val="20"/>
      </w:rPr>
    </w:lvl>
    <w:lvl w:ilvl="2">
      <w:start w:val="1"/>
      <w:numFmt w:val="bullet"/>
      <w:lvlText w:val="–"/>
      <w:lvlJc w:val="left"/>
      <w:pPr>
        <w:tabs>
          <w:tab w:val="num" w:pos="1361"/>
        </w:tabs>
        <w:ind w:left="1361" w:hanging="340"/>
      </w:pPr>
      <w:rPr>
        <w:rFonts w:ascii="Arial" w:hAnsi="Arial" w:hint="default"/>
        <w:color w:val="00103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7D0B504E"/>
    <w:multiLevelType w:val="multilevel"/>
    <w:tmpl w:val="7C183DDC"/>
    <w:name w:val="Bullets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Arial" w:hAnsi="Arial" w:hint="default"/>
      </w:rPr>
    </w:lvl>
    <w:lvl w:ilvl="4">
      <w:start w:val="1"/>
      <w:numFmt w:val="bullet"/>
      <w:lvlText w:val="o"/>
      <w:lvlJc w:val="left"/>
      <w:pPr>
        <w:ind w:left="1985" w:hanging="397"/>
      </w:pPr>
      <w:rPr>
        <w:rFonts w:ascii="Courier New" w:hAnsi="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001032"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974215733">
    <w:abstractNumId w:val="8"/>
  </w:num>
  <w:num w:numId="2" w16cid:durableId="42020749">
    <w:abstractNumId w:val="32"/>
  </w:num>
  <w:num w:numId="3" w16cid:durableId="270548580">
    <w:abstractNumId w:val="3"/>
  </w:num>
  <w:num w:numId="4" w16cid:durableId="1763456571">
    <w:abstractNumId w:val="9"/>
  </w:num>
  <w:num w:numId="5" w16cid:durableId="1458254607">
    <w:abstractNumId w:val="33"/>
  </w:num>
  <w:num w:numId="6" w16cid:durableId="208999996">
    <w:abstractNumId w:val="12"/>
  </w:num>
  <w:num w:numId="7" w16cid:durableId="217862125">
    <w:abstractNumId w:val="27"/>
  </w:num>
  <w:num w:numId="8" w16cid:durableId="4178229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766193">
    <w:abstractNumId w:val="24"/>
  </w:num>
  <w:num w:numId="10" w16cid:durableId="1723168124">
    <w:abstractNumId w:val="2"/>
  </w:num>
  <w:num w:numId="11" w16cid:durableId="1509055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1048319">
    <w:abstractNumId w:val="20"/>
  </w:num>
  <w:num w:numId="13" w16cid:durableId="589242416">
    <w:abstractNumId w:val="15"/>
  </w:num>
  <w:num w:numId="14" w16cid:durableId="1291789982">
    <w:abstractNumId w:val="7"/>
  </w:num>
  <w:num w:numId="15" w16cid:durableId="1151556108">
    <w:abstractNumId w:val="30"/>
  </w:num>
  <w:num w:numId="16" w16cid:durableId="1480418186">
    <w:abstractNumId w:val="0"/>
  </w:num>
  <w:num w:numId="17" w16cid:durableId="823157429">
    <w:abstractNumId w:val="5"/>
  </w:num>
  <w:num w:numId="18" w16cid:durableId="410392330">
    <w:abstractNumId w:val="22"/>
  </w:num>
  <w:num w:numId="19" w16cid:durableId="2114206275">
    <w:abstractNumId w:val="10"/>
  </w:num>
  <w:num w:numId="20" w16cid:durableId="76534788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F06C27"/>
    <w:rsid w:val="00000194"/>
    <w:rsid w:val="0000092E"/>
    <w:rsid w:val="00001FD3"/>
    <w:rsid w:val="000035F6"/>
    <w:rsid w:val="00003779"/>
    <w:rsid w:val="00004327"/>
    <w:rsid w:val="00004810"/>
    <w:rsid w:val="00004A68"/>
    <w:rsid w:val="00004EEE"/>
    <w:rsid w:val="000068CA"/>
    <w:rsid w:val="0000736B"/>
    <w:rsid w:val="000105A9"/>
    <w:rsid w:val="00010F89"/>
    <w:rsid w:val="000115DE"/>
    <w:rsid w:val="00011C29"/>
    <w:rsid w:val="00011F46"/>
    <w:rsid w:val="0001216C"/>
    <w:rsid w:val="000125A5"/>
    <w:rsid w:val="00013C91"/>
    <w:rsid w:val="00014AD2"/>
    <w:rsid w:val="000152AC"/>
    <w:rsid w:val="000160DB"/>
    <w:rsid w:val="00016883"/>
    <w:rsid w:val="000176E7"/>
    <w:rsid w:val="00017E78"/>
    <w:rsid w:val="00020166"/>
    <w:rsid w:val="00020425"/>
    <w:rsid w:val="0002048A"/>
    <w:rsid w:val="00022FC9"/>
    <w:rsid w:val="0002313E"/>
    <w:rsid w:val="00023619"/>
    <w:rsid w:val="00024DE5"/>
    <w:rsid w:val="00024F9A"/>
    <w:rsid w:val="000265EA"/>
    <w:rsid w:val="00026DC2"/>
    <w:rsid w:val="00026F37"/>
    <w:rsid w:val="00026F6C"/>
    <w:rsid w:val="000273C5"/>
    <w:rsid w:val="00030A38"/>
    <w:rsid w:val="000332EC"/>
    <w:rsid w:val="000337A3"/>
    <w:rsid w:val="00034379"/>
    <w:rsid w:val="000343D3"/>
    <w:rsid w:val="000345A1"/>
    <w:rsid w:val="000346AE"/>
    <w:rsid w:val="00034E7A"/>
    <w:rsid w:val="00036D45"/>
    <w:rsid w:val="000374E9"/>
    <w:rsid w:val="000408B7"/>
    <w:rsid w:val="00040EB4"/>
    <w:rsid w:val="000411A2"/>
    <w:rsid w:val="00041613"/>
    <w:rsid w:val="00042903"/>
    <w:rsid w:val="0004675A"/>
    <w:rsid w:val="00050713"/>
    <w:rsid w:val="00051825"/>
    <w:rsid w:val="00051BFC"/>
    <w:rsid w:val="00051D5C"/>
    <w:rsid w:val="00052454"/>
    <w:rsid w:val="0005252A"/>
    <w:rsid w:val="00053C58"/>
    <w:rsid w:val="00056024"/>
    <w:rsid w:val="000574CC"/>
    <w:rsid w:val="0005768A"/>
    <w:rsid w:val="00057C60"/>
    <w:rsid w:val="00060B9F"/>
    <w:rsid w:val="00062B51"/>
    <w:rsid w:val="000634B5"/>
    <w:rsid w:val="00066A4B"/>
    <w:rsid w:val="00067A55"/>
    <w:rsid w:val="0007166A"/>
    <w:rsid w:val="00071DF4"/>
    <w:rsid w:val="0007247D"/>
    <w:rsid w:val="00074EF6"/>
    <w:rsid w:val="000764DD"/>
    <w:rsid w:val="00076CEC"/>
    <w:rsid w:val="000770EF"/>
    <w:rsid w:val="00080082"/>
    <w:rsid w:val="000809F5"/>
    <w:rsid w:val="00080B70"/>
    <w:rsid w:val="00082701"/>
    <w:rsid w:val="00082CAC"/>
    <w:rsid w:val="00083AA2"/>
    <w:rsid w:val="00084998"/>
    <w:rsid w:val="00086400"/>
    <w:rsid w:val="0008678B"/>
    <w:rsid w:val="00086C5B"/>
    <w:rsid w:val="00087CE5"/>
    <w:rsid w:val="00090C31"/>
    <w:rsid w:val="00090D68"/>
    <w:rsid w:val="0009129D"/>
    <w:rsid w:val="00091338"/>
    <w:rsid w:val="00091490"/>
    <w:rsid w:val="00091E67"/>
    <w:rsid w:val="00093AB0"/>
    <w:rsid w:val="00093DB2"/>
    <w:rsid w:val="0009422B"/>
    <w:rsid w:val="00094C04"/>
    <w:rsid w:val="00095505"/>
    <w:rsid w:val="0009636C"/>
    <w:rsid w:val="00097178"/>
    <w:rsid w:val="000971A5"/>
    <w:rsid w:val="000A043A"/>
    <w:rsid w:val="000A0772"/>
    <w:rsid w:val="000A07D4"/>
    <w:rsid w:val="000A0D39"/>
    <w:rsid w:val="000A14B4"/>
    <w:rsid w:val="000A1A10"/>
    <w:rsid w:val="000A2A5F"/>
    <w:rsid w:val="000A4DD8"/>
    <w:rsid w:val="000A513C"/>
    <w:rsid w:val="000A55E9"/>
    <w:rsid w:val="000A64D2"/>
    <w:rsid w:val="000A65C4"/>
    <w:rsid w:val="000B02C8"/>
    <w:rsid w:val="000B07C0"/>
    <w:rsid w:val="000B29BA"/>
    <w:rsid w:val="000B4476"/>
    <w:rsid w:val="000B4617"/>
    <w:rsid w:val="000B51BB"/>
    <w:rsid w:val="000B59CB"/>
    <w:rsid w:val="000B5AC1"/>
    <w:rsid w:val="000B6301"/>
    <w:rsid w:val="000B65EE"/>
    <w:rsid w:val="000B6910"/>
    <w:rsid w:val="000C036C"/>
    <w:rsid w:val="000C043D"/>
    <w:rsid w:val="000C269E"/>
    <w:rsid w:val="000C3390"/>
    <w:rsid w:val="000C3827"/>
    <w:rsid w:val="000C4032"/>
    <w:rsid w:val="000C440C"/>
    <w:rsid w:val="000C4AFB"/>
    <w:rsid w:val="000C620E"/>
    <w:rsid w:val="000C782D"/>
    <w:rsid w:val="000C7BB4"/>
    <w:rsid w:val="000D01DB"/>
    <w:rsid w:val="000D0471"/>
    <w:rsid w:val="000D04B1"/>
    <w:rsid w:val="000D1DA0"/>
    <w:rsid w:val="000D2B3D"/>
    <w:rsid w:val="000D319F"/>
    <w:rsid w:val="000D36F9"/>
    <w:rsid w:val="000D3881"/>
    <w:rsid w:val="000D3CAE"/>
    <w:rsid w:val="000D5967"/>
    <w:rsid w:val="000D6482"/>
    <w:rsid w:val="000D66AF"/>
    <w:rsid w:val="000D6A44"/>
    <w:rsid w:val="000D73BF"/>
    <w:rsid w:val="000D73C9"/>
    <w:rsid w:val="000D7F5B"/>
    <w:rsid w:val="000E0068"/>
    <w:rsid w:val="000E1777"/>
    <w:rsid w:val="000E2BFA"/>
    <w:rsid w:val="000E2E35"/>
    <w:rsid w:val="000E2F22"/>
    <w:rsid w:val="000E35EE"/>
    <w:rsid w:val="000E38AA"/>
    <w:rsid w:val="000E4946"/>
    <w:rsid w:val="000E5431"/>
    <w:rsid w:val="000E79F7"/>
    <w:rsid w:val="000E79FA"/>
    <w:rsid w:val="000F0977"/>
    <w:rsid w:val="000F09E7"/>
    <w:rsid w:val="000F0AB0"/>
    <w:rsid w:val="000F1017"/>
    <w:rsid w:val="000F2BEC"/>
    <w:rsid w:val="000F32BD"/>
    <w:rsid w:val="000F3362"/>
    <w:rsid w:val="000F436A"/>
    <w:rsid w:val="000F47F5"/>
    <w:rsid w:val="000F4D26"/>
    <w:rsid w:val="000F59FB"/>
    <w:rsid w:val="000F5E55"/>
    <w:rsid w:val="000F6093"/>
    <w:rsid w:val="000F7466"/>
    <w:rsid w:val="000F7BB5"/>
    <w:rsid w:val="000F7C2D"/>
    <w:rsid w:val="00101215"/>
    <w:rsid w:val="001018D3"/>
    <w:rsid w:val="00101A91"/>
    <w:rsid w:val="001023F4"/>
    <w:rsid w:val="00102804"/>
    <w:rsid w:val="001042E1"/>
    <w:rsid w:val="0010455D"/>
    <w:rsid w:val="00105FBE"/>
    <w:rsid w:val="00107C8F"/>
    <w:rsid w:val="0011038E"/>
    <w:rsid w:val="0011087C"/>
    <w:rsid w:val="0011132C"/>
    <w:rsid w:val="0011224F"/>
    <w:rsid w:val="00112EDB"/>
    <w:rsid w:val="0011371C"/>
    <w:rsid w:val="00113A48"/>
    <w:rsid w:val="0011429D"/>
    <w:rsid w:val="00114377"/>
    <w:rsid w:val="001156B1"/>
    <w:rsid w:val="00116264"/>
    <w:rsid w:val="001176AC"/>
    <w:rsid w:val="00120092"/>
    <w:rsid w:val="0012041B"/>
    <w:rsid w:val="00120D59"/>
    <w:rsid w:val="001230A0"/>
    <w:rsid w:val="001244D8"/>
    <w:rsid w:val="001252B3"/>
    <w:rsid w:val="001267C9"/>
    <w:rsid w:val="001268C6"/>
    <w:rsid w:val="00126943"/>
    <w:rsid w:val="00127DDD"/>
    <w:rsid w:val="0013044E"/>
    <w:rsid w:val="00130B14"/>
    <w:rsid w:val="001320DB"/>
    <w:rsid w:val="00132534"/>
    <w:rsid w:val="00132ECF"/>
    <w:rsid w:val="00133CEB"/>
    <w:rsid w:val="00135A21"/>
    <w:rsid w:val="0013609B"/>
    <w:rsid w:val="00137A24"/>
    <w:rsid w:val="001406CA"/>
    <w:rsid w:val="001417FF"/>
    <w:rsid w:val="00142974"/>
    <w:rsid w:val="00144086"/>
    <w:rsid w:val="00144787"/>
    <w:rsid w:val="00145F74"/>
    <w:rsid w:val="0014690C"/>
    <w:rsid w:val="00146947"/>
    <w:rsid w:val="00147141"/>
    <w:rsid w:val="0014722D"/>
    <w:rsid w:val="00150FD3"/>
    <w:rsid w:val="001536B2"/>
    <w:rsid w:val="00155192"/>
    <w:rsid w:val="00155B41"/>
    <w:rsid w:val="00155B79"/>
    <w:rsid w:val="00156406"/>
    <w:rsid w:val="0015669A"/>
    <w:rsid w:val="00156BC1"/>
    <w:rsid w:val="001571C1"/>
    <w:rsid w:val="00157F04"/>
    <w:rsid w:val="00160C09"/>
    <w:rsid w:val="00160EA5"/>
    <w:rsid w:val="00161183"/>
    <w:rsid w:val="00162508"/>
    <w:rsid w:val="0016271B"/>
    <w:rsid w:val="00162EBC"/>
    <w:rsid w:val="0016336A"/>
    <w:rsid w:val="00163A5B"/>
    <w:rsid w:val="00164012"/>
    <w:rsid w:val="00164716"/>
    <w:rsid w:val="00166097"/>
    <w:rsid w:val="00166E6D"/>
    <w:rsid w:val="00167022"/>
    <w:rsid w:val="00170701"/>
    <w:rsid w:val="0017161A"/>
    <w:rsid w:val="001726D4"/>
    <w:rsid w:val="001728B5"/>
    <w:rsid w:val="00174052"/>
    <w:rsid w:val="001745CE"/>
    <w:rsid w:val="001750A0"/>
    <w:rsid w:val="001766D2"/>
    <w:rsid w:val="001768FA"/>
    <w:rsid w:val="0017749D"/>
    <w:rsid w:val="001778A7"/>
    <w:rsid w:val="00180E8D"/>
    <w:rsid w:val="001813B0"/>
    <w:rsid w:val="001818D8"/>
    <w:rsid w:val="0018239D"/>
    <w:rsid w:val="001825CC"/>
    <w:rsid w:val="001827CC"/>
    <w:rsid w:val="0018426D"/>
    <w:rsid w:val="00184490"/>
    <w:rsid w:val="001844C6"/>
    <w:rsid w:val="001845EF"/>
    <w:rsid w:val="00184B03"/>
    <w:rsid w:val="00186186"/>
    <w:rsid w:val="001874D7"/>
    <w:rsid w:val="00187B9E"/>
    <w:rsid w:val="001910A0"/>
    <w:rsid w:val="001910A2"/>
    <w:rsid w:val="00191188"/>
    <w:rsid w:val="001911BB"/>
    <w:rsid w:val="00191308"/>
    <w:rsid w:val="00192F5C"/>
    <w:rsid w:val="00194013"/>
    <w:rsid w:val="001942E7"/>
    <w:rsid w:val="001945C8"/>
    <w:rsid w:val="00194AAE"/>
    <w:rsid w:val="00194B60"/>
    <w:rsid w:val="00195D19"/>
    <w:rsid w:val="0019756C"/>
    <w:rsid w:val="00197D54"/>
    <w:rsid w:val="001A0FC3"/>
    <w:rsid w:val="001A26B9"/>
    <w:rsid w:val="001A3352"/>
    <w:rsid w:val="001A3695"/>
    <w:rsid w:val="001A59BB"/>
    <w:rsid w:val="001A63B0"/>
    <w:rsid w:val="001A6B09"/>
    <w:rsid w:val="001B017B"/>
    <w:rsid w:val="001B08FF"/>
    <w:rsid w:val="001B1992"/>
    <w:rsid w:val="001B1B2B"/>
    <w:rsid w:val="001B2A09"/>
    <w:rsid w:val="001B2AD7"/>
    <w:rsid w:val="001B2D49"/>
    <w:rsid w:val="001B32D1"/>
    <w:rsid w:val="001B330C"/>
    <w:rsid w:val="001B67AB"/>
    <w:rsid w:val="001B6D41"/>
    <w:rsid w:val="001B6E7E"/>
    <w:rsid w:val="001B7E65"/>
    <w:rsid w:val="001C145F"/>
    <w:rsid w:val="001C158E"/>
    <w:rsid w:val="001C2489"/>
    <w:rsid w:val="001C2510"/>
    <w:rsid w:val="001C2788"/>
    <w:rsid w:val="001C31C0"/>
    <w:rsid w:val="001C40E3"/>
    <w:rsid w:val="001C4151"/>
    <w:rsid w:val="001C4657"/>
    <w:rsid w:val="001C6122"/>
    <w:rsid w:val="001D223D"/>
    <w:rsid w:val="001D2D53"/>
    <w:rsid w:val="001D39F8"/>
    <w:rsid w:val="001D3B02"/>
    <w:rsid w:val="001D5D1A"/>
    <w:rsid w:val="001D5FC7"/>
    <w:rsid w:val="001D6139"/>
    <w:rsid w:val="001D63D0"/>
    <w:rsid w:val="001D78C3"/>
    <w:rsid w:val="001E04BC"/>
    <w:rsid w:val="001E0F7E"/>
    <w:rsid w:val="001E1DB7"/>
    <w:rsid w:val="001E1E00"/>
    <w:rsid w:val="001E2412"/>
    <w:rsid w:val="001E3629"/>
    <w:rsid w:val="001E3E6C"/>
    <w:rsid w:val="001E43CC"/>
    <w:rsid w:val="001E4467"/>
    <w:rsid w:val="001E48EA"/>
    <w:rsid w:val="001E51A2"/>
    <w:rsid w:val="001E6421"/>
    <w:rsid w:val="001E6674"/>
    <w:rsid w:val="001E70EA"/>
    <w:rsid w:val="001E7F43"/>
    <w:rsid w:val="001F0A72"/>
    <w:rsid w:val="001F302E"/>
    <w:rsid w:val="001F44D3"/>
    <w:rsid w:val="001F4765"/>
    <w:rsid w:val="001F5040"/>
    <w:rsid w:val="001F5BF9"/>
    <w:rsid w:val="001F618A"/>
    <w:rsid w:val="001F6460"/>
    <w:rsid w:val="001F6826"/>
    <w:rsid w:val="001F797E"/>
    <w:rsid w:val="001F79DC"/>
    <w:rsid w:val="0020269C"/>
    <w:rsid w:val="0020272B"/>
    <w:rsid w:val="00202D57"/>
    <w:rsid w:val="002048EC"/>
    <w:rsid w:val="00205FF5"/>
    <w:rsid w:val="002071C2"/>
    <w:rsid w:val="00207596"/>
    <w:rsid w:val="00207E74"/>
    <w:rsid w:val="00210B5C"/>
    <w:rsid w:val="00210C96"/>
    <w:rsid w:val="00211075"/>
    <w:rsid w:val="0021154B"/>
    <w:rsid w:val="00212101"/>
    <w:rsid w:val="00213177"/>
    <w:rsid w:val="00213B2D"/>
    <w:rsid w:val="00214138"/>
    <w:rsid w:val="002146AD"/>
    <w:rsid w:val="002146FB"/>
    <w:rsid w:val="002155D1"/>
    <w:rsid w:val="00215E28"/>
    <w:rsid w:val="00216468"/>
    <w:rsid w:val="002167E2"/>
    <w:rsid w:val="00223533"/>
    <w:rsid w:val="002247B9"/>
    <w:rsid w:val="00226225"/>
    <w:rsid w:val="00226A73"/>
    <w:rsid w:val="00226BF6"/>
    <w:rsid w:val="00226E62"/>
    <w:rsid w:val="00230259"/>
    <w:rsid w:val="002303F7"/>
    <w:rsid w:val="002320D8"/>
    <w:rsid w:val="0023294F"/>
    <w:rsid w:val="00232D3E"/>
    <w:rsid w:val="00233B50"/>
    <w:rsid w:val="002353F9"/>
    <w:rsid w:val="00235884"/>
    <w:rsid w:val="00235F67"/>
    <w:rsid w:val="0023624D"/>
    <w:rsid w:val="0023675C"/>
    <w:rsid w:val="00240884"/>
    <w:rsid w:val="00242651"/>
    <w:rsid w:val="00242C39"/>
    <w:rsid w:val="002430CF"/>
    <w:rsid w:val="00243399"/>
    <w:rsid w:val="00243A45"/>
    <w:rsid w:val="002448CB"/>
    <w:rsid w:val="002458B9"/>
    <w:rsid w:val="00247039"/>
    <w:rsid w:val="00247DAF"/>
    <w:rsid w:val="00250356"/>
    <w:rsid w:val="00251326"/>
    <w:rsid w:val="00251AD4"/>
    <w:rsid w:val="00252DEC"/>
    <w:rsid w:val="002533C2"/>
    <w:rsid w:val="00253C6D"/>
    <w:rsid w:val="0025402C"/>
    <w:rsid w:val="0025562D"/>
    <w:rsid w:val="0025626D"/>
    <w:rsid w:val="00256560"/>
    <w:rsid w:val="00256624"/>
    <w:rsid w:val="002567A7"/>
    <w:rsid w:val="00257BE9"/>
    <w:rsid w:val="00257F30"/>
    <w:rsid w:val="002600A1"/>
    <w:rsid w:val="002605FE"/>
    <w:rsid w:val="00260CB3"/>
    <w:rsid w:val="0026181D"/>
    <w:rsid w:val="00261C7F"/>
    <w:rsid w:val="00262457"/>
    <w:rsid w:val="0026258F"/>
    <w:rsid w:val="00262ACE"/>
    <w:rsid w:val="00263A79"/>
    <w:rsid w:val="00265C0D"/>
    <w:rsid w:val="0026655E"/>
    <w:rsid w:val="002671CE"/>
    <w:rsid w:val="0026756C"/>
    <w:rsid w:val="002676DE"/>
    <w:rsid w:val="0027011C"/>
    <w:rsid w:val="00270817"/>
    <w:rsid w:val="002715E9"/>
    <w:rsid w:val="0027194F"/>
    <w:rsid w:val="0027240B"/>
    <w:rsid w:val="002725BF"/>
    <w:rsid w:val="002725C1"/>
    <w:rsid w:val="00272A50"/>
    <w:rsid w:val="0027394E"/>
    <w:rsid w:val="00273F78"/>
    <w:rsid w:val="002743CC"/>
    <w:rsid w:val="00274C38"/>
    <w:rsid w:val="00274DED"/>
    <w:rsid w:val="00275582"/>
    <w:rsid w:val="0027759D"/>
    <w:rsid w:val="00277CC4"/>
    <w:rsid w:val="00281C53"/>
    <w:rsid w:val="00283EA9"/>
    <w:rsid w:val="00283F74"/>
    <w:rsid w:val="00284456"/>
    <w:rsid w:val="00284B9E"/>
    <w:rsid w:val="0028513C"/>
    <w:rsid w:val="002857D1"/>
    <w:rsid w:val="00291304"/>
    <w:rsid w:val="002915E5"/>
    <w:rsid w:val="00292442"/>
    <w:rsid w:val="00292A08"/>
    <w:rsid w:val="00294DAE"/>
    <w:rsid w:val="002953E2"/>
    <w:rsid w:val="00296ABF"/>
    <w:rsid w:val="00296C8A"/>
    <w:rsid w:val="00297C2D"/>
    <w:rsid w:val="002A0A44"/>
    <w:rsid w:val="002A11B8"/>
    <w:rsid w:val="002A175E"/>
    <w:rsid w:val="002A1929"/>
    <w:rsid w:val="002A1ACC"/>
    <w:rsid w:val="002A3D3F"/>
    <w:rsid w:val="002A48F8"/>
    <w:rsid w:val="002A4E2C"/>
    <w:rsid w:val="002A586A"/>
    <w:rsid w:val="002A621F"/>
    <w:rsid w:val="002A73A1"/>
    <w:rsid w:val="002A7D81"/>
    <w:rsid w:val="002B1078"/>
    <w:rsid w:val="002B118F"/>
    <w:rsid w:val="002B1929"/>
    <w:rsid w:val="002B23F8"/>
    <w:rsid w:val="002B4A7C"/>
    <w:rsid w:val="002B6B22"/>
    <w:rsid w:val="002B7185"/>
    <w:rsid w:val="002B742D"/>
    <w:rsid w:val="002B78E8"/>
    <w:rsid w:val="002B790E"/>
    <w:rsid w:val="002B7B5A"/>
    <w:rsid w:val="002C02B3"/>
    <w:rsid w:val="002C1034"/>
    <w:rsid w:val="002C19FC"/>
    <w:rsid w:val="002C2A75"/>
    <w:rsid w:val="002C37A5"/>
    <w:rsid w:val="002C44D9"/>
    <w:rsid w:val="002C4FCA"/>
    <w:rsid w:val="002C55A7"/>
    <w:rsid w:val="002C5D9A"/>
    <w:rsid w:val="002C6858"/>
    <w:rsid w:val="002C687F"/>
    <w:rsid w:val="002C76FE"/>
    <w:rsid w:val="002D10C1"/>
    <w:rsid w:val="002D11F9"/>
    <w:rsid w:val="002D1BB5"/>
    <w:rsid w:val="002D21C9"/>
    <w:rsid w:val="002D2577"/>
    <w:rsid w:val="002D2A80"/>
    <w:rsid w:val="002D2AB4"/>
    <w:rsid w:val="002D2D1D"/>
    <w:rsid w:val="002D4B23"/>
    <w:rsid w:val="002D7AA5"/>
    <w:rsid w:val="002E03B0"/>
    <w:rsid w:val="002E0ED2"/>
    <w:rsid w:val="002E1116"/>
    <w:rsid w:val="002E14EE"/>
    <w:rsid w:val="002E22BE"/>
    <w:rsid w:val="002E3000"/>
    <w:rsid w:val="002E34C5"/>
    <w:rsid w:val="002E3829"/>
    <w:rsid w:val="002E3B71"/>
    <w:rsid w:val="002E4D39"/>
    <w:rsid w:val="002E4E4D"/>
    <w:rsid w:val="002E5553"/>
    <w:rsid w:val="002E5D33"/>
    <w:rsid w:val="002E5E0C"/>
    <w:rsid w:val="002E6414"/>
    <w:rsid w:val="002E6528"/>
    <w:rsid w:val="002E7557"/>
    <w:rsid w:val="002F07A6"/>
    <w:rsid w:val="002F1E3D"/>
    <w:rsid w:val="002F3731"/>
    <w:rsid w:val="002F41ED"/>
    <w:rsid w:val="002F5F92"/>
    <w:rsid w:val="002F647B"/>
    <w:rsid w:val="00300A07"/>
    <w:rsid w:val="00300BB3"/>
    <w:rsid w:val="00300EE5"/>
    <w:rsid w:val="0030113D"/>
    <w:rsid w:val="00301162"/>
    <w:rsid w:val="00301647"/>
    <w:rsid w:val="0030192B"/>
    <w:rsid w:val="0030259D"/>
    <w:rsid w:val="00302A0C"/>
    <w:rsid w:val="00303004"/>
    <w:rsid w:val="0030427C"/>
    <w:rsid w:val="003060A8"/>
    <w:rsid w:val="0031041C"/>
    <w:rsid w:val="003106F5"/>
    <w:rsid w:val="0031211F"/>
    <w:rsid w:val="0031266F"/>
    <w:rsid w:val="003134AD"/>
    <w:rsid w:val="00315198"/>
    <w:rsid w:val="00315DC5"/>
    <w:rsid w:val="00316DFD"/>
    <w:rsid w:val="00316EE4"/>
    <w:rsid w:val="003172A7"/>
    <w:rsid w:val="00317D2D"/>
    <w:rsid w:val="00320BBE"/>
    <w:rsid w:val="00321A79"/>
    <w:rsid w:val="003224B4"/>
    <w:rsid w:val="00324524"/>
    <w:rsid w:val="00325018"/>
    <w:rsid w:val="00325069"/>
    <w:rsid w:val="00325A9E"/>
    <w:rsid w:val="00325E0A"/>
    <w:rsid w:val="00326E64"/>
    <w:rsid w:val="003306A2"/>
    <w:rsid w:val="00330D46"/>
    <w:rsid w:val="00331625"/>
    <w:rsid w:val="00331931"/>
    <w:rsid w:val="00331B78"/>
    <w:rsid w:val="003337C6"/>
    <w:rsid w:val="0033440F"/>
    <w:rsid w:val="003347F7"/>
    <w:rsid w:val="0033628F"/>
    <w:rsid w:val="00337868"/>
    <w:rsid w:val="003408F0"/>
    <w:rsid w:val="00340F88"/>
    <w:rsid w:val="003416B7"/>
    <w:rsid w:val="00341D4C"/>
    <w:rsid w:val="00341F59"/>
    <w:rsid w:val="0034207F"/>
    <w:rsid w:val="00342297"/>
    <w:rsid w:val="003425C3"/>
    <w:rsid w:val="00343100"/>
    <w:rsid w:val="00343F93"/>
    <w:rsid w:val="0034494D"/>
    <w:rsid w:val="0034678D"/>
    <w:rsid w:val="00346ADF"/>
    <w:rsid w:val="00347812"/>
    <w:rsid w:val="0035068B"/>
    <w:rsid w:val="00351996"/>
    <w:rsid w:val="0035206E"/>
    <w:rsid w:val="00354A7F"/>
    <w:rsid w:val="00355826"/>
    <w:rsid w:val="003558F6"/>
    <w:rsid w:val="00356026"/>
    <w:rsid w:val="003563B4"/>
    <w:rsid w:val="003567C6"/>
    <w:rsid w:val="00356A79"/>
    <w:rsid w:val="00356EBE"/>
    <w:rsid w:val="003609C1"/>
    <w:rsid w:val="0036126C"/>
    <w:rsid w:val="00361526"/>
    <w:rsid w:val="00361695"/>
    <w:rsid w:val="00361ECA"/>
    <w:rsid w:val="0036200D"/>
    <w:rsid w:val="0036258B"/>
    <w:rsid w:val="00362A66"/>
    <w:rsid w:val="00363C8B"/>
    <w:rsid w:val="00364559"/>
    <w:rsid w:val="00366E1B"/>
    <w:rsid w:val="0036747C"/>
    <w:rsid w:val="00370000"/>
    <w:rsid w:val="00370C5B"/>
    <w:rsid w:val="003727CD"/>
    <w:rsid w:val="003731E8"/>
    <w:rsid w:val="003753F7"/>
    <w:rsid w:val="003756A1"/>
    <w:rsid w:val="00375A74"/>
    <w:rsid w:val="00375DE3"/>
    <w:rsid w:val="003763C4"/>
    <w:rsid w:val="00376FAE"/>
    <w:rsid w:val="0037727C"/>
    <w:rsid w:val="003803CA"/>
    <w:rsid w:val="00380438"/>
    <w:rsid w:val="0038051D"/>
    <w:rsid w:val="003824AA"/>
    <w:rsid w:val="00383FF6"/>
    <w:rsid w:val="00384ADF"/>
    <w:rsid w:val="003853D3"/>
    <w:rsid w:val="0038559E"/>
    <w:rsid w:val="00386E87"/>
    <w:rsid w:val="00387193"/>
    <w:rsid w:val="00393A64"/>
    <w:rsid w:val="00393FAA"/>
    <w:rsid w:val="0039415F"/>
    <w:rsid w:val="0039477E"/>
    <w:rsid w:val="003954A4"/>
    <w:rsid w:val="00396D03"/>
    <w:rsid w:val="003972DF"/>
    <w:rsid w:val="003975FB"/>
    <w:rsid w:val="00397986"/>
    <w:rsid w:val="003A1569"/>
    <w:rsid w:val="003A2BFF"/>
    <w:rsid w:val="003A2FE3"/>
    <w:rsid w:val="003A3301"/>
    <w:rsid w:val="003A3ACA"/>
    <w:rsid w:val="003A3D8A"/>
    <w:rsid w:val="003A3E80"/>
    <w:rsid w:val="003A3F2F"/>
    <w:rsid w:val="003A414F"/>
    <w:rsid w:val="003A4666"/>
    <w:rsid w:val="003A538F"/>
    <w:rsid w:val="003A607D"/>
    <w:rsid w:val="003A7302"/>
    <w:rsid w:val="003A7AFC"/>
    <w:rsid w:val="003A7D99"/>
    <w:rsid w:val="003A7E54"/>
    <w:rsid w:val="003A7E6D"/>
    <w:rsid w:val="003B0FCB"/>
    <w:rsid w:val="003B1D62"/>
    <w:rsid w:val="003B2E0D"/>
    <w:rsid w:val="003B2F4B"/>
    <w:rsid w:val="003B3A12"/>
    <w:rsid w:val="003B443D"/>
    <w:rsid w:val="003B4750"/>
    <w:rsid w:val="003B53BD"/>
    <w:rsid w:val="003B71A1"/>
    <w:rsid w:val="003B74BE"/>
    <w:rsid w:val="003B75ED"/>
    <w:rsid w:val="003B7771"/>
    <w:rsid w:val="003B781C"/>
    <w:rsid w:val="003C1F69"/>
    <w:rsid w:val="003C25F9"/>
    <w:rsid w:val="003C2BDA"/>
    <w:rsid w:val="003C2C0D"/>
    <w:rsid w:val="003C2C66"/>
    <w:rsid w:val="003C300B"/>
    <w:rsid w:val="003C3B57"/>
    <w:rsid w:val="003C75D1"/>
    <w:rsid w:val="003C7D07"/>
    <w:rsid w:val="003C7F3D"/>
    <w:rsid w:val="003D1B95"/>
    <w:rsid w:val="003D2616"/>
    <w:rsid w:val="003D4029"/>
    <w:rsid w:val="003D44EC"/>
    <w:rsid w:val="003D4F8B"/>
    <w:rsid w:val="003D5307"/>
    <w:rsid w:val="003D66C9"/>
    <w:rsid w:val="003D70B4"/>
    <w:rsid w:val="003D70C8"/>
    <w:rsid w:val="003E07D5"/>
    <w:rsid w:val="003E1BAD"/>
    <w:rsid w:val="003E26E7"/>
    <w:rsid w:val="003E329B"/>
    <w:rsid w:val="003E4809"/>
    <w:rsid w:val="003E48F1"/>
    <w:rsid w:val="003E5011"/>
    <w:rsid w:val="003E55A4"/>
    <w:rsid w:val="003E58DD"/>
    <w:rsid w:val="003E7911"/>
    <w:rsid w:val="003F009A"/>
    <w:rsid w:val="003F0C6C"/>
    <w:rsid w:val="003F1A32"/>
    <w:rsid w:val="003F1DFD"/>
    <w:rsid w:val="003F1ED4"/>
    <w:rsid w:val="003F3506"/>
    <w:rsid w:val="003F38A2"/>
    <w:rsid w:val="003F3A15"/>
    <w:rsid w:val="003F3FCF"/>
    <w:rsid w:val="003F5238"/>
    <w:rsid w:val="003F52EB"/>
    <w:rsid w:val="003F5A35"/>
    <w:rsid w:val="003F5A8C"/>
    <w:rsid w:val="003F6637"/>
    <w:rsid w:val="003F6BDD"/>
    <w:rsid w:val="003F782D"/>
    <w:rsid w:val="003F7C1A"/>
    <w:rsid w:val="003F7EFB"/>
    <w:rsid w:val="004012A4"/>
    <w:rsid w:val="004024A9"/>
    <w:rsid w:val="004028D1"/>
    <w:rsid w:val="0040292D"/>
    <w:rsid w:val="00402A47"/>
    <w:rsid w:val="00402CE5"/>
    <w:rsid w:val="004030D9"/>
    <w:rsid w:val="0040337A"/>
    <w:rsid w:val="004034E3"/>
    <w:rsid w:val="00403D9C"/>
    <w:rsid w:val="00404DEE"/>
    <w:rsid w:val="0040743E"/>
    <w:rsid w:val="0040777B"/>
    <w:rsid w:val="00407885"/>
    <w:rsid w:val="004100F3"/>
    <w:rsid w:val="00413163"/>
    <w:rsid w:val="00414C7D"/>
    <w:rsid w:val="00414F4F"/>
    <w:rsid w:val="00415D09"/>
    <w:rsid w:val="00416180"/>
    <w:rsid w:val="00417039"/>
    <w:rsid w:val="00417333"/>
    <w:rsid w:val="004178B0"/>
    <w:rsid w:val="00417EBE"/>
    <w:rsid w:val="00420898"/>
    <w:rsid w:val="00423BC4"/>
    <w:rsid w:val="00423F1F"/>
    <w:rsid w:val="0042404A"/>
    <w:rsid w:val="0042426B"/>
    <w:rsid w:val="004247A7"/>
    <w:rsid w:val="004253CE"/>
    <w:rsid w:val="0042583F"/>
    <w:rsid w:val="0042596B"/>
    <w:rsid w:val="00425FE5"/>
    <w:rsid w:val="00426153"/>
    <w:rsid w:val="00431314"/>
    <w:rsid w:val="00431B86"/>
    <w:rsid w:val="0043293F"/>
    <w:rsid w:val="004335DB"/>
    <w:rsid w:val="00433F43"/>
    <w:rsid w:val="004342DF"/>
    <w:rsid w:val="004343B1"/>
    <w:rsid w:val="0043570F"/>
    <w:rsid w:val="00436175"/>
    <w:rsid w:val="00437284"/>
    <w:rsid w:val="00437527"/>
    <w:rsid w:val="00437842"/>
    <w:rsid w:val="00437C9B"/>
    <w:rsid w:val="0044145F"/>
    <w:rsid w:val="0044148B"/>
    <w:rsid w:val="004435BE"/>
    <w:rsid w:val="00444D80"/>
    <w:rsid w:val="00445CFA"/>
    <w:rsid w:val="0044611A"/>
    <w:rsid w:val="00446B9A"/>
    <w:rsid w:val="004521BF"/>
    <w:rsid w:val="00452294"/>
    <w:rsid w:val="00452568"/>
    <w:rsid w:val="00453399"/>
    <w:rsid w:val="004536AC"/>
    <w:rsid w:val="0045376B"/>
    <w:rsid w:val="004546C8"/>
    <w:rsid w:val="004547DD"/>
    <w:rsid w:val="004551B7"/>
    <w:rsid w:val="00455994"/>
    <w:rsid w:val="00456F3C"/>
    <w:rsid w:val="00457963"/>
    <w:rsid w:val="0045796F"/>
    <w:rsid w:val="00460B70"/>
    <w:rsid w:val="00460EB8"/>
    <w:rsid w:val="004617DE"/>
    <w:rsid w:val="00461991"/>
    <w:rsid w:val="004620C7"/>
    <w:rsid w:val="00463E1E"/>
    <w:rsid w:val="0046413C"/>
    <w:rsid w:val="004646F8"/>
    <w:rsid w:val="00464A44"/>
    <w:rsid w:val="00464CDF"/>
    <w:rsid w:val="0046505F"/>
    <w:rsid w:val="00465844"/>
    <w:rsid w:val="00466199"/>
    <w:rsid w:val="004664F8"/>
    <w:rsid w:val="00466C4B"/>
    <w:rsid w:val="00467742"/>
    <w:rsid w:val="00467BF7"/>
    <w:rsid w:val="00471446"/>
    <w:rsid w:val="00472CE1"/>
    <w:rsid w:val="00472EC8"/>
    <w:rsid w:val="00472F53"/>
    <w:rsid w:val="00473E66"/>
    <w:rsid w:val="004744DC"/>
    <w:rsid w:val="00475145"/>
    <w:rsid w:val="00475624"/>
    <w:rsid w:val="00475C60"/>
    <w:rsid w:val="00475F2F"/>
    <w:rsid w:val="004769E9"/>
    <w:rsid w:val="004772F0"/>
    <w:rsid w:val="00481819"/>
    <w:rsid w:val="00481A08"/>
    <w:rsid w:val="00481C84"/>
    <w:rsid w:val="00482114"/>
    <w:rsid w:val="0048263F"/>
    <w:rsid w:val="00482D14"/>
    <w:rsid w:val="0048370C"/>
    <w:rsid w:val="00484F7A"/>
    <w:rsid w:val="00485885"/>
    <w:rsid w:val="0048667B"/>
    <w:rsid w:val="00487817"/>
    <w:rsid w:val="004902CA"/>
    <w:rsid w:val="00490510"/>
    <w:rsid w:val="004911CA"/>
    <w:rsid w:val="004918EE"/>
    <w:rsid w:val="00494963"/>
    <w:rsid w:val="00494D37"/>
    <w:rsid w:val="004968A0"/>
    <w:rsid w:val="004A0EB5"/>
    <w:rsid w:val="004A1C1F"/>
    <w:rsid w:val="004A29BD"/>
    <w:rsid w:val="004A2AD0"/>
    <w:rsid w:val="004A4D43"/>
    <w:rsid w:val="004A7370"/>
    <w:rsid w:val="004B1E98"/>
    <w:rsid w:val="004B244E"/>
    <w:rsid w:val="004B26FF"/>
    <w:rsid w:val="004B2721"/>
    <w:rsid w:val="004B2751"/>
    <w:rsid w:val="004B314F"/>
    <w:rsid w:val="004B40AB"/>
    <w:rsid w:val="004B4CE1"/>
    <w:rsid w:val="004B5875"/>
    <w:rsid w:val="004B66AE"/>
    <w:rsid w:val="004C04E3"/>
    <w:rsid w:val="004C118A"/>
    <w:rsid w:val="004C1C6E"/>
    <w:rsid w:val="004C2263"/>
    <w:rsid w:val="004C2DF8"/>
    <w:rsid w:val="004C2EC4"/>
    <w:rsid w:val="004C300E"/>
    <w:rsid w:val="004C4381"/>
    <w:rsid w:val="004C630B"/>
    <w:rsid w:val="004C6494"/>
    <w:rsid w:val="004C66EB"/>
    <w:rsid w:val="004C6BD5"/>
    <w:rsid w:val="004C6E0D"/>
    <w:rsid w:val="004C72DA"/>
    <w:rsid w:val="004D0362"/>
    <w:rsid w:val="004D085E"/>
    <w:rsid w:val="004D09C4"/>
    <w:rsid w:val="004D0D2A"/>
    <w:rsid w:val="004D17F8"/>
    <w:rsid w:val="004D3ACE"/>
    <w:rsid w:val="004D4288"/>
    <w:rsid w:val="004D4E40"/>
    <w:rsid w:val="004D5882"/>
    <w:rsid w:val="004D6821"/>
    <w:rsid w:val="004E0399"/>
    <w:rsid w:val="004E08E2"/>
    <w:rsid w:val="004E0E3E"/>
    <w:rsid w:val="004E22A8"/>
    <w:rsid w:val="004E283A"/>
    <w:rsid w:val="004E2E7E"/>
    <w:rsid w:val="004E5F7A"/>
    <w:rsid w:val="004E60F4"/>
    <w:rsid w:val="004E6EDB"/>
    <w:rsid w:val="004E78B5"/>
    <w:rsid w:val="004F03F3"/>
    <w:rsid w:val="004F0FB3"/>
    <w:rsid w:val="004F1C43"/>
    <w:rsid w:val="004F1F97"/>
    <w:rsid w:val="004F22E4"/>
    <w:rsid w:val="004F3BCC"/>
    <w:rsid w:val="004F6B8D"/>
    <w:rsid w:val="004F75B0"/>
    <w:rsid w:val="004F7BAE"/>
    <w:rsid w:val="00500C6B"/>
    <w:rsid w:val="0050214D"/>
    <w:rsid w:val="005021BD"/>
    <w:rsid w:val="0050242C"/>
    <w:rsid w:val="00503F05"/>
    <w:rsid w:val="00504037"/>
    <w:rsid w:val="005040D3"/>
    <w:rsid w:val="005047D7"/>
    <w:rsid w:val="00505E4F"/>
    <w:rsid w:val="00506B38"/>
    <w:rsid w:val="00507966"/>
    <w:rsid w:val="00507B7B"/>
    <w:rsid w:val="00507F8E"/>
    <w:rsid w:val="00510E09"/>
    <w:rsid w:val="00511507"/>
    <w:rsid w:val="0051166C"/>
    <w:rsid w:val="00511DD3"/>
    <w:rsid w:val="00513D22"/>
    <w:rsid w:val="0051694E"/>
    <w:rsid w:val="00517156"/>
    <w:rsid w:val="005172CF"/>
    <w:rsid w:val="00522D70"/>
    <w:rsid w:val="00523560"/>
    <w:rsid w:val="0052383B"/>
    <w:rsid w:val="00524EFB"/>
    <w:rsid w:val="00525264"/>
    <w:rsid w:val="005254C7"/>
    <w:rsid w:val="00525739"/>
    <w:rsid w:val="005269A1"/>
    <w:rsid w:val="00526FB4"/>
    <w:rsid w:val="005310D1"/>
    <w:rsid w:val="00531BE4"/>
    <w:rsid w:val="00531C6F"/>
    <w:rsid w:val="00532360"/>
    <w:rsid w:val="0053274D"/>
    <w:rsid w:val="005327B9"/>
    <w:rsid w:val="00533F48"/>
    <w:rsid w:val="00534DA9"/>
    <w:rsid w:val="00536755"/>
    <w:rsid w:val="0053703D"/>
    <w:rsid w:val="005370D3"/>
    <w:rsid w:val="00537C89"/>
    <w:rsid w:val="00541204"/>
    <w:rsid w:val="00541AEF"/>
    <w:rsid w:val="00542301"/>
    <w:rsid w:val="005423F5"/>
    <w:rsid w:val="00543087"/>
    <w:rsid w:val="00543DF9"/>
    <w:rsid w:val="00544D97"/>
    <w:rsid w:val="00546234"/>
    <w:rsid w:val="00546BB4"/>
    <w:rsid w:val="005471ED"/>
    <w:rsid w:val="005516A4"/>
    <w:rsid w:val="0055296E"/>
    <w:rsid w:val="005542F9"/>
    <w:rsid w:val="00554A12"/>
    <w:rsid w:val="00554EA2"/>
    <w:rsid w:val="00555230"/>
    <w:rsid w:val="00555BDA"/>
    <w:rsid w:val="00556110"/>
    <w:rsid w:val="005567D1"/>
    <w:rsid w:val="00556EBA"/>
    <w:rsid w:val="00557CA4"/>
    <w:rsid w:val="00557CF6"/>
    <w:rsid w:val="005601B8"/>
    <w:rsid w:val="005602D3"/>
    <w:rsid w:val="00560A3C"/>
    <w:rsid w:val="00560B95"/>
    <w:rsid w:val="00561B79"/>
    <w:rsid w:val="00562927"/>
    <w:rsid w:val="00562C57"/>
    <w:rsid w:val="00564630"/>
    <w:rsid w:val="0056463E"/>
    <w:rsid w:val="00565168"/>
    <w:rsid w:val="005654D3"/>
    <w:rsid w:val="005664B7"/>
    <w:rsid w:val="00566D20"/>
    <w:rsid w:val="00566E04"/>
    <w:rsid w:val="00567685"/>
    <w:rsid w:val="00567AC0"/>
    <w:rsid w:val="00573E71"/>
    <w:rsid w:val="00574259"/>
    <w:rsid w:val="005750FE"/>
    <w:rsid w:val="00575DAA"/>
    <w:rsid w:val="005779AB"/>
    <w:rsid w:val="00577A46"/>
    <w:rsid w:val="005808C1"/>
    <w:rsid w:val="00580D1B"/>
    <w:rsid w:val="005822D3"/>
    <w:rsid w:val="00582406"/>
    <w:rsid w:val="005824BF"/>
    <w:rsid w:val="00582B69"/>
    <w:rsid w:val="0058343C"/>
    <w:rsid w:val="005843D3"/>
    <w:rsid w:val="00584C06"/>
    <w:rsid w:val="0058629F"/>
    <w:rsid w:val="005903D3"/>
    <w:rsid w:val="00591195"/>
    <w:rsid w:val="0059132A"/>
    <w:rsid w:val="005916D8"/>
    <w:rsid w:val="005916FB"/>
    <w:rsid w:val="00591BB6"/>
    <w:rsid w:val="00592C65"/>
    <w:rsid w:val="00593334"/>
    <w:rsid w:val="0059378B"/>
    <w:rsid w:val="00593EF8"/>
    <w:rsid w:val="0059441B"/>
    <w:rsid w:val="00594B88"/>
    <w:rsid w:val="0059548C"/>
    <w:rsid w:val="00595D1D"/>
    <w:rsid w:val="00596325"/>
    <w:rsid w:val="00596CF7"/>
    <w:rsid w:val="00596F6F"/>
    <w:rsid w:val="0059706F"/>
    <w:rsid w:val="00597959"/>
    <w:rsid w:val="00597C60"/>
    <w:rsid w:val="005A018A"/>
    <w:rsid w:val="005A09FD"/>
    <w:rsid w:val="005A0F2F"/>
    <w:rsid w:val="005A135A"/>
    <w:rsid w:val="005A187B"/>
    <w:rsid w:val="005A2B11"/>
    <w:rsid w:val="005A2FCF"/>
    <w:rsid w:val="005A3F83"/>
    <w:rsid w:val="005A46E2"/>
    <w:rsid w:val="005A67B1"/>
    <w:rsid w:val="005A67D7"/>
    <w:rsid w:val="005A73B1"/>
    <w:rsid w:val="005A7E86"/>
    <w:rsid w:val="005B11E2"/>
    <w:rsid w:val="005B42A5"/>
    <w:rsid w:val="005B587B"/>
    <w:rsid w:val="005B5DA0"/>
    <w:rsid w:val="005B6842"/>
    <w:rsid w:val="005B6B22"/>
    <w:rsid w:val="005C04AB"/>
    <w:rsid w:val="005C0DAF"/>
    <w:rsid w:val="005C0FE4"/>
    <w:rsid w:val="005C1E38"/>
    <w:rsid w:val="005C2245"/>
    <w:rsid w:val="005C3AFE"/>
    <w:rsid w:val="005C3EF5"/>
    <w:rsid w:val="005C48BC"/>
    <w:rsid w:val="005C4A6F"/>
    <w:rsid w:val="005C4B58"/>
    <w:rsid w:val="005D0130"/>
    <w:rsid w:val="005D21B8"/>
    <w:rsid w:val="005D2752"/>
    <w:rsid w:val="005D304E"/>
    <w:rsid w:val="005D3BC3"/>
    <w:rsid w:val="005D4285"/>
    <w:rsid w:val="005D6763"/>
    <w:rsid w:val="005D72DA"/>
    <w:rsid w:val="005D7F05"/>
    <w:rsid w:val="005E1294"/>
    <w:rsid w:val="005E22F3"/>
    <w:rsid w:val="005E2455"/>
    <w:rsid w:val="005E3C28"/>
    <w:rsid w:val="005E3F3A"/>
    <w:rsid w:val="005E5D46"/>
    <w:rsid w:val="005E69D4"/>
    <w:rsid w:val="005F15E0"/>
    <w:rsid w:val="005F1672"/>
    <w:rsid w:val="005F1870"/>
    <w:rsid w:val="005F277D"/>
    <w:rsid w:val="005F2FD2"/>
    <w:rsid w:val="005F3BFD"/>
    <w:rsid w:val="005F4F76"/>
    <w:rsid w:val="005F586B"/>
    <w:rsid w:val="005F70A7"/>
    <w:rsid w:val="00601341"/>
    <w:rsid w:val="006035AB"/>
    <w:rsid w:val="0060377B"/>
    <w:rsid w:val="006039DD"/>
    <w:rsid w:val="00603AFA"/>
    <w:rsid w:val="00603CE8"/>
    <w:rsid w:val="00604B4C"/>
    <w:rsid w:val="00605ECF"/>
    <w:rsid w:val="0060668A"/>
    <w:rsid w:val="00607178"/>
    <w:rsid w:val="00610636"/>
    <w:rsid w:val="006116F7"/>
    <w:rsid w:val="00612169"/>
    <w:rsid w:val="006131BC"/>
    <w:rsid w:val="0061394B"/>
    <w:rsid w:val="0061535D"/>
    <w:rsid w:val="00615673"/>
    <w:rsid w:val="00615DD0"/>
    <w:rsid w:val="00616561"/>
    <w:rsid w:val="006167EF"/>
    <w:rsid w:val="00616D97"/>
    <w:rsid w:val="00620776"/>
    <w:rsid w:val="00620CEE"/>
    <w:rsid w:val="00622C0D"/>
    <w:rsid w:val="00622CE8"/>
    <w:rsid w:val="00623492"/>
    <w:rsid w:val="00624360"/>
    <w:rsid w:val="00625EF4"/>
    <w:rsid w:val="00625F4C"/>
    <w:rsid w:val="00626933"/>
    <w:rsid w:val="006310C1"/>
    <w:rsid w:val="00631E3B"/>
    <w:rsid w:val="00632211"/>
    <w:rsid w:val="00632F36"/>
    <w:rsid w:val="00634DC0"/>
    <w:rsid w:val="006364F7"/>
    <w:rsid w:val="0063799B"/>
    <w:rsid w:val="00637C68"/>
    <w:rsid w:val="00637E93"/>
    <w:rsid w:val="00641ED0"/>
    <w:rsid w:val="0064251E"/>
    <w:rsid w:val="00644A84"/>
    <w:rsid w:val="00644C01"/>
    <w:rsid w:val="00644F09"/>
    <w:rsid w:val="006451D0"/>
    <w:rsid w:val="00645FC6"/>
    <w:rsid w:val="00647093"/>
    <w:rsid w:val="006471EC"/>
    <w:rsid w:val="006473C2"/>
    <w:rsid w:val="00647F32"/>
    <w:rsid w:val="006502C2"/>
    <w:rsid w:val="006503EC"/>
    <w:rsid w:val="00650535"/>
    <w:rsid w:val="00650AEC"/>
    <w:rsid w:val="00650F8A"/>
    <w:rsid w:val="006510E4"/>
    <w:rsid w:val="0065203B"/>
    <w:rsid w:val="00652B82"/>
    <w:rsid w:val="00654556"/>
    <w:rsid w:val="00654BFF"/>
    <w:rsid w:val="006572F0"/>
    <w:rsid w:val="0065751D"/>
    <w:rsid w:val="0066034F"/>
    <w:rsid w:val="0066072A"/>
    <w:rsid w:val="00660A05"/>
    <w:rsid w:val="00663073"/>
    <w:rsid w:val="00663CDF"/>
    <w:rsid w:val="00663F50"/>
    <w:rsid w:val="00664075"/>
    <w:rsid w:val="00664787"/>
    <w:rsid w:val="00665B44"/>
    <w:rsid w:val="0066786D"/>
    <w:rsid w:val="00667922"/>
    <w:rsid w:val="00672F1B"/>
    <w:rsid w:val="006730D3"/>
    <w:rsid w:val="0067478C"/>
    <w:rsid w:val="006757AD"/>
    <w:rsid w:val="00676908"/>
    <w:rsid w:val="00677476"/>
    <w:rsid w:val="00677CF9"/>
    <w:rsid w:val="006828B9"/>
    <w:rsid w:val="006838F2"/>
    <w:rsid w:val="00685CEE"/>
    <w:rsid w:val="006905D1"/>
    <w:rsid w:val="006907DD"/>
    <w:rsid w:val="00691348"/>
    <w:rsid w:val="00691E31"/>
    <w:rsid w:val="00691F19"/>
    <w:rsid w:val="00691F77"/>
    <w:rsid w:val="006920A9"/>
    <w:rsid w:val="006933DC"/>
    <w:rsid w:val="00694D4B"/>
    <w:rsid w:val="00694F35"/>
    <w:rsid w:val="00697770"/>
    <w:rsid w:val="006A09EE"/>
    <w:rsid w:val="006A0EE1"/>
    <w:rsid w:val="006A2255"/>
    <w:rsid w:val="006A30ED"/>
    <w:rsid w:val="006A381E"/>
    <w:rsid w:val="006A384C"/>
    <w:rsid w:val="006A3D28"/>
    <w:rsid w:val="006A60EE"/>
    <w:rsid w:val="006A69CB"/>
    <w:rsid w:val="006A741E"/>
    <w:rsid w:val="006B0408"/>
    <w:rsid w:val="006B17C7"/>
    <w:rsid w:val="006B1823"/>
    <w:rsid w:val="006B190F"/>
    <w:rsid w:val="006B286A"/>
    <w:rsid w:val="006B36A9"/>
    <w:rsid w:val="006B36BE"/>
    <w:rsid w:val="006B45FE"/>
    <w:rsid w:val="006B4CED"/>
    <w:rsid w:val="006B511E"/>
    <w:rsid w:val="006B5643"/>
    <w:rsid w:val="006B5E90"/>
    <w:rsid w:val="006B6A6F"/>
    <w:rsid w:val="006B76E9"/>
    <w:rsid w:val="006B772C"/>
    <w:rsid w:val="006C1639"/>
    <w:rsid w:val="006C1693"/>
    <w:rsid w:val="006C16F4"/>
    <w:rsid w:val="006C287F"/>
    <w:rsid w:val="006C44D4"/>
    <w:rsid w:val="006C520D"/>
    <w:rsid w:val="006C5FC0"/>
    <w:rsid w:val="006C6937"/>
    <w:rsid w:val="006C6F24"/>
    <w:rsid w:val="006C7559"/>
    <w:rsid w:val="006C778A"/>
    <w:rsid w:val="006C7FD3"/>
    <w:rsid w:val="006D08FE"/>
    <w:rsid w:val="006D1319"/>
    <w:rsid w:val="006D147C"/>
    <w:rsid w:val="006D2896"/>
    <w:rsid w:val="006D2DED"/>
    <w:rsid w:val="006D35DB"/>
    <w:rsid w:val="006D51BE"/>
    <w:rsid w:val="006D6454"/>
    <w:rsid w:val="006D656B"/>
    <w:rsid w:val="006D6EA3"/>
    <w:rsid w:val="006D7ABD"/>
    <w:rsid w:val="006E0FAB"/>
    <w:rsid w:val="006E2399"/>
    <w:rsid w:val="006E3E8F"/>
    <w:rsid w:val="006E5E76"/>
    <w:rsid w:val="006E699C"/>
    <w:rsid w:val="006E6D63"/>
    <w:rsid w:val="006F03B1"/>
    <w:rsid w:val="006F04BD"/>
    <w:rsid w:val="006F0906"/>
    <w:rsid w:val="006F1DED"/>
    <w:rsid w:val="006F25E5"/>
    <w:rsid w:val="006F2759"/>
    <w:rsid w:val="006F275F"/>
    <w:rsid w:val="006F2D33"/>
    <w:rsid w:val="006F2D7A"/>
    <w:rsid w:val="006F4220"/>
    <w:rsid w:val="006F7104"/>
    <w:rsid w:val="006F7409"/>
    <w:rsid w:val="00701020"/>
    <w:rsid w:val="007011CA"/>
    <w:rsid w:val="00701265"/>
    <w:rsid w:val="00701AFC"/>
    <w:rsid w:val="007039E6"/>
    <w:rsid w:val="00703CB5"/>
    <w:rsid w:val="00703CE8"/>
    <w:rsid w:val="00704737"/>
    <w:rsid w:val="00704C1B"/>
    <w:rsid w:val="007059EA"/>
    <w:rsid w:val="00705D34"/>
    <w:rsid w:val="0070638A"/>
    <w:rsid w:val="007066EA"/>
    <w:rsid w:val="007073B6"/>
    <w:rsid w:val="0071015D"/>
    <w:rsid w:val="00710906"/>
    <w:rsid w:val="007113ED"/>
    <w:rsid w:val="00712157"/>
    <w:rsid w:val="00712433"/>
    <w:rsid w:val="00712E01"/>
    <w:rsid w:val="0071398B"/>
    <w:rsid w:val="00713AB4"/>
    <w:rsid w:val="00715639"/>
    <w:rsid w:val="0071564C"/>
    <w:rsid w:val="00716316"/>
    <w:rsid w:val="00717478"/>
    <w:rsid w:val="007200F0"/>
    <w:rsid w:val="007209A3"/>
    <w:rsid w:val="007215EB"/>
    <w:rsid w:val="00721AB1"/>
    <w:rsid w:val="00722328"/>
    <w:rsid w:val="0072483E"/>
    <w:rsid w:val="00724E16"/>
    <w:rsid w:val="00724E6E"/>
    <w:rsid w:val="007257E3"/>
    <w:rsid w:val="007272EE"/>
    <w:rsid w:val="007272F6"/>
    <w:rsid w:val="00727575"/>
    <w:rsid w:val="00727F09"/>
    <w:rsid w:val="0073108A"/>
    <w:rsid w:val="00731937"/>
    <w:rsid w:val="00732288"/>
    <w:rsid w:val="00732488"/>
    <w:rsid w:val="00732AD8"/>
    <w:rsid w:val="00734E3B"/>
    <w:rsid w:val="0073663C"/>
    <w:rsid w:val="00737F14"/>
    <w:rsid w:val="00741418"/>
    <w:rsid w:val="00742EC9"/>
    <w:rsid w:val="0074354B"/>
    <w:rsid w:val="00744138"/>
    <w:rsid w:val="0074435F"/>
    <w:rsid w:val="00744814"/>
    <w:rsid w:val="00745468"/>
    <w:rsid w:val="00745894"/>
    <w:rsid w:val="007475B7"/>
    <w:rsid w:val="00747643"/>
    <w:rsid w:val="007477CD"/>
    <w:rsid w:val="00747BE2"/>
    <w:rsid w:val="007503C3"/>
    <w:rsid w:val="007510EB"/>
    <w:rsid w:val="00751412"/>
    <w:rsid w:val="00751956"/>
    <w:rsid w:val="007519A9"/>
    <w:rsid w:val="00753CBF"/>
    <w:rsid w:val="00753E3C"/>
    <w:rsid w:val="0075649A"/>
    <w:rsid w:val="00756864"/>
    <w:rsid w:val="0075746B"/>
    <w:rsid w:val="00760C03"/>
    <w:rsid w:val="00760D0A"/>
    <w:rsid w:val="00760D55"/>
    <w:rsid w:val="0076106D"/>
    <w:rsid w:val="00762184"/>
    <w:rsid w:val="00762550"/>
    <w:rsid w:val="007635D1"/>
    <w:rsid w:val="00764D97"/>
    <w:rsid w:val="00765219"/>
    <w:rsid w:val="007661B9"/>
    <w:rsid w:val="007663EC"/>
    <w:rsid w:val="00766D74"/>
    <w:rsid w:val="007706BC"/>
    <w:rsid w:val="00770C42"/>
    <w:rsid w:val="00770D3F"/>
    <w:rsid w:val="0077107F"/>
    <w:rsid w:val="0077128A"/>
    <w:rsid w:val="00772DF7"/>
    <w:rsid w:val="00772F18"/>
    <w:rsid w:val="00775B73"/>
    <w:rsid w:val="0077612A"/>
    <w:rsid w:val="00777355"/>
    <w:rsid w:val="00781783"/>
    <w:rsid w:val="0078194F"/>
    <w:rsid w:val="00781974"/>
    <w:rsid w:val="00781B63"/>
    <w:rsid w:val="00782940"/>
    <w:rsid w:val="00782A2E"/>
    <w:rsid w:val="00782E31"/>
    <w:rsid w:val="007837DE"/>
    <w:rsid w:val="007837E1"/>
    <w:rsid w:val="00783FF2"/>
    <w:rsid w:val="00784C03"/>
    <w:rsid w:val="00785EC5"/>
    <w:rsid w:val="00786A3A"/>
    <w:rsid w:val="007870E2"/>
    <w:rsid w:val="00787561"/>
    <w:rsid w:val="00787BEB"/>
    <w:rsid w:val="00787C0D"/>
    <w:rsid w:val="00787D27"/>
    <w:rsid w:val="007909A5"/>
    <w:rsid w:val="00791833"/>
    <w:rsid w:val="0079208F"/>
    <w:rsid w:val="007928DD"/>
    <w:rsid w:val="00792D28"/>
    <w:rsid w:val="00792E43"/>
    <w:rsid w:val="00793391"/>
    <w:rsid w:val="007934ED"/>
    <w:rsid w:val="007967C5"/>
    <w:rsid w:val="00797622"/>
    <w:rsid w:val="007A2523"/>
    <w:rsid w:val="007A2DEF"/>
    <w:rsid w:val="007A42F5"/>
    <w:rsid w:val="007A5338"/>
    <w:rsid w:val="007A55C4"/>
    <w:rsid w:val="007A56AC"/>
    <w:rsid w:val="007A69E1"/>
    <w:rsid w:val="007A74BE"/>
    <w:rsid w:val="007B01BD"/>
    <w:rsid w:val="007B0931"/>
    <w:rsid w:val="007B1032"/>
    <w:rsid w:val="007B2048"/>
    <w:rsid w:val="007B47D3"/>
    <w:rsid w:val="007B6704"/>
    <w:rsid w:val="007B6990"/>
    <w:rsid w:val="007B71B3"/>
    <w:rsid w:val="007B724E"/>
    <w:rsid w:val="007B727E"/>
    <w:rsid w:val="007C22E7"/>
    <w:rsid w:val="007C42C1"/>
    <w:rsid w:val="007C5053"/>
    <w:rsid w:val="007C6D10"/>
    <w:rsid w:val="007C71CA"/>
    <w:rsid w:val="007D0B9D"/>
    <w:rsid w:val="007D3E13"/>
    <w:rsid w:val="007D521E"/>
    <w:rsid w:val="007D57D9"/>
    <w:rsid w:val="007D5954"/>
    <w:rsid w:val="007D59C9"/>
    <w:rsid w:val="007D59F2"/>
    <w:rsid w:val="007D62F5"/>
    <w:rsid w:val="007D6B92"/>
    <w:rsid w:val="007D7BA9"/>
    <w:rsid w:val="007E06EA"/>
    <w:rsid w:val="007E07DB"/>
    <w:rsid w:val="007E0A23"/>
    <w:rsid w:val="007E0CF1"/>
    <w:rsid w:val="007E16E5"/>
    <w:rsid w:val="007E19A6"/>
    <w:rsid w:val="007E2AD0"/>
    <w:rsid w:val="007E375A"/>
    <w:rsid w:val="007E3D4B"/>
    <w:rsid w:val="007E3F57"/>
    <w:rsid w:val="007E4AF8"/>
    <w:rsid w:val="007E5872"/>
    <w:rsid w:val="007E694C"/>
    <w:rsid w:val="007F12FF"/>
    <w:rsid w:val="007F1526"/>
    <w:rsid w:val="007F17D1"/>
    <w:rsid w:val="007F1A74"/>
    <w:rsid w:val="007F2AD9"/>
    <w:rsid w:val="007F360E"/>
    <w:rsid w:val="007F4C8C"/>
    <w:rsid w:val="007F62CF"/>
    <w:rsid w:val="007F6922"/>
    <w:rsid w:val="007F7562"/>
    <w:rsid w:val="0080011E"/>
    <w:rsid w:val="00801064"/>
    <w:rsid w:val="00801DBE"/>
    <w:rsid w:val="00802CAC"/>
    <w:rsid w:val="0080306D"/>
    <w:rsid w:val="00803778"/>
    <w:rsid w:val="00803CD7"/>
    <w:rsid w:val="00804E32"/>
    <w:rsid w:val="00805BCE"/>
    <w:rsid w:val="008060A1"/>
    <w:rsid w:val="008078A9"/>
    <w:rsid w:val="00807FF2"/>
    <w:rsid w:val="00810747"/>
    <w:rsid w:val="0081135E"/>
    <w:rsid w:val="00811E79"/>
    <w:rsid w:val="00812114"/>
    <w:rsid w:val="008122A0"/>
    <w:rsid w:val="008130F1"/>
    <w:rsid w:val="0081324A"/>
    <w:rsid w:val="008134B5"/>
    <w:rsid w:val="00814045"/>
    <w:rsid w:val="00814349"/>
    <w:rsid w:val="008145A3"/>
    <w:rsid w:val="008145DD"/>
    <w:rsid w:val="00815060"/>
    <w:rsid w:val="0081508A"/>
    <w:rsid w:val="008177C6"/>
    <w:rsid w:val="00817B01"/>
    <w:rsid w:val="0082047E"/>
    <w:rsid w:val="0082050D"/>
    <w:rsid w:val="00820F46"/>
    <w:rsid w:val="0082198A"/>
    <w:rsid w:val="00821C4C"/>
    <w:rsid w:val="00821F31"/>
    <w:rsid w:val="0082411F"/>
    <w:rsid w:val="00824B95"/>
    <w:rsid w:val="00824C66"/>
    <w:rsid w:val="00824E09"/>
    <w:rsid w:val="00825833"/>
    <w:rsid w:val="00825FDF"/>
    <w:rsid w:val="008263F2"/>
    <w:rsid w:val="00830A76"/>
    <w:rsid w:val="008310EA"/>
    <w:rsid w:val="00831C65"/>
    <w:rsid w:val="00833F28"/>
    <w:rsid w:val="008343EF"/>
    <w:rsid w:val="008346EA"/>
    <w:rsid w:val="00834C64"/>
    <w:rsid w:val="00834EE1"/>
    <w:rsid w:val="008353B5"/>
    <w:rsid w:val="00835590"/>
    <w:rsid w:val="00835C6A"/>
    <w:rsid w:val="00836163"/>
    <w:rsid w:val="008369AA"/>
    <w:rsid w:val="00837F11"/>
    <w:rsid w:val="00840F2D"/>
    <w:rsid w:val="00841CE4"/>
    <w:rsid w:val="008468B6"/>
    <w:rsid w:val="008473E4"/>
    <w:rsid w:val="00852497"/>
    <w:rsid w:val="00852D2C"/>
    <w:rsid w:val="00853F2C"/>
    <w:rsid w:val="00857A45"/>
    <w:rsid w:val="00860DDF"/>
    <w:rsid w:val="0086172F"/>
    <w:rsid w:val="00861BF2"/>
    <w:rsid w:val="008625C9"/>
    <w:rsid w:val="00864874"/>
    <w:rsid w:val="0086499C"/>
    <w:rsid w:val="00864D16"/>
    <w:rsid w:val="00864EF0"/>
    <w:rsid w:val="00865D0F"/>
    <w:rsid w:val="00865D11"/>
    <w:rsid w:val="0086785A"/>
    <w:rsid w:val="00867D73"/>
    <w:rsid w:val="00870214"/>
    <w:rsid w:val="008703CC"/>
    <w:rsid w:val="00870A00"/>
    <w:rsid w:val="008717E0"/>
    <w:rsid w:val="008719A5"/>
    <w:rsid w:val="00873815"/>
    <w:rsid w:val="00873FA6"/>
    <w:rsid w:val="008740BF"/>
    <w:rsid w:val="00876557"/>
    <w:rsid w:val="008802B7"/>
    <w:rsid w:val="00880E76"/>
    <w:rsid w:val="00881290"/>
    <w:rsid w:val="00881B71"/>
    <w:rsid w:val="00884822"/>
    <w:rsid w:val="008857B7"/>
    <w:rsid w:val="008862EE"/>
    <w:rsid w:val="0088791E"/>
    <w:rsid w:val="00890263"/>
    <w:rsid w:val="008908C9"/>
    <w:rsid w:val="0089122C"/>
    <w:rsid w:val="00892153"/>
    <w:rsid w:val="00893404"/>
    <w:rsid w:val="00894DB9"/>
    <w:rsid w:val="0089594C"/>
    <w:rsid w:val="0089732D"/>
    <w:rsid w:val="0089760C"/>
    <w:rsid w:val="008A0667"/>
    <w:rsid w:val="008A0727"/>
    <w:rsid w:val="008A0940"/>
    <w:rsid w:val="008A17C5"/>
    <w:rsid w:val="008A19B9"/>
    <w:rsid w:val="008A2A93"/>
    <w:rsid w:val="008A2FBD"/>
    <w:rsid w:val="008A4B37"/>
    <w:rsid w:val="008A4DC2"/>
    <w:rsid w:val="008A67A7"/>
    <w:rsid w:val="008A6B90"/>
    <w:rsid w:val="008A7EC1"/>
    <w:rsid w:val="008B018D"/>
    <w:rsid w:val="008B0A37"/>
    <w:rsid w:val="008B10A3"/>
    <w:rsid w:val="008B26A7"/>
    <w:rsid w:val="008B6856"/>
    <w:rsid w:val="008C0209"/>
    <w:rsid w:val="008C19DB"/>
    <w:rsid w:val="008C1F19"/>
    <w:rsid w:val="008C1F4B"/>
    <w:rsid w:val="008C1F5F"/>
    <w:rsid w:val="008C2509"/>
    <w:rsid w:val="008C2659"/>
    <w:rsid w:val="008C28A9"/>
    <w:rsid w:val="008C2929"/>
    <w:rsid w:val="008C29E4"/>
    <w:rsid w:val="008C49E2"/>
    <w:rsid w:val="008C4EDA"/>
    <w:rsid w:val="008C5CAF"/>
    <w:rsid w:val="008C677A"/>
    <w:rsid w:val="008C6D20"/>
    <w:rsid w:val="008D047A"/>
    <w:rsid w:val="008D080C"/>
    <w:rsid w:val="008D0B5B"/>
    <w:rsid w:val="008D118E"/>
    <w:rsid w:val="008D2A7D"/>
    <w:rsid w:val="008D2B7D"/>
    <w:rsid w:val="008D2D24"/>
    <w:rsid w:val="008D53CB"/>
    <w:rsid w:val="008D5739"/>
    <w:rsid w:val="008D5D50"/>
    <w:rsid w:val="008D6CEE"/>
    <w:rsid w:val="008E051A"/>
    <w:rsid w:val="008E0AAD"/>
    <w:rsid w:val="008E14C9"/>
    <w:rsid w:val="008E1714"/>
    <w:rsid w:val="008E1A05"/>
    <w:rsid w:val="008E3B77"/>
    <w:rsid w:val="008E3CC9"/>
    <w:rsid w:val="008E486F"/>
    <w:rsid w:val="008E4978"/>
    <w:rsid w:val="008E4B5F"/>
    <w:rsid w:val="008E4BCA"/>
    <w:rsid w:val="008E6956"/>
    <w:rsid w:val="008E7E66"/>
    <w:rsid w:val="008F1648"/>
    <w:rsid w:val="008F26B4"/>
    <w:rsid w:val="008F2B26"/>
    <w:rsid w:val="008F2EF1"/>
    <w:rsid w:val="008F37F3"/>
    <w:rsid w:val="008F3DAC"/>
    <w:rsid w:val="008F50C1"/>
    <w:rsid w:val="008F744E"/>
    <w:rsid w:val="009006D6"/>
    <w:rsid w:val="00900C0C"/>
    <w:rsid w:val="00904BCF"/>
    <w:rsid w:val="00906DA2"/>
    <w:rsid w:val="0091073A"/>
    <w:rsid w:val="00910879"/>
    <w:rsid w:val="00911B91"/>
    <w:rsid w:val="00912521"/>
    <w:rsid w:val="009128A3"/>
    <w:rsid w:val="00920056"/>
    <w:rsid w:val="009207FE"/>
    <w:rsid w:val="00921438"/>
    <w:rsid w:val="00922885"/>
    <w:rsid w:val="009232A6"/>
    <w:rsid w:val="009249A3"/>
    <w:rsid w:val="00925104"/>
    <w:rsid w:val="0092562A"/>
    <w:rsid w:val="00930BE0"/>
    <w:rsid w:val="00931B7E"/>
    <w:rsid w:val="0093292E"/>
    <w:rsid w:val="009337AC"/>
    <w:rsid w:val="009356DE"/>
    <w:rsid w:val="00935A3E"/>
    <w:rsid w:val="00936AC0"/>
    <w:rsid w:val="009402F4"/>
    <w:rsid w:val="00940A90"/>
    <w:rsid w:val="00941561"/>
    <w:rsid w:val="00942134"/>
    <w:rsid w:val="009435EC"/>
    <w:rsid w:val="00943D1A"/>
    <w:rsid w:val="009445B6"/>
    <w:rsid w:val="009446B4"/>
    <w:rsid w:val="00945CD2"/>
    <w:rsid w:val="00945EB7"/>
    <w:rsid w:val="0094658C"/>
    <w:rsid w:val="0094698A"/>
    <w:rsid w:val="009507FC"/>
    <w:rsid w:val="00952061"/>
    <w:rsid w:val="0095276B"/>
    <w:rsid w:val="00952E11"/>
    <w:rsid w:val="00953333"/>
    <w:rsid w:val="00953517"/>
    <w:rsid w:val="00953A35"/>
    <w:rsid w:val="00954A17"/>
    <w:rsid w:val="00955D69"/>
    <w:rsid w:val="009578A4"/>
    <w:rsid w:val="00957E5D"/>
    <w:rsid w:val="00960535"/>
    <w:rsid w:val="00961EB2"/>
    <w:rsid w:val="009620C5"/>
    <w:rsid w:val="0096446E"/>
    <w:rsid w:val="00964840"/>
    <w:rsid w:val="00964BBF"/>
    <w:rsid w:val="00965DE7"/>
    <w:rsid w:val="00965F68"/>
    <w:rsid w:val="0096705F"/>
    <w:rsid w:val="00967367"/>
    <w:rsid w:val="00967408"/>
    <w:rsid w:val="00967F08"/>
    <w:rsid w:val="00970009"/>
    <w:rsid w:val="00970331"/>
    <w:rsid w:val="009705C1"/>
    <w:rsid w:val="0097097C"/>
    <w:rsid w:val="00971171"/>
    <w:rsid w:val="00971624"/>
    <w:rsid w:val="0097248E"/>
    <w:rsid w:val="00973EB7"/>
    <w:rsid w:val="0097651A"/>
    <w:rsid w:val="009773C9"/>
    <w:rsid w:val="00977AB7"/>
    <w:rsid w:val="00980347"/>
    <w:rsid w:val="00980559"/>
    <w:rsid w:val="00980B72"/>
    <w:rsid w:val="00981680"/>
    <w:rsid w:val="00983248"/>
    <w:rsid w:val="009832DC"/>
    <w:rsid w:val="00983A78"/>
    <w:rsid w:val="00983EB6"/>
    <w:rsid w:val="009840C0"/>
    <w:rsid w:val="00984322"/>
    <w:rsid w:val="009848DE"/>
    <w:rsid w:val="00986098"/>
    <w:rsid w:val="00986BE0"/>
    <w:rsid w:val="00990D01"/>
    <w:rsid w:val="00990EE2"/>
    <w:rsid w:val="00993EF6"/>
    <w:rsid w:val="0099409A"/>
    <w:rsid w:val="00994E74"/>
    <w:rsid w:val="009966AB"/>
    <w:rsid w:val="009A083C"/>
    <w:rsid w:val="009A1F4F"/>
    <w:rsid w:val="009A2C7E"/>
    <w:rsid w:val="009A370B"/>
    <w:rsid w:val="009A4954"/>
    <w:rsid w:val="009A5206"/>
    <w:rsid w:val="009A5A0E"/>
    <w:rsid w:val="009A670D"/>
    <w:rsid w:val="009A7527"/>
    <w:rsid w:val="009A757C"/>
    <w:rsid w:val="009A7701"/>
    <w:rsid w:val="009A78D4"/>
    <w:rsid w:val="009B0FBD"/>
    <w:rsid w:val="009B1397"/>
    <w:rsid w:val="009B235C"/>
    <w:rsid w:val="009B25D0"/>
    <w:rsid w:val="009B3540"/>
    <w:rsid w:val="009B3B6E"/>
    <w:rsid w:val="009B43B2"/>
    <w:rsid w:val="009B44AB"/>
    <w:rsid w:val="009B4FBA"/>
    <w:rsid w:val="009B7F78"/>
    <w:rsid w:val="009C00D2"/>
    <w:rsid w:val="009C016A"/>
    <w:rsid w:val="009C0365"/>
    <w:rsid w:val="009C058E"/>
    <w:rsid w:val="009C0B48"/>
    <w:rsid w:val="009C1135"/>
    <w:rsid w:val="009C27D3"/>
    <w:rsid w:val="009C32B0"/>
    <w:rsid w:val="009C33A3"/>
    <w:rsid w:val="009C4885"/>
    <w:rsid w:val="009C6384"/>
    <w:rsid w:val="009C6B5A"/>
    <w:rsid w:val="009C76BC"/>
    <w:rsid w:val="009C79FA"/>
    <w:rsid w:val="009C7BFA"/>
    <w:rsid w:val="009D01DD"/>
    <w:rsid w:val="009D0EAE"/>
    <w:rsid w:val="009D11B3"/>
    <w:rsid w:val="009D1D76"/>
    <w:rsid w:val="009D21FE"/>
    <w:rsid w:val="009D246B"/>
    <w:rsid w:val="009D304A"/>
    <w:rsid w:val="009D3777"/>
    <w:rsid w:val="009D4706"/>
    <w:rsid w:val="009D5092"/>
    <w:rsid w:val="009D7596"/>
    <w:rsid w:val="009E0460"/>
    <w:rsid w:val="009E1A8E"/>
    <w:rsid w:val="009E248A"/>
    <w:rsid w:val="009E2D0B"/>
    <w:rsid w:val="009E2EA2"/>
    <w:rsid w:val="009E3419"/>
    <w:rsid w:val="009E4719"/>
    <w:rsid w:val="009E51E9"/>
    <w:rsid w:val="009E5331"/>
    <w:rsid w:val="009E560A"/>
    <w:rsid w:val="009E6553"/>
    <w:rsid w:val="009E6F06"/>
    <w:rsid w:val="009E7348"/>
    <w:rsid w:val="009F2537"/>
    <w:rsid w:val="009F28C7"/>
    <w:rsid w:val="009F48C3"/>
    <w:rsid w:val="009F5E66"/>
    <w:rsid w:val="009F6066"/>
    <w:rsid w:val="009F7F58"/>
    <w:rsid w:val="00A010A7"/>
    <w:rsid w:val="00A0275E"/>
    <w:rsid w:val="00A037E2"/>
    <w:rsid w:val="00A04A2A"/>
    <w:rsid w:val="00A0589E"/>
    <w:rsid w:val="00A05B0B"/>
    <w:rsid w:val="00A0688C"/>
    <w:rsid w:val="00A07CED"/>
    <w:rsid w:val="00A10499"/>
    <w:rsid w:val="00A1148A"/>
    <w:rsid w:val="00A12858"/>
    <w:rsid w:val="00A12E40"/>
    <w:rsid w:val="00A13BA1"/>
    <w:rsid w:val="00A1473C"/>
    <w:rsid w:val="00A158EC"/>
    <w:rsid w:val="00A163FA"/>
    <w:rsid w:val="00A20D7A"/>
    <w:rsid w:val="00A215CB"/>
    <w:rsid w:val="00A228C8"/>
    <w:rsid w:val="00A22B60"/>
    <w:rsid w:val="00A237D9"/>
    <w:rsid w:val="00A23A5B"/>
    <w:rsid w:val="00A23DDC"/>
    <w:rsid w:val="00A2463A"/>
    <w:rsid w:val="00A246B1"/>
    <w:rsid w:val="00A2568B"/>
    <w:rsid w:val="00A26585"/>
    <w:rsid w:val="00A27277"/>
    <w:rsid w:val="00A272A7"/>
    <w:rsid w:val="00A30443"/>
    <w:rsid w:val="00A30C5B"/>
    <w:rsid w:val="00A30EE8"/>
    <w:rsid w:val="00A32440"/>
    <w:rsid w:val="00A32C09"/>
    <w:rsid w:val="00A33520"/>
    <w:rsid w:val="00A337AC"/>
    <w:rsid w:val="00A35D0A"/>
    <w:rsid w:val="00A3606E"/>
    <w:rsid w:val="00A368AC"/>
    <w:rsid w:val="00A3734E"/>
    <w:rsid w:val="00A41381"/>
    <w:rsid w:val="00A4217E"/>
    <w:rsid w:val="00A42A19"/>
    <w:rsid w:val="00A42B29"/>
    <w:rsid w:val="00A451A2"/>
    <w:rsid w:val="00A45760"/>
    <w:rsid w:val="00A457D1"/>
    <w:rsid w:val="00A46F6D"/>
    <w:rsid w:val="00A46FFA"/>
    <w:rsid w:val="00A47B05"/>
    <w:rsid w:val="00A50667"/>
    <w:rsid w:val="00A516B8"/>
    <w:rsid w:val="00A51A13"/>
    <w:rsid w:val="00A51E51"/>
    <w:rsid w:val="00A520B6"/>
    <w:rsid w:val="00A547B3"/>
    <w:rsid w:val="00A55AF8"/>
    <w:rsid w:val="00A566EA"/>
    <w:rsid w:val="00A60E14"/>
    <w:rsid w:val="00A61A2B"/>
    <w:rsid w:val="00A6211F"/>
    <w:rsid w:val="00A62989"/>
    <w:rsid w:val="00A62F81"/>
    <w:rsid w:val="00A63094"/>
    <w:rsid w:val="00A6309D"/>
    <w:rsid w:val="00A6462D"/>
    <w:rsid w:val="00A647E4"/>
    <w:rsid w:val="00A648A0"/>
    <w:rsid w:val="00A64A53"/>
    <w:rsid w:val="00A6554F"/>
    <w:rsid w:val="00A65B67"/>
    <w:rsid w:val="00A65C5B"/>
    <w:rsid w:val="00A677D1"/>
    <w:rsid w:val="00A67A2C"/>
    <w:rsid w:val="00A705C4"/>
    <w:rsid w:val="00A70AE6"/>
    <w:rsid w:val="00A71D1D"/>
    <w:rsid w:val="00A7257B"/>
    <w:rsid w:val="00A73A1B"/>
    <w:rsid w:val="00A73D14"/>
    <w:rsid w:val="00A73F7E"/>
    <w:rsid w:val="00A7514B"/>
    <w:rsid w:val="00A7585A"/>
    <w:rsid w:val="00A75E13"/>
    <w:rsid w:val="00A76776"/>
    <w:rsid w:val="00A769E9"/>
    <w:rsid w:val="00A770F0"/>
    <w:rsid w:val="00A82495"/>
    <w:rsid w:val="00A82567"/>
    <w:rsid w:val="00A82DC0"/>
    <w:rsid w:val="00A846CA"/>
    <w:rsid w:val="00A85731"/>
    <w:rsid w:val="00A8679F"/>
    <w:rsid w:val="00A90568"/>
    <w:rsid w:val="00A91763"/>
    <w:rsid w:val="00A934FE"/>
    <w:rsid w:val="00A935BE"/>
    <w:rsid w:val="00A94064"/>
    <w:rsid w:val="00A94789"/>
    <w:rsid w:val="00A94D55"/>
    <w:rsid w:val="00A95F86"/>
    <w:rsid w:val="00A9679B"/>
    <w:rsid w:val="00A96887"/>
    <w:rsid w:val="00A978FE"/>
    <w:rsid w:val="00A97EF3"/>
    <w:rsid w:val="00AA158C"/>
    <w:rsid w:val="00AA1F6F"/>
    <w:rsid w:val="00AA2106"/>
    <w:rsid w:val="00AA252D"/>
    <w:rsid w:val="00AA2855"/>
    <w:rsid w:val="00AA318A"/>
    <w:rsid w:val="00AA378F"/>
    <w:rsid w:val="00AA60F4"/>
    <w:rsid w:val="00AA670E"/>
    <w:rsid w:val="00AA676A"/>
    <w:rsid w:val="00AA7BCB"/>
    <w:rsid w:val="00AA7E80"/>
    <w:rsid w:val="00AB2548"/>
    <w:rsid w:val="00AB36A1"/>
    <w:rsid w:val="00AB40B1"/>
    <w:rsid w:val="00AB6CB2"/>
    <w:rsid w:val="00AC001C"/>
    <w:rsid w:val="00AC02FA"/>
    <w:rsid w:val="00AC2338"/>
    <w:rsid w:val="00AC277F"/>
    <w:rsid w:val="00AC2DE5"/>
    <w:rsid w:val="00AC5D35"/>
    <w:rsid w:val="00AC6A9B"/>
    <w:rsid w:val="00AC6ED0"/>
    <w:rsid w:val="00AC79FC"/>
    <w:rsid w:val="00AD0B2C"/>
    <w:rsid w:val="00AD1B5F"/>
    <w:rsid w:val="00AD28F7"/>
    <w:rsid w:val="00AD2CD6"/>
    <w:rsid w:val="00AD2D7F"/>
    <w:rsid w:val="00AD3168"/>
    <w:rsid w:val="00AD3CD9"/>
    <w:rsid w:val="00AD5316"/>
    <w:rsid w:val="00AD5594"/>
    <w:rsid w:val="00AD57A8"/>
    <w:rsid w:val="00AD5953"/>
    <w:rsid w:val="00AD5CEB"/>
    <w:rsid w:val="00AD7026"/>
    <w:rsid w:val="00AD73A1"/>
    <w:rsid w:val="00AD7B8D"/>
    <w:rsid w:val="00AE0775"/>
    <w:rsid w:val="00AE1158"/>
    <w:rsid w:val="00AE11FA"/>
    <w:rsid w:val="00AE14B1"/>
    <w:rsid w:val="00AE1838"/>
    <w:rsid w:val="00AE1DAD"/>
    <w:rsid w:val="00AE3C51"/>
    <w:rsid w:val="00AE4ABE"/>
    <w:rsid w:val="00AE4D23"/>
    <w:rsid w:val="00AE5749"/>
    <w:rsid w:val="00AE599C"/>
    <w:rsid w:val="00AE5BE7"/>
    <w:rsid w:val="00AE6FD4"/>
    <w:rsid w:val="00AE6FDF"/>
    <w:rsid w:val="00AE752E"/>
    <w:rsid w:val="00AF1E3A"/>
    <w:rsid w:val="00AF1F43"/>
    <w:rsid w:val="00AF25D1"/>
    <w:rsid w:val="00AF28CA"/>
    <w:rsid w:val="00AF3062"/>
    <w:rsid w:val="00AF3C38"/>
    <w:rsid w:val="00AF3D25"/>
    <w:rsid w:val="00AF5F7A"/>
    <w:rsid w:val="00AF6A4A"/>
    <w:rsid w:val="00B004A4"/>
    <w:rsid w:val="00B008AC"/>
    <w:rsid w:val="00B00BD7"/>
    <w:rsid w:val="00B01269"/>
    <w:rsid w:val="00B0144E"/>
    <w:rsid w:val="00B01604"/>
    <w:rsid w:val="00B035C4"/>
    <w:rsid w:val="00B03701"/>
    <w:rsid w:val="00B0441A"/>
    <w:rsid w:val="00B04BAB"/>
    <w:rsid w:val="00B04DFB"/>
    <w:rsid w:val="00B06077"/>
    <w:rsid w:val="00B0680D"/>
    <w:rsid w:val="00B07C40"/>
    <w:rsid w:val="00B12E28"/>
    <w:rsid w:val="00B13C2C"/>
    <w:rsid w:val="00B149D2"/>
    <w:rsid w:val="00B15554"/>
    <w:rsid w:val="00B15C71"/>
    <w:rsid w:val="00B15FB4"/>
    <w:rsid w:val="00B16C3E"/>
    <w:rsid w:val="00B16D88"/>
    <w:rsid w:val="00B16E6E"/>
    <w:rsid w:val="00B2011B"/>
    <w:rsid w:val="00B202A1"/>
    <w:rsid w:val="00B2135B"/>
    <w:rsid w:val="00B213F2"/>
    <w:rsid w:val="00B21904"/>
    <w:rsid w:val="00B21935"/>
    <w:rsid w:val="00B23C36"/>
    <w:rsid w:val="00B26540"/>
    <w:rsid w:val="00B30BDC"/>
    <w:rsid w:val="00B30C30"/>
    <w:rsid w:val="00B30C90"/>
    <w:rsid w:val="00B31095"/>
    <w:rsid w:val="00B313AD"/>
    <w:rsid w:val="00B316A1"/>
    <w:rsid w:val="00B34F72"/>
    <w:rsid w:val="00B35B06"/>
    <w:rsid w:val="00B36966"/>
    <w:rsid w:val="00B3776C"/>
    <w:rsid w:val="00B37969"/>
    <w:rsid w:val="00B40FEB"/>
    <w:rsid w:val="00B4269D"/>
    <w:rsid w:val="00B4280D"/>
    <w:rsid w:val="00B42B0A"/>
    <w:rsid w:val="00B43244"/>
    <w:rsid w:val="00B43659"/>
    <w:rsid w:val="00B4398B"/>
    <w:rsid w:val="00B439BF"/>
    <w:rsid w:val="00B43FF7"/>
    <w:rsid w:val="00B44180"/>
    <w:rsid w:val="00B4601B"/>
    <w:rsid w:val="00B50637"/>
    <w:rsid w:val="00B50B42"/>
    <w:rsid w:val="00B50C0A"/>
    <w:rsid w:val="00B50E2F"/>
    <w:rsid w:val="00B51E7B"/>
    <w:rsid w:val="00B52A44"/>
    <w:rsid w:val="00B531EB"/>
    <w:rsid w:val="00B542E1"/>
    <w:rsid w:val="00B543C4"/>
    <w:rsid w:val="00B54DEE"/>
    <w:rsid w:val="00B57880"/>
    <w:rsid w:val="00B60235"/>
    <w:rsid w:val="00B60BD5"/>
    <w:rsid w:val="00B60C9E"/>
    <w:rsid w:val="00B612D2"/>
    <w:rsid w:val="00B617FF"/>
    <w:rsid w:val="00B620F0"/>
    <w:rsid w:val="00B6357D"/>
    <w:rsid w:val="00B63EF2"/>
    <w:rsid w:val="00B64019"/>
    <w:rsid w:val="00B64F42"/>
    <w:rsid w:val="00B65B86"/>
    <w:rsid w:val="00B66B79"/>
    <w:rsid w:val="00B673B3"/>
    <w:rsid w:val="00B67462"/>
    <w:rsid w:val="00B6778A"/>
    <w:rsid w:val="00B70B15"/>
    <w:rsid w:val="00B713CB"/>
    <w:rsid w:val="00B71976"/>
    <w:rsid w:val="00B71E54"/>
    <w:rsid w:val="00B7215D"/>
    <w:rsid w:val="00B746B4"/>
    <w:rsid w:val="00B747CF"/>
    <w:rsid w:val="00B75205"/>
    <w:rsid w:val="00B75970"/>
    <w:rsid w:val="00B77292"/>
    <w:rsid w:val="00B803CA"/>
    <w:rsid w:val="00B80A33"/>
    <w:rsid w:val="00B8373D"/>
    <w:rsid w:val="00B84C25"/>
    <w:rsid w:val="00B84D6E"/>
    <w:rsid w:val="00B84FDB"/>
    <w:rsid w:val="00B85D6C"/>
    <w:rsid w:val="00B876E2"/>
    <w:rsid w:val="00B91320"/>
    <w:rsid w:val="00B91935"/>
    <w:rsid w:val="00B92174"/>
    <w:rsid w:val="00B92352"/>
    <w:rsid w:val="00B93A41"/>
    <w:rsid w:val="00B93B66"/>
    <w:rsid w:val="00B93DAB"/>
    <w:rsid w:val="00B9428F"/>
    <w:rsid w:val="00B943E8"/>
    <w:rsid w:val="00B949C5"/>
    <w:rsid w:val="00B96973"/>
    <w:rsid w:val="00BA0443"/>
    <w:rsid w:val="00BA0796"/>
    <w:rsid w:val="00BA1296"/>
    <w:rsid w:val="00BA1355"/>
    <w:rsid w:val="00BA17D0"/>
    <w:rsid w:val="00BA2006"/>
    <w:rsid w:val="00BA2314"/>
    <w:rsid w:val="00BA2645"/>
    <w:rsid w:val="00BA3784"/>
    <w:rsid w:val="00BA4EAE"/>
    <w:rsid w:val="00BA4ED5"/>
    <w:rsid w:val="00BA64BE"/>
    <w:rsid w:val="00BA7064"/>
    <w:rsid w:val="00BA77B4"/>
    <w:rsid w:val="00BB178B"/>
    <w:rsid w:val="00BB1B2F"/>
    <w:rsid w:val="00BB3A2F"/>
    <w:rsid w:val="00BB64F6"/>
    <w:rsid w:val="00BB75D1"/>
    <w:rsid w:val="00BB7854"/>
    <w:rsid w:val="00BB78B1"/>
    <w:rsid w:val="00BB7E78"/>
    <w:rsid w:val="00BC03E0"/>
    <w:rsid w:val="00BC1B43"/>
    <w:rsid w:val="00BC2021"/>
    <w:rsid w:val="00BC34BB"/>
    <w:rsid w:val="00BC3A68"/>
    <w:rsid w:val="00BC5397"/>
    <w:rsid w:val="00BC53DE"/>
    <w:rsid w:val="00BC674F"/>
    <w:rsid w:val="00BC69FC"/>
    <w:rsid w:val="00BC6AFA"/>
    <w:rsid w:val="00BC6D91"/>
    <w:rsid w:val="00BC725D"/>
    <w:rsid w:val="00BC79F3"/>
    <w:rsid w:val="00BD165F"/>
    <w:rsid w:val="00BD17E8"/>
    <w:rsid w:val="00BD1E9F"/>
    <w:rsid w:val="00BD3600"/>
    <w:rsid w:val="00BD76DA"/>
    <w:rsid w:val="00BE00CA"/>
    <w:rsid w:val="00BE01A1"/>
    <w:rsid w:val="00BE0945"/>
    <w:rsid w:val="00BE0D93"/>
    <w:rsid w:val="00BE174A"/>
    <w:rsid w:val="00BE2975"/>
    <w:rsid w:val="00BE3035"/>
    <w:rsid w:val="00BE489A"/>
    <w:rsid w:val="00BE52E1"/>
    <w:rsid w:val="00BE584B"/>
    <w:rsid w:val="00BE5933"/>
    <w:rsid w:val="00BE5E33"/>
    <w:rsid w:val="00BE68A7"/>
    <w:rsid w:val="00BF0BFA"/>
    <w:rsid w:val="00BF0EBB"/>
    <w:rsid w:val="00BF2BC6"/>
    <w:rsid w:val="00BF45D9"/>
    <w:rsid w:val="00BF56F0"/>
    <w:rsid w:val="00BF63B2"/>
    <w:rsid w:val="00BF6B7F"/>
    <w:rsid w:val="00BF7304"/>
    <w:rsid w:val="00BF7752"/>
    <w:rsid w:val="00BF7E14"/>
    <w:rsid w:val="00C01BCA"/>
    <w:rsid w:val="00C02F28"/>
    <w:rsid w:val="00C05223"/>
    <w:rsid w:val="00C05C9F"/>
    <w:rsid w:val="00C06464"/>
    <w:rsid w:val="00C10F70"/>
    <w:rsid w:val="00C134A4"/>
    <w:rsid w:val="00C15C6A"/>
    <w:rsid w:val="00C15ECF"/>
    <w:rsid w:val="00C162DB"/>
    <w:rsid w:val="00C20DFF"/>
    <w:rsid w:val="00C213EE"/>
    <w:rsid w:val="00C2398B"/>
    <w:rsid w:val="00C239AC"/>
    <w:rsid w:val="00C24FA6"/>
    <w:rsid w:val="00C25EC4"/>
    <w:rsid w:val="00C263F1"/>
    <w:rsid w:val="00C27679"/>
    <w:rsid w:val="00C31760"/>
    <w:rsid w:val="00C322C5"/>
    <w:rsid w:val="00C32994"/>
    <w:rsid w:val="00C339C7"/>
    <w:rsid w:val="00C33F24"/>
    <w:rsid w:val="00C34819"/>
    <w:rsid w:val="00C36408"/>
    <w:rsid w:val="00C368D9"/>
    <w:rsid w:val="00C37DCF"/>
    <w:rsid w:val="00C41448"/>
    <w:rsid w:val="00C41E93"/>
    <w:rsid w:val="00C44908"/>
    <w:rsid w:val="00C450B6"/>
    <w:rsid w:val="00C4752A"/>
    <w:rsid w:val="00C47E51"/>
    <w:rsid w:val="00C50C02"/>
    <w:rsid w:val="00C53E10"/>
    <w:rsid w:val="00C5482D"/>
    <w:rsid w:val="00C54AF2"/>
    <w:rsid w:val="00C55251"/>
    <w:rsid w:val="00C554B5"/>
    <w:rsid w:val="00C555C0"/>
    <w:rsid w:val="00C5572F"/>
    <w:rsid w:val="00C55C65"/>
    <w:rsid w:val="00C55D3C"/>
    <w:rsid w:val="00C56143"/>
    <w:rsid w:val="00C568D4"/>
    <w:rsid w:val="00C56A00"/>
    <w:rsid w:val="00C56C4F"/>
    <w:rsid w:val="00C57817"/>
    <w:rsid w:val="00C57A78"/>
    <w:rsid w:val="00C6084A"/>
    <w:rsid w:val="00C624EE"/>
    <w:rsid w:val="00C62C3A"/>
    <w:rsid w:val="00C62E5C"/>
    <w:rsid w:val="00C631B2"/>
    <w:rsid w:val="00C648BE"/>
    <w:rsid w:val="00C64A4E"/>
    <w:rsid w:val="00C65F8D"/>
    <w:rsid w:val="00C67C64"/>
    <w:rsid w:val="00C70F76"/>
    <w:rsid w:val="00C71541"/>
    <w:rsid w:val="00C725CF"/>
    <w:rsid w:val="00C72860"/>
    <w:rsid w:val="00C72CDA"/>
    <w:rsid w:val="00C737B8"/>
    <w:rsid w:val="00C74005"/>
    <w:rsid w:val="00C74225"/>
    <w:rsid w:val="00C743EE"/>
    <w:rsid w:val="00C8043D"/>
    <w:rsid w:val="00C80953"/>
    <w:rsid w:val="00C8159E"/>
    <w:rsid w:val="00C82D8F"/>
    <w:rsid w:val="00C833AA"/>
    <w:rsid w:val="00C8397E"/>
    <w:rsid w:val="00C84519"/>
    <w:rsid w:val="00C847FA"/>
    <w:rsid w:val="00C8647A"/>
    <w:rsid w:val="00C86516"/>
    <w:rsid w:val="00C8777C"/>
    <w:rsid w:val="00C9067B"/>
    <w:rsid w:val="00C91A42"/>
    <w:rsid w:val="00C92DA5"/>
    <w:rsid w:val="00C9377F"/>
    <w:rsid w:val="00C93F94"/>
    <w:rsid w:val="00C94844"/>
    <w:rsid w:val="00C9542B"/>
    <w:rsid w:val="00C959FD"/>
    <w:rsid w:val="00C95C35"/>
    <w:rsid w:val="00C962B4"/>
    <w:rsid w:val="00C96C0F"/>
    <w:rsid w:val="00C96FF1"/>
    <w:rsid w:val="00C97CF8"/>
    <w:rsid w:val="00CA1BF5"/>
    <w:rsid w:val="00CA1FAB"/>
    <w:rsid w:val="00CA2E68"/>
    <w:rsid w:val="00CA46E7"/>
    <w:rsid w:val="00CA4B34"/>
    <w:rsid w:val="00CA558D"/>
    <w:rsid w:val="00CA5A48"/>
    <w:rsid w:val="00CA6328"/>
    <w:rsid w:val="00CA6782"/>
    <w:rsid w:val="00CA74E0"/>
    <w:rsid w:val="00CA7B39"/>
    <w:rsid w:val="00CB0DE0"/>
    <w:rsid w:val="00CB12E7"/>
    <w:rsid w:val="00CB2F0A"/>
    <w:rsid w:val="00CB5DCB"/>
    <w:rsid w:val="00CB6E35"/>
    <w:rsid w:val="00CC0170"/>
    <w:rsid w:val="00CC02F2"/>
    <w:rsid w:val="00CC2156"/>
    <w:rsid w:val="00CC3A73"/>
    <w:rsid w:val="00CC4726"/>
    <w:rsid w:val="00CC4B9E"/>
    <w:rsid w:val="00CC545D"/>
    <w:rsid w:val="00CC5633"/>
    <w:rsid w:val="00CC57C6"/>
    <w:rsid w:val="00CC6734"/>
    <w:rsid w:val="00CC6A6C"/>
    <w:rsid w:val="00CC70A2"/>
    <w:rsid w:val="00CC7CC6"/>
    <w:rsid w:val="00CD083E"/>
    <w:rsid w:val="00CD1992"/>
    <w:rsid w:val="00CD2BF8"/>
    <w:rsid w:val="00CD3943"/>
    <w:rsid w:val="00CD6538"/>
    <w:rsid w:val="00CD7094"/>
    <w:rsid w:val="00CD7E51"/>
    <w:rsid w:val="00CD7ED1"/>
    <w:rsid w:val="00CE0671"/>
    <w:rsid w:val="00CE0C94"/>
    <w:rsid w:val="00CE156E"/>
    <w:rsid w:val="00CE1ED6"/>
    <w:rsid w:val="00CE2BB8"/>
    <w:rsid w:val="00CE3DFD"/>
    <w:rsid w:val="00CE3EFE"/>
    <w:rsid w:val="00CE4C6C"/>
    <w:rsid w:val="00CE4DC6"/>
    <w:rsid w:val="00CE596A"/>
    <w:rsid w:val="00CE73D9"/>
    <w:rsid w:val="00CF0BD9"/>
    <w:rsid w:val="00CF3020"/>
    <w:rsid w:val="00CF346F"/>
    <w:rsid w:val="00CF3A14"/>
    <w:rsid w:val="00CF4175"/>
    <w:rsid w:val="00CF4D45"/>
    <w:rsid w:val="00CF4EFF"/>
    <w:rsid w:val="00CF58FE"/>
    <w:rsid w:val="00CF5F17"/>
    <w:rsid w:val="00CF62B7"/>
    <w:rsid w:val="00CF6A86"/>
    <w:rsid w:val="00D0206E"/>
    <w:rsid w:val="00D02D95"/>
    <w:rsid w:val="00D03FC6"/>
    <w:rsid w:val="00D04112"/>
    <w:rsid w:val="00D049BD"/>
    <w:rsid w:val="00D05169"/>
    <w:rsid w:val="00D06726"/>
    <w:rsid w:val="00D10CCF"/>
    <w:rsid w:val="00D11532"/>
    <w:rsid w:val="00D13148"/>
    <w:rsid w:val="00D13553"/>
    <w:rsid w:val="00D137CE"/>
    <w:rsid w:val="00D13804"/>
    <w:rsid w:val="00D13B54"/>
    <w:rsid w:val="00D15798"/>
    <w:rsid w:val="00D17349"/>
    <w:rsid w:val="00D20671"/>
    <w:rsid w:val="00D215DE"/>
    <w:rsid w:val="00D21666"/>
    <w:rsid w:val="00D2215C"/>
    <w:rsid w:val="00D22C1A"/>
    <w:rsid w:val="00D22E4F"/>
    <w:rsid w:val="00D22E92"/>
    <w:rsid w:val="00D2321D"/>
    <w:rsid w:val="00D2329D"/>
    <w:rsid w:val="00D23787"/>
    <w:rsid w:val="00D2427A"/>
    <w:rsid w:val="00D2641C"/>
    <w:rsid w:val="00D26E53"/>
    <w:rsid w:val="00D32114"/>
    <w:rsid w:val="00D32450"/>
    <w:rsid w:val="00D3295B"/>
    <w:rsid w:val="00D333B0"/>
    <w:rsid w:val="00D33449"/>
    <w:rsid w:val="00D345BA"/>
    <w:rsid w:val="00D3463A"/>
    <w:rsid w:val="00D35BC8"/>
    <w:rsid w:val="00D3669C"/>
    <w:rsid w:val="00D407E4"/>
    <w:rsid w:val="00D409EB"/>
    <w:rsid w:val="00D40A74"/>
    <w:rsid w:val="00D40D70"/>
    <w:rsid w:val="00D413D6"/>
    <w:rsid w:val="00D437EF"/>
    <w:rsid w:val="00D43D10"/>
    <w:rsid w:val="00D45E60"/>
    <w:rsid w:val="00D46A04"/>
    <w:rsid w:val="00D4710B"/>
    <w:rsid w:val="00D5184A"/>
    <w:rsid w:val="00D51E2C"/>
    <w:rsid w:val="00D531B1"/>
    <w:rsid w:val="00D53A60"/>
    <w:rsid w:val="00D55048"/>
    <w:rsid w:val="00D570AD"/>
    <w:rsid w:val="00D5772F"/>
    <w:rsid w:val="00D57DDF"/>
    <w:rsid w:val="00D61FAE"/>
    <w:rsid w:val="00D6253D"/>
    <w:rsid w:val="00D6390E"/>
    <w:rsid w:val="00D64ADC"/>
    <w:rsid w:val="00D66682"/>
    <w:rsid w:val="00D6680B"/>
    <w:rsid w:val="00D679D6"/>
    <w:rsid w:val="00D725F5"/>
    <w:rsid w:val="00D7293C"/>
    <w:rsid w:val="00D72DAB"/>
    <w:rsid w:val="00D741BC"/>
    <w:rsid w:val="00D813D4"/>
    <w:rsid w:val="00D82D10"/>
    <w:rsid w:val="00D83545"/>
    <w:rsid w:val="00D8387E"/>
    <w:rsid w:val="00D84696"/>
    <w:rsid w:val="00D847FF"/>
    <w:rsid w:val="00D84975"/>
    <w:rsid w:val="00D85B09"/>
    <w:rsid w:val="00D86759"/>
    <w:rsid w:val="00D870B7"/>
    <w:rsid w:val="00D87E90"/>
    <w:rsid w:val="00D9145B"/>
    <w:rsid w:val="00D9193C"/>
    <w:rsid w:val="00D91D02"/>
    <w:rsid w:val="00D92630"/>
    <w:rsid w:val="00D94560"/>
    <w:rsid w:val="00D94B21"/>
    <w:rsid w:val="00D95BF2"/>
    <w:rsid w:val="00D95EA5"/>
    <w:rsid w:val="00D96685"/>
    <w:rsid w:val="00D96B71"/>
    <w:rsid w:val="00D9747C"/>
    <w:rsid w:val="00D97BBC"/>
    <w:rsid w:val="00D97F67"/>
    <w:rsid w:val="00DA0443"/>
    <w:rsid w:val="00DA0665"/>
    <w:rsid w:val="00DA0696"/>
    <w:rsid w:val="00DA0AC9"/>
    <w:rsid w:val="00DA0C39"/>
    <w:rsid w:val="00DA1968"/>
    <w:rsid w:val="00DA2736"/>
    <w:rsid w:val="00DA3248"/>
    <w:rsid w:val="00DA5132"/>
    <w:rsid w:val="00DA589A"/>
    <w:rsid w:val="00DA703F"/>
    <w:rsid w:val="00DB02F7"/>
    <w:rsid w:val="00DB0EEF"/>
    <w:rsid w:val="00DB25B6"/>
    <w:rsid w:val="00DB2A3E"/>
    <w:rsid w:val="00DB2EDD"/>
    <w:rsid w:val="00DB3D1C"/>
    <w:rsid w:val="00DB4029"/>
    <w:rsid w:val="00DB4525"/>
    <w:rsid w:val="00DB4DFF"/>
    <w:rsid w:val="00DB5046"/>
    <w:rsid w:val="00DB506A"/>
    <w:rsid w:val="00DB5112"/>
    <w:rsid w:val="00DB7D08"/>
    <w:rsid w:val="00DC12E2"/>
    <w:rsid w:val="00DC1556"/>
    <w:rsid w:val="00DC2DAE"/>
    <w:rsid w:val="00DC2DF5"/>
    <w:rsid w:val="00DC3793"/>
    <w:rsid w:val="00DC44FB"/>
    <w:rsid w:val="00DC52CC"/>
    <w:rsid w:val="00DC540E"/>
    <w:rsid w:val="00DC5F80"/>
    <w:rsid w:val="00DC6B63"/>
    <w:rsid w:val="00DC7A6C"/>
    <w:rsid w:val="00DD044B"/>
    <w:rsid w:val="00DD19F5"/>
    <w:rsid w:val="00DD2C2C"/>
    <w:rsid w:val="00DD2C71"/>
    <w:rsid w:val="00DD6100"/>
    <w:rsid w:val="00DD6E56"/>
    <w:rsid w:val="00DD7311"/>
    <w:rsid w:val="00DD74BB"/>
    <w:rsid w:val="00DD791E"/>
    <w:rsid w:val="00DD7D99"/>
    <w:rsid w:val="00DE0931"/>
    <w:rsid w:val="00DE0F3F"/>
    <w:rsid w:val="00DE123D"/>
    <w:rsid w:val="00DE2ACB"/>
    <w:rsid w:val="00DE3403"/>
    <w:rsid w:val="00DE3C95"/>
    <w:rsid w:val="00DE3E27"/>
    <w:rsid w:val="00DE4070"/>
    <w:rsid w:val="00DE44C8"/>
    <w:rsid w:val="00DE4822"/>
    <w:rsid w:val="00DE48D4"/>
    <w:rsid w:val="00DE617C"/>
    <w:rsid w:val="00DE657F"/>
    <w:rsid w:val="00DE6A15"/>
    <w:rsid w:val="00DF0A0D"/>
    <w:rsid w:val="00DF1EC7"/>
    <w:rsid w:val="00DF200F"/>
    <w:rsid w:val="00DF23FB"/>
    <w:rsid w:val="00DF2537"/>
    <w:rsid w:val="00DF2654"/>
    <w:rsid w:val="00DF313A"/>
    <w:rsid w:val="00DF39C3"/>
    <w:rsid w:val="00DF3CCC"/>
    <w:rsid w:val="00DF3DD0"/>
    <w:rsid w:val="00DF495D"/>
    <w:rsid w:val="00DF4F52"/>
    <w:rsid w:val="00DF5913"/>
    <w:rsid w:val="00DF5D8D"/>
    <w:rsid w:val="00DF6397"/>
    <w:rsid w:val="00DF67B7"/>
    <w:rsid w:val="00DF6D3F"/>
    <w:rsid w:val="00DF6FB1"/>
    <w:rsid w:val="00DF6FB9"/>
    <w:rsid w:val="00E009CB"/>
    <w:rsid w:val="00E00D3E"/>
    <w:rsid w:val="00E0212E"/>
    <w:rsid w:val="00E0334E"/>
    <w:rsid w:val="00E0467C"/>
    <w:rsid w:val="00E05291"/>
    <w:rsid w:val="00E05305"/>
    <w:rsid w:val="00E05CB2"/>
    <w:rsid w:val="00E06A21"/>
    <w:rsid w:val="00E06A34"/>
    <w:rsid w:val="00E06BFB"/>
    <w:rsid w:val="00E06F07"/>
    <w:rsid w:val="00E079AF"/>
    <w:rsid w:val="00E10BBE"/>
    <w:rsid w:val="00E11416"/>
    <w:rsid w:val="00E11662"/>
    <w:rsid w:val="00E11CC1"/>
    <w:rsid w:val="00E11CD4"/>
    <w:rsid w:val="00E12775"/>
    <w:rsid w:val="00E12937"/>
    <w:rsid w:val="00E13296"/>
    <w:rsid w:val="00E13A68"/>
    <w:rsid w:val="00E13E43"/>
    <w:rsid w:val="00E14E35"/>
    <w:rsid w:val="00E177BC"/>
    <w:rsid w:val="00E20745"/>
    <w:rsid w:val="00E20FAC"/>
    <w:rsid w:val="00E21E66"/>
    <w:rsid w:val="00E2352F"/>
    <w:rsid w:val="00E23AF1"/>
    <w:rsid w:val="00E24CF0"/>
    <w:rsid w:val="00E254C4"/>
    <w:rsid w:val="00E25B75"/>
    <w:rsid w:val="00E26215"/>
    <w:rsid w:val="00E316D8"/>
    <w:rsid w:val="00E31F77"/>
    <w:rsid w:val="00E320EE"/>
    <w:rsid w:val="00E32E84"/>
    <w:rsid w:val="00E33E6A"/>
    <w:rsid w:val="00E35BAD"/>
    <w:rsid w:val="00E36130"/>
    <w:rsid w:val="00E36A79"/>
    <w:rsid w:val="00E36C40"/>
    <w:rsid w:val="00E37775"/>
    <w:rsid w:val="00E37D35"/>
    <w:rsid w:val="00E40750"/>
    <w:rsid w:val="00E41993"/>
    <w:rsid w:val="00E434E5"/>
    <w:rsid w:val="00E4393D"/>
    <w:rsid w:val="00E43CC1"/>
    <w:rsid w:val="00E44586"/>
    <w:rsid w:val="00E44D87"/>
    <w:rsid w:val="00E44F49"/>
    <w:rsid w:val="00E45866"/>
    <w:rsid w:val="00E45DDA"/>
    <w:rsid w:val="00E45FB1"/>
    <w:rsid w:val="00E4675C"/>
    <w:rsid w:val="00E470F3"/>
    <w:rsid w:val="00E5021E"/>
    <w:rsid w:val="00E514E3"/>
    <w:rsid w:val="00E5234E"/>
    <w:rsid w:val="00E53BCD"/>
    <w:rsid w:val="00E5409A"/>
    <w:rsid w:val="00E54D85"/>
    <w:rsid w:val="00E56B40"/>
    <w:rsid w:val="00E578E2"/>
    <w:rsid w:val="00E60148"/>
    <w:rsid w:val="00E60F5D"/>
    <w:rsid w:val="00E61AEC"/>
    <w:rsid w:val="00E6245A"/>
    <w:rsid w:val="00E62624"/>
    <w:rsid w:val="00E63D14"/>
    <w:rsid w:val="00E64A11"/>
    <w:rsid w:val="00E64DCE"/>
    <w:rsid w:val="00E65977"/>
    <w:rsid w:val="00E65D1E"/>
    <w:rsid w:val="00E65D9F"/>
    <w:rsid w:val="00E66A4B"/>
    <w:rsid w:val="00E66DDE"/>
    <w:rsid w:val="00E671AC"/>
    <w:rsid w:val="00E7013C"/>
    <w:rsid w:val="00E72AE2"/>
    <w:rsid w:val="00E73214"/>
    <w:rsid w:val="00E739F1"/>
    <w:rsid w:val="00E7400C"/>
    <w:rsid w:val="00E74644"/>
    <w:rsid w:val="00E749E2"/>
    <w:rsid w:val="00E75213"/>
    <w:rsid w:val="00E75952"/>
    <w:rsid w:val="00E75955"/>
    <w:rsid w:val="00E75B65"/>
    <w:rsid w:val="00E76492"/>
    <w:rsid w:val="00E7685C"/>
    <w:rsid w:val="00E7705E"/>
    <w:rsid w:val="00E80151"/>
    <w:rsid w:val="00E80B65"/>
    <w:rsid w:val="00E82473"/>
    <w:rsid w:val="00E8280C"/>
    <w:rsid w:val="00E82A2A"/>
    <w:rsid w:val="00E8384D"/>
    <w:rsid w:val="00E84438"/>
    <w:rsid w:val="00E85D47"/>
    <w:rsid w:val="00E8627F"/>
    <w:rsid w:val="00E879DA"/>
    <w:rsid w:val="00E91F3D"/>
    <w:rsid w:val="00E94CE2"/>
    <w:rsid w:val="00E955AC"/>
    <w:rsid w:val="00E95DA3"/>
    <w:rsid w:val="00E96F9D"/>
    <w:rsid w:val="00EA0725"/>
    <w:rsid w:val="00EA116F"/>
    <w:rsid w:val="00EA1366"/>
    <w:rsid w:val="00EA1FF3"/>
    <w:rsid w:val="00EA2529"/>
    <w:rsid w:val="00EA329B"/>
    <w:rsid w:val="00EB1199"/>
    <w:rsid w:val="00EB149F"/>
    <w:rsid w:val="00EB15A2"/>
    <w:rsid w:val="00EB1929"/>
    <w:rsid w:val="00EB1C36"/>
    <w:rsid w:val="00EB2037"/>
    <w:rsid w:val="00EB46A3"/>
    <w:rsid w:val="00EB55A7"/>
    <w:rsid w:val="00EB591A"/>
    <w:rsid w:val="00EB611E"/>
    <w:rsid w:val="00EB7629"/>
    <w:rsid w:val="00EC092D"/>
    <w:rsid w:val="00EC245D"/>
    <w:rsid w:val="00EC2CE3"/>
    <w:rsid w:val="00EC3CF8"/>
    <w:rsid w:val="00EC439D"/>
    <w:rsid w:val="00EC488D"/>
    <w:rsid w:val="00EC49A0"/>
    <w:rsid w:val="00EC591E"/>
    <w:rsid w:val="00EC594C"/>
    <w:rsid w:val="00EC6106"/>
    <w:rsid w:val="00EC6CDA"/>
    <w:rsid w:val="00EC7B57"/>
    <w:rsid w:val="00ED087A"/>
    <w:rsid w:val="00ED2060"/>
    <w:rsid w:val="00ED326C"/>
    <w:rsid w:val="00ED513F"/>
    <w:rsid w:val="00ED6179"/>
    <w:rsid w:val="00ED6CBF"/>
    <w:rsid w:val="00ED76B2"/>
    <w:rsid w:val="00ED7B8A"/>
    <w:rsid w:val="00EE082F"/>
    <w:rsid w:val="00EE1F30"/>
    <w:rsid w:val="00EE47B3"/>
    <w:rsid w:val="00EE521D"/>
    <w:rsid w:val="00EE59CC"/>
    <w:rsid w:val="00EE6632"/>
    <w:rsid w:val="00EF0174"/>
    <w:rsid w:val="00EF05F4"/>
    <w:rsid w:val="00EF1B03"/>
    <w:rsid w:val="00EF2922"/>
    <w:rsid w:val="00EF2DB4"/>
    <w:rsid w:val="00EF2E32"/>
    <w:rsid w:val="00EF33F7"/>
    <w:rsid w:val="00EF3AA0"/>
    <w:rsid w:val="00EF4E32"/>
    <w:rsid w:val="00EF635B"/>
    <w:rsid w:val="00EF6780"/>
    <w:rsid w:val="00EF7543"/>
    <w:rsid w:val="00EF7932"/>
    <w:rsid w:val="00EF7E6E"/>
    <w:rsid w:val="00F00C2C"/>
    <w:rsid w:val="00F01C62"/>
    <w:rsid w:val="00F02D76"/>
    <w:rsid w:val="00F03016"/>
    <w:rsid w:val="00F048AE"/>
    <w:rsid w:val="00F04EF2"/>
    <w:rsid w:val="00F061D7"/>
    <w:rsid w:val="00F06397"/>
    <w:rsid w:val="00F0680F"/>
    <w:rsid w:val="00F06C27"/>
    <w:rsid w:val="00F07A28"/>
    <w:rsid w:val="00F07FCB"/>
    <w:rsid w:val="00F117C2"/>
    <w:rsid w:val="00F1218E"/>
    <w:rsid w:val="00F12536"/>
    <w:rsid w:val="00F12CCF"/>
    <w:rsid w:val="00F13794"/>
    <w:rsid w:val="00F14255"/>
    <w:rsid w:val="00F14B21"/>
    <w:rsid w:val="00F14EA6"/>
    <w:rsid w:val="00F14F09"/>
    <w:rsid w:val="00F161C4"/>
    <w:rsid w:val="00F16871"/>
    <w:rsid w:val="00F17081"/>
    <w:rsid w:val="00F22FAF"/>
    <w:rsid w:val="00F23E5B"/>
    <w:rsid w:val="00F243E5"/>
    <w:rsid w:val="00F244FA"/>
    <w:rsid w:val="00F255FB"/>
    <w:rsid w:val="00F263F0"/>
    <w:rsid w:val="00F26E98"/>
    <w:rsid w:val="00F31664"/>
    <w:rsid w:val="00F33891"/>
    <w:rsid w:val="00F34E62"/>
    <w:rsid w:val="00F3573D"/>
    <w:rsid w:val="00F359B0"/>
    <w:rsid w:val="00F3676B"/>
    <w:rsid w:val="00F378E7"/>
    <w:rsid w:val="00F37BFA"/>
    <w:rsid w:val="00F41513"/>
    <w:rsid w:val="00F41AE7"/>
    <w:rsid w:val="00F42509"/>
    <w:rsid w:val="00F45C2B"/>
    <w:rsid w:val="00F462E1"/>
    <w:rsid w:val="00F46454"/>
    <w:rsid w:val="00F465AB"/>
    <w:rsid w:val="00F469D4"/>
    <w:rsid w:val="00F47A38"/>
    <w:rsid w:val="00F47CC6"/>
    <w:rsid w:val="00F53AB5"/>
    <w:rsid w:val="00F544D6"/>
    <w:rsid w:val="00F549BC"/>
    <w:rsid w:val="00F54A26"/>
    <w:rsid w:val="00F555C1"/>
    <w:rsid w:val="00F565B0"/>
    <w:rsid w:val="00F57230"/>
    <w:rsid w:val="00F62181"/>
    <w:rsid w:val="00F625B2"/>
    <w:rsid w:val="00F62CF9"/>
    <w:rsid w:val="00F636BD"/>
    <w:rsid w:val="00F637DD"/>
    <w:rsid w:val="00F6444D"/>
    <w:rsid w:val="00F65323"/>
    <w:rsid w:val="00F673B1"/>
    <w:rsid w:val="00F67FA3"/>
    <w:rsid w:val="00F7002B"/>
    <w:rsid w:val="00F7059A"/>
    <w:rsid w:val="00F7124C"/>
    <w:rsid w:val="00F720DA"/>
    <w:rsid w:val="00F730C1"/>
    <w:rsid w:val="00F740B7"/>
    <w:rsid w:val="00F75A91"/>
    <w:rsid w:val="00F7619D"/>
    <w:rsid w:val="00F76A30"/>
    <w:rsid w:val="00F76DD6"/>
    <w:rsid w:val="00F81C81"/>
    <w:rsid w:val="00F822C5"/>
    <w:rsid w:val="00F82A2C"/>
    <w:rsid w:val="00F83668"/>
    <w:rsid w:val="00F836F3"/>
    <w:rsid w:val="00F83BB6"/>
    <w:rsid w:val="00F851EF"/>
    <w:rsid w:val="00F85553"/>
    <w:rsid w:val="00F85DA4"/>
    <w:rsid w:val="00F86448"/>
    <w:rsid w:val="00F874AD"/>
    <w:rsid w:val="00F9224D"/>
    <w:rsid w:val="00F92490"/>
    <w:rsid w:val="00F930A6"/>
    <w:rsid w:val="00F9333C"/>
    <w:rsid w:val="00F93948"/>
    <w:rsid w:val="00F93D1E"/>
    <w:rsid w:val="00F9492D"/>
    <w:rsid w:val="00F9531F"/>
    <w:rsid w:val="00F960F4"/>
    <w:rsid w:val="00F9624B"/>
    <w:rsid w:val="00F966D2"/>
    <w:rsid w:val="00F96C8D"/>
    <w:rsid w:val="00F96F43"/>
    <w:rsid w:val="00F97FBB"/>
    <w:rsid w:val="00FA10C8"/>
    <w:rsid w:val="00FA151D"/>
    <w:rsid w:val="00FA3EB8"/>
    <w:rsid w:val="00FA3F60"/>
    <w:rsid w:val="00FA4029"/>
    <w:rsid w:val="00FA4605"/>
    <w:rsid w:val="00FA4E7E"/>
    <w:rsid w:val="00FA4F87"/>
    <w:rsid w:val="00FA52E1"/>
    <w:rsid w:val="00FA5ADB"/>
    <w:rsid w:val="00FA7886"/>
    <w:rsid w:val="00FB054C"/>
    <w:rsid w:val="00FB0D9F"/>
    <w:rsid w:val="00FB2155"/>
    <w:rsid w:val="00FB3FD2"/>
    <w:rsid w:val="00FB41C7"/>
    <w:rsid w:val="00FB495D"/>
    <w:rsid w:val="00FB4B75"/>
    <w:rsid w:val="00FB5502"/>
    <w:rsid w:val="00FB595F"/>
    <w:rsid w:val="00FB67E8"/>
    <w:rsid w:val="00FB6CC5"/>
    <w:rsid w:val="00FB7131"/>
    <w:rsid w:val="00FB7293"/>
    <w:rsid w:val="00FB7307"/>
    <w:rsid w:val="00FB7FFD"/>
    <w:rsid w:val="00FC003B"/>
    <w:rsid w:val="00FC1115"/>
    <w:rsid w:val="00FC1EC1"/>
    <w:rsid w:val="00FC213C"/>
    <w:rsid w:val="00FC2B61"/>
    <w:rsid w:val="00FC434E"/>
    <w:rsid w:val="00FC656A"/>
    <w:rsid w:val="00FC65E9"/>
    <w:rsid w:val="00FC66A8"/>
    <w:rsid w:val="00FC7E20"/>
    <w:rsid w:val="00FD1288"/>
    <w:rsid w:val="00FD30A3"/>
    <w:rsid w:val="00FD32C6"/>
    <w:rsid w:val="00FD38E2"/>
    <w:rsid w:val="00FD4CF8"/>
    <w:rsid w:val="00FD52A0"/>
    <w:rsid w:val="00FD583D"/>
    <w:rsid w:val="00FD5DF7"/>
    <w:rsid w:val="00FD6A00"/>
    <w:rsid w:val="00FD6AD9"/>
    <w:rsid w:val="00FD6F7E"/>
    <w:rsid w:val="00FD7C8D"/>
    <w:rsid w:val="00FE158A"/>
    <w:rsid w:val="00FE19EE"/>
    <w:rsid w:val="00FE19F9"/>
    <w:rsid w:val="00FE21C1"/>
    <w:rsid w:val="00FE24F0"/>
    <w:rsid w:val="00FE28E4"/>
    <w:rsid w:val="00FE2D0D"/>
    <w:rsid w:val="00FE2F05"/>
    <w:rsid w:val="00FE34F4"/>
    <w:rsid w:val="00FE48F1"/>
    <w:rsid w:val="00FE4BA0"/>
    <w:rsid w:val="00FE4F64"/>
    <w:rsid w:val="00FE5915"/>
    <w:rsid w:val="00FE651E"/>
    <w:rsid w:val="00FE67E3"/>
    <w:rsid w:val="00FE6A61"/>
    <w:rsid w:val="00FE7768"/>
    <w:rsid w:val="00FF09C3"/>
    <w:rsid w:val="00FF0B8C"/>
    <w:rsid w:val="00FF0E0E"/>
    <w:rsid w:val="00FF1407"/>
    <w:rsid w:val="00FF2E49"/>
    <w:rsid w:val="00FF3963"/>
    <w:rsid w:val="00FF3AFF"/>
    <w:rsid w:val="00FF4206"/>
    <w:rsid w:val="00FF4667"/>
    <w:rsid w:val="00FF532B"/>
    <w:rsid w:val="00FF579E"/>
    <w:rsid w:val="00FF6078"/>
    <w:rsid w:val="00FF6CAE"/>
    <w:rsid w:val="00FF6D3E"/>
    <w:rsid w:val="00FF737E"/>
    <w:rsid w:val="00FF7D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B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1"/>
        <w:lang w:val="en-AU" w:eastAsia="en-AU" w:bidi="ar-SA"/>
      </w:rPr>
    </w:rPrDefault>
    <w:pPrDefault>
      <w:pPr>
        <w:spacing w:before="160" w:after="160" w:line="26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13C"/>
    <w:pPr>
      <w:spacing w:line="259" w:lineRule="auto"/>
    </w:pPr>
  </w:style>
  <w:style w:type="paragraph" w:styleId="Heading1">
    <w:name w:val="heading 1"/>
    <w:basedOn w:val="Normal"/>
    <w:next w:val="Normal"/>
    <w:link w:val="Heading1Char"/>
    <w:qFormat/>
    <w:rsid w:val="00FA151D"/>
    <w:pPr>
      <w:keepNext/>
      <w:keepLines/>
      <w:spacing w:before="360" w:line="240" w:lineRule="auto"/>
      <w:outlineLvl w:val="0"/>
    </w:pPr>
    <w:rPr>
      <w:rFonts w:eastAsiaTheme="majorEastAsia" w:cstheme="majorBidi"/>
      <w:bCs/>
      <w:color w:val="001032" w:themeColor="text2"/>
      <w:sz w:val="48"/>
      <w:szCs w:val="40"/>
    </w:rPr>
  </w:style>
  <w:style w:type="paragraph" w:styleId="Heading2">
    <w:name w:val="heading 2"/>
    <w:basedOn w:val="Normal"/>
    <w:next w:val="Normal"/>
    <w:link w:val="Heading2Char"/>
    <w:qFormat/>
    <w:rsid w:val="0028513C"/>
    <w:pPr>
      <w:keepNext/>
      <w:keepLines/>
      <w:spacing w:before="360" w:line="240" w:lineRule="auto"/>
      <w:outlineLvl w:val="1"/>
    </w:pPr>
    <w:rPr>
      <w:rFonts w:eastAsiaTheme="majorEastAsia" w:cstheme="majorBidi"/>
      <w:b/>
      <w:bCs/>
      <w:color w:val="001032" w:themeColor="text2"/>
      <w:sz w:val="32"/>
      <w:szCs w:val="26"/>
    </w:rPr>
  </w:style>
  <w:style w:type="paragraph" w:styleId="Heading3">
    <w:name w:val="heading 3"/>
    <w:basedOn w:val="Normal"/>
    <w:next w:val="Normal"/>
    <w:link w:val="Heading3Char"/>
    <w:qFormat/>
    <w:rsid w:val="00E72AE2"/>
    <w:pPr>
      <w:keepNext/>
      <w:keepLines/>
      <w:spacing w:before="360" w:line="240" w:lineRule="auto"/>
      <w:outlineLvl w:val="2"/>
    </w:pPr>
    <w:rPr>
      <w:rFonts w:asciiTheme="majorHAnsi" w:eastAsiaTheme="majorEastAsia" w:hAnsiTheme="majorHAnsi" w:cstheme="majorBidi"/>
      <w:b/>
      <w:bCs/>
      <w:color w:val="009364" w:themeColor="accent2"/>
      <w:sz w:val="28"/>
    </w:rPr>
  </w:style>
  <w:style w:type="paragraph" w:styleId="Heading4">
    <w:name w:val="heading 4"/>
    <w:basedOn w:val="Normal"/>
    <w:next w:val="Normal"/>
    <w:link w:val="Heading4Char"/>
    <w:qFormat/>
    <w:rsid w:val="0028513C"/>
    <w:pPr>
      <w:keepNext/>
      <w:keepLines/>
      <w:spacing w:before="360" w:line="240" w:lineRule="auto"/>
      <w:outlineLvl w:val="3"/>
    </w:pPr>
    <w:rPr>
      <w:rFonts w:asciiTheme="majorHAnsi" w:eastAsiaTheme="majorEastAsia" w:hAnsiTheme="majorHAnsi" w:cstheme="majorBidi"/>
      <w:b/>
      <w:bCs/>
      <w:iCs/>
      <w:color w:val="001032" w:themeColor="text2"/>
      <w:sz w:val="24"/>
    </w:rPr>
  </w:style>
  <w:style w:type="paragraph" w:styleId="Heading5">
    <w:name w:val="heading 5"/>
    <w:basedOn w:val="Normal"/>
    <w:next w:val="Normal"/>
    <w:link w:val="Heading5Char"/>
    <w:qFormat/>
    <w:rsid w:val="0028513C"/>
    <w:pPr>
      <w:keepNext/>
      <w:keepLines/>
      <w:tabs>
        <w:tab w:val="left" w:pos="794"/>
      </w:tabs>
      <w:spacing w:before="360" w:line="240" w:lineRule="auto"/>
      <w:outlineLvl w:val="4"/>
    </w:pPr>
    <w:rPr>
      <w:rFonts w:asciiTheme="majorHAnsi" w:eastAsiaTheme="majorEastAsia" w:hAnsiTheme="majorHAnsi" w:cstheme="majorBidi"/>
      <w:b/>
      <w:color w:val="001032" w:themeColor="text2"/>
    </w:rPr>
  </w:style>
  <w:style w:type="paragraph" w:styleId="Heading6">
    <w:name w:val="heading 6"/>
    <w:basedOn w:val="Normal"/>
    <w:next w:val="Normal"/>
    <w:link w:val="Heading6Char"/>
    <w:semiHidden/>
    <w:qFormat/>
    <w:rsid w:val="00DB4DFF"/>
    <w:pPr>
      <w:keepNext/>
      <w:keepLines/>
      <w:spacing w:before="250" w:after="40"/>
      <w:outlineLvl w:val="5"/>
    </w:pPr>
    <w:rPr>
      <w:rFonts w:asciiTheme="majorHAnsi" w:eastAsiaTheme="majorEastAsia" w:hAnsiTheme="majorHAnsi" w:cstheme="majorBidi"/>
      <w:i/>
      <w:iCs/>
      <w:spacing w:val="4"/>
      <w:sz w:val="24"/>
      <w:lang w:eastAsia="en-US"/>
    </w:rPr>
  </w:style>
  <w:style w:type="paragraph" w:styleId="Heading7">
    <w:name w:val="heading 7"/>
    <w:basedOn w:val="Normal"/>
    <w:next w:val="Normal"/>
    <w:link w:val="Heading7Char"/>
    <w:semiHidden/>
    <w:unhideWhenUsed/>
    <w:qFormat/>
    <w:rsid w:val="00E05291"/>
    <w:pPr>
      <w:keepNext/>
      <w:keepLines/>
      <w:pageBreakBefore/>
      <w:spacing w:before="260" w:afterLines="100"/>
      <w:outlineLvl w:val="6"/>
    </w:pPr>
    <w:rPr>
      <w:rFonts w:ascii="Calibri Light" w:eastAsiaTheme="majorEastAsia" w:hAnsi="Calibri Light" w:cstheme="majorBidi"/>
      <w:i/>
      <w:iCs/>
      <w:sz w:val="24"/>
    </w:rPr>
  </w:style>
  <w:style w:type="paragraph" w:styleId="Heading8">
    <w:name w:val="heading 8"/>
    <w:basedOn w:val="Normal"/>
    <w:next w:val="Normal"/>
    <w:link w:val="Heading8Char"/>
    <w:semiHidden/>
    <w:rsid w:val="0058629F"/>
    <w:pPr>
      <w:keepNext/>
      <w:keepLines/>
      <w:pageBreakBefore/>
      <w:numPr>
        <w:numId w:val="2"/>
      </w:numPr>
      <w:tabs>
        <w:tab w:val="right" w:pos="9639"/>
      </w:tabs>
      <w:spacing w:after="320" w:line="240" w:lineRule="auto"/>
      <w:outlineLvl w:val="7"/>
    </w:pPr>
    <w:rPr>
      <w:rFonts w:asciiTheme="majorHAnsi" w:eastAsiaTheme="majorEastAsia" w:hAnsiTheme="majorHAnsi" w:cs="Arial"/>
      <w:caps/>
      <w:color w:val="001032" w:themeColor="text2"/>
      <w:sz w:val="36"/>
      <w:lang w:eastAsia="en-US"/>
    </w:rPr>
  </w:style>
  <w:style w:type="paragraph" w:styleId="Heading9">
    <w:name w:val="heading 9"/>
    <w:basedOn w:val="Normal"/>
    <w:next w:val="Normal"/>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unhideWhenUsed/>
    <w:rsid w:val="0028513C"/>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31"/>
    <w:rsid w:val="00625F4C"/>
    <w:pPr>
      <w:tabs>
        <w:tab w:val="right" w:pos="9639"/>
      </w:tabs>
      <w:spacing w:before="0" w:after="0" w:line="240" w:lineRule="auto"/>
      <w:jc w:val="right"/>
    </w:pPr>
    <w:rPr>
      <w:b/>
    </w:rPr>
  </w:style>
  <w:style w:type="character" w:customStyle="1" w:styleId="FooterChar">
    <w:name w:val="Footer Char"/>
    <w:basedOn w:val="DefaultParagraphFont"/>
    <w:link w:val="Footer"/>
    <w:uiPriority w:val="31"/>
    <w:rsid w:val="00865D11"/>
    <w:rPr>
      <w:b/>
    </w:rPr>
  </w:style>
  <w:style w:type="numbering" w:customStyle="1" w:styleId="HangingList">
    <w:name w:val="HangingList"/>
    <w:uiPriority w:val="99"/>
    <w:rsid w:val="00B2011B"/>
    <w:pPr>
      <w:numPr>
        <w:numId w:val="1"/>
      </w:numPr>
    </w:pPr>
  </w:style>
  <w:style w:type="paragraph" w:styleId="Header">
    <w:name w:val="header"/>
    <w:basedOn w:val="Normal"/>
    <w:link w:val="HeaderChar"/>
    <w:uiPriority w:val="31"/>
    <w:rsid w:val="003B7771"/>
    <w:pPr>
      <w:tabs>
        <w:tab w:val="left" w:pos="1860"/>
        <w:tab w:val="left" w:pos="2730"/>
      </w:tabs>
      <w:spacing w:before="0" w:after="0" w:line="240" w:lineRule="auto"/>
    </w:pPr>
    <w:rPr>
      <w:spacing w:val="2"/>
      <w:sz w:val="16"/>
    </w:rPr>
  </w:style>
  <w:style w:type="character" w:customStyle="1" w:styleId="HeaderChar">
    <w:name w:val="Header Char"/>
    <w:basedOn w:val="DefaultParagraphFont"/>
    <w:link w:val="Header"/>
    <w:uiPriority w:val="31"/>
    <w:rsid w:val="00865D11"/>
    <w:rPr>
      <w:spacing w:val="2"/>
      <w:sz w:val="16"/>
    </w:rPr>
  </w:style>
  <w:style w:type="character" w:customStyle="1" w:styleId="Heading1Char">
    <w:name w:val="Heading 1 Char"/>
    <w:basedOn w:val="DefaultParagraphFont"/>
    <w:link w:val="Heading1"/>
    <w:rsid w:val="00FA151D"/>
    <w:rPr>
      <w:rFonts w:eastAsiaTheme="majorEastAsia" w:cstheme="majorBidi"/>
      <w:bCs/>
      <w:color w:val="001032" w:themeColor="text2"/>
      <w:sz w:val="48"/>
      <w:szCs w:val="40"/>
    </w:rPr>
  </w:style>
  <w:style w:type="character" w:customStyle="1" w:styleId="Heading2Char">
    <w:name w:val="Heading 2 Char"/>
    <w:basedOn w:val="DefaultParagraphFont"/>
    <w:link w:val="Heading2"/>
    <w:rsid w:val="0028513C"/>
    <w:rPr>
      <w:rFonts w:eastAsiaTheme="majorEastAsia" w:cstheme="majorBidi"/>
      <w:b/>
      <w:bCs/>
      <w:color w:val="001032" w:themeColor="text2"/>
      <w:sz w:val="32"/>
      <w:szCs w:val="26"/>
    </w:rPr>
  </w:style>
  <w:style w:type="character" w:customStyle="1" w:styleId="Heading3Char">
    <w:name w:val="Heading 3 Char"/>
    <w:basedOn w:val="DefaultParagraphFont"/>
    <w:link w:val="Heading3"/>
    <w:rsid w:val="00E72AE2"/>
    <w:rPr>
      <w:rFonts w:asciiTheme="majorHAnsi" w:eastAsiaTheme="majorEastAsia" w:hAnsiTheme="majorHAnsi" w:cstheme="majorBidi"/>
      <w:b/>
      <w:bCs/>
      <w:color w:val="009364" w:themeColor="accent2"/>
      <w:sz w:val="28"/>
    </w:rPr>
  </w:style>
  <w:style w:type="character" w:customStyle="1" w:styleId="Heading4Char">
    <w:name w:val="Heading 4 Char"/>
    <w:basedOn w:val="DefaultParagraphFont"/>
    <w:link w:val="Heading4"/>
    <w:rsid w:val="0028513C"/>
    <w:rPr>
      <w:rFonts w:asciiTheme="majorHAnsi" w:eastAsiaTheme="majorEastAsia" w:hAnsiTheme="majorHAnsi" w:cstheme="majorBidi"/>
      <w:b/>
      <w:bCs/>
      <w:iCs/>
      <w:color w:val="001032" w:themeColor="text2"/>
      <w:sz w:val="24"/>
    </w:rPr>
  </w:style>
  <w:style w:type="character" w:customStyle="1" w:styleId="Heading7Char">
    <w:name w:val="Heading 7 Char"/>
    <w:basedOn w:val="DefaultParagraphFont"/>
    <w:link w:val="Heading7"/>
    <w:semiHidden/>
    <w:rsid w:val="00E05291"/>
    <w:rPr>
      <w:rFonts w:ascii="Calibri Light" w:eastAsiaTheme="majorEastAsia" w:hAnsi="Calibri Light" w:cstheme="majorBidi"/>
      <w:i/>
      <w:iCs/>
      <w:sz w:val="24"/>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color w:val="001032" w:themeColor="text2"/>
      <w:sz w:val="36"/>
      <w:lang w:eastAsia="en-US"/>
    </w:rPr>
  </w:style>
  <w:style w:type="character" w:customStyle="1" w:styleId="Heading9Char">
    <w:name w:val="Heading 9 Char"/>
    <w:basedOn w:val="DefaultParagraphFont"/>
    <w:link w:val="Heading9"/>
    <w:semiHidden/>
    <w:rsid w:val="000809F5"/>
  </w:style>
  <w:style w:type="numbering" w:customStyle="1" w:styleId="LstStandardNumbering">
    <w:name w:val="Lst_StandardNumbering"/>
    <w:uiPriority w:val="99"/>
    <w:rsid w:val="00B44180"/>
    <w:pPr>
      <w:numPr>
        <w:numId w:val="5"/>
      </w:numPr>
    </w:pPr>
  </w:style>
  <w:style w:type="character" w:styleId="Hyperlink">
    <w:name w:val="Hyperlink"/>
    <w:basedOn w:val="DefaultParagraphFont"/>
    <w:uiPriority w:val="99"/>
    <w:unhideWhenUsed/>
    <w:rsid w:val="0028513C"/>
    <w:rPr>
      <w:color w:val="000000" w:themeColor="text1"/>
      <w:u w:val="single" w:color="009364" w:themeColor="accent2"/>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Normal"/>
    <w:qFormat/>
    <w:rsid w:val="0028513C"/>
    <w:pPr>
      <w:numPr>
        <w:numId w:val="15"/>
      </w:numPr>
    </w:pPr>
  </w:style>
  <w:style w:type="paragraph" w:styleId="ListBullet2">
    <w:name w:val="List Bullet 2"/>
    <w:basedOn w:val="ListBullet"/>
    <w:qFormat/>
    <w:rsid w:val="00156BC1"/>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ListContinue2"/>
    <w:qFormat/>
    <w:rsid w:val="00BA0796"/>
    <w:pPr>
      <w:numPr>
        <w:ilvl w:val="0"/>
      </w:numPr>
    </w:pPr>
  </w:style>
  <w:style w:type="paragraph" w:styleId="ListNumber">
    <w:name w:val="List Number"/>
    <w:basedOn w:val="Normal"/>
    <w:qFormat/>
    <w:rsid w:val="0028513C"/>
    <w:pPr>
      <w:numPr>
        <w:numId w:val="10"/>
      </w:numPr>
    </w:pPr>
  </w:style>
  <w:style w:type="paragraph" w:styleId="ListNumber2">
    <w:name w:val="List Number 2"/>
    <w:basedOn w:val="ListNumber"/>
    <w:qFormat/>
    <w:rsid w:val="00AB6CB2"/>
    <w:pPr>
      <w:numPr>
        <w:ilvl w:val="1"/>
      </w:numPr>
    </w:pPr>
  </w:style>
  <w:style w:type="paragraph" w:styleId="ListNumber3">
    <w:name w:val="List Number 3"/>
    <w:basedOn w:val="ListNumber2"/>
    <w:qFormat/>
    <w:rsid w:val="00AB6CB2"/>
    <w:pPr>
      <w:numPr>
        <w:ilvl w:val="2"/>
      </w:numPr>
    </w:pPr>
  </w:style>
  <w:style w:type="paragraph" w:customStyle="1" w:styleId="DisclaimerTextinFrame">
    <w:name w:val="Disclaimer Text in Frame"/>
    <w:basedOn w:val="Normal"/>
    <w:uiPriority w:val="31"/>
    <w:rsid w:val="00625F4C"/>
    <w:pPr>
      <w:framePr w:w="9185" w:wrap="around" w:hAnchor="text" w:yAlign="bottom"/>
      <w:spacing w:after="100"/>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9"/>
    <w:rsid w:val="00057C60"/>
    <w:pPr>
      <w:spacing w:before="0" w:after="0" w:line="720" w:lineRule="atLeast"/>
      <w:contextualSpacing/>
    </w:pPr>
    <w:rPr>
      <w:rFonts w:asciiTheme="majorHAnsi" w:hAnsiTheme="majorHAnsi"/>
      <w:sz w:val="60"/>
    </w:rPr>
  </w:style>
  <w:style w:type="character" w:customStyle="1" w:styleId="TitleChar">
    <w:name w:val="Title Char"/>
    <w:basedOn w:val="DefaultParagraphFont"/>
    <w:link w:val="Title"/>
    <w:uiPriority w:val="29"/>
    <w:rsid w:val="00057C60"/>
    <w:rPr>
      <w:rFonts w:asciiTheme="majorHAnsi" w:hAnsiTheme="majorHAnsi"/>
      <w:sz w:val="60"/>
    </w:rPr>
  </w:style>
  <w:style w:type="paragraph" w:styleId="Subtitle">
    <w:name w:val="Subtitle"/>
    <w:basedOn w:val="Normal"/>
    <w:next w:val="Normal"/>
    <w:link w:val="SubtitleChar"/>
    <w:uiPriority w:val="30"/>
    <w:rsid w:val="00057C60"/>
    <w:pPr>
      <w:numPr>
        <w:ilvl w:val="1"/>
      </w:numPr>
      <w:spacing w:before="660" w:after="0" w:line="336" w:lineRule="atLeast"/>
      <w:contextualSpacing/>
    </w:pPr>
    <w:rPr>
      <w:rFonts w:eastAsiaTheme="majorEastAsia" w:cstheme="majorBidi"/>
      <w:iCs/>
      <w:sz w:val="28"/>
      <w:szCs w:val="24"/>
    </w:rPr>
  </w:style>
  <w:style w:type="paragraph" w:styleId="TOC5">
    <w:name w:val="toc 5"/>
    <w:basedOn w:val="Normal"/>
    <w:next w:val="Normal"/>
    <w:autoRedefine/>
    <w:semiHidden/>
    <w:rsid w:val="0058629F"/>
    <w:pPr>
      <w:spacing w:after="100"/>
      <w:ind w:left="720"/>
    </w:pPr>
  </w:style>
  <w:style w:type="paragraph" w:styleId="TOC6">
    <w:name w:val="toc 6"/>
    <w:basedOn w:val="Normal"/>
    <w:next w:val="Normal"/>
    <w:autoRedefine/>
    <w:semiHidden/>
    <w:rsid w:val="0058629F"/>
    <w:pPr>
      <w:spacing w:after="100"/>
      <w:ind w:left="900"/>
    </w:pPr>
  </w:style>
  <w:style w:type="paragraph" w:styleId="TOC7">
    <w:name w:val="toc 7"/>
    <w:basedOn w:val="Normal"/>
    <w:next w:val="Normal"/>
    <w:autoRedefine/>
    <w:semiHidden/>
    <w:rsid w:val="0058629F"/>
    <w:pPr>
      <w:spacing w:after="100"/>
      <w:ind w:left="1080"/>
    </w:pPr>
  </w:style>
  <w:style w:type="paragraph" w:styleId="TOC8">
    <w:name w:val="toc 8"/>
    <w:basedOn w:val="Normal"/>
    <w:next w:val="Normal"/>
    <w:autoRedefine/>
    <w:semiHidden/>
    <w:rsid w:val="0058629F"/>
    <w:pPr>
      <w:spacing w:after="100"/>
      <w:ind w:left="1260"/>
    </w:pPr>
  </w:style>
  <w:style w:type="character" w:customStyle="1" w:styleId="SubtitleChar">
    <w:name w:val="Subtitle Char"/>
    <w:basedOn w:val="DefaultParagraphFont"/>
    <w:link w:val="Subtitle"/>
    <w:uiPriority w:val="30"/>
    <w:rsid w:val="00057C60"/>
    <w:rPr>
      <w:rFonts w:eastAsiaTheme="majorEastAsia" w:cstheme="majorBidi"/>
      <w:iCs/>
      <w:sz w:val="28"/>
      <w:szCs w:val="24"/>
    </w:rPr>
  </w:style>
  <w:style w:type="paragraph" w:styleId="ListContinue2">
    <w:name w:val="List Continue 2"/>
    <w:basedOn w:val="ListContinue3"/>
    <w:qFormat/>
    <w:rsid w:val="00BA0796"/>
    <w:pPr>
      <w:numPr>
        <w:ilvl w:val="1"/>
      </w:numPr>
    </w:pPr>
  </w:style>
  <w:style w:type="paragraph" w:styleId="ListContinue3">
    <w:name w:val="List Continue 3"/>
    <w:basedOn w:val="Normal"/>
    <w:qFormat/>
    <w:rsid w:val="00DB4DFF"/>
    <w:pPr>
      <w:numPr>
        <w:ilvl w:val="2"/>
        <w:numId w:val="6"/>
      </w:numPr>
      <w:spacing w:before="90" w:after="90"/>
    </w:pPr>
  </w:style>
  <w:style w:type="paragraph" w:styleId="NoSpacing">
    <w:name w:val="No Spacing"/>
    <w:basedOn w:val="Normal"/>
    <w:qFormat/>
    <w:rsid w:val="00FB7293"/>
    <w:pPr>
      <w:spacing w:before="0" w:after="0"/>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28513C"/>
    <w:rPr>
      <w:rFonts w:asciiTheme="majorHAnsi" w:eastAsiaTheme="majorEastAsia" w:hAnsiTheme="majorHAnsi" w:cstheme="majorBidi"/>
      <w:b/>
      <w:color w:val="001032" w:themeColor="text2"/>
    </w:rPr>
  </w:style>
  <w:style w:type="character" w:customStyle="1" w:styleId="Heading6Char">
    <w:name w:val="Heading 6 Char"/>
    <w:basedOn w:val="DefaultParagraphFont"/>
    <w:link w:val="Heading6"/>
    <w:semiHidden/>
    <w:rsid w:val="00DB4DFF"/>
    <w:rPr>
      <w:rFonts w:asciiTheme="majorHAnsi" w:eastAsiaTheme="majorEastAsia" w:hAnsiTheme="majorHAnsi" w:cstheme="majorBidi"/>
      <w:i/>
      <w:iCs/>
      <w:spacing w:val="4"/>
      <w:sz w:val="24"/>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pPr>
      <w:spacing w:line="240" w:lineRule="auto"/>
    </w:pPr>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8"/>
    <w:unhideWhenUsed/>
    <w:rsid w:val="00F1218E"/>
    <w:pPr>
      <w:pageBreakBefore/>
      <w:spacing w:before="180" w:after="1080" w:line="240" w:lineRule="auto"/>
    </w:pPr>
    <w:rPr>
      <w:rFonts w:asciiTheme="majorHAnsi" w:hAnsiTheme="majorHAnsi"/>
      <w:bCs/>
      <w:color w:val="009364" w:themeColor="accent2"/>
      <w:sz w:val="52"/>
    </w:rPr>
  </w:style>
  <w:style w:type="paragraph" w:styleId="TOC1">
    <w:name w:val="toc 1"/>
    <w:basedOn w:val="Normal"/>
    <w:next w:val="Normal"/>
    <w:link w:val="TOC1Char"/>
    <w:autoRedefine/>
    <w:uiPriority w:val="39"/>
    <w:rsid w:val="007B6704"/>
    <w:pPr>
      <w:tabs>
        <w:tab w:val="right" w:pos="9582"/>
      </w:tabs>
      <w:spacing w:before="360" w:after="240" w:line="292" w:lineRule="atLeast"/>
      <w:ind w:right="510"/>
    </w:pPr>
    <w:rPr>
      <w:b/>
      <w:noProof/>
      <w:sz w:val="24"/>
    </w:rPr>
  </w:style>
  <w:style w:type="paragraph" w:styleId="TOC2">
    <w:name w:val="toc 2"/>
    <w:basedOn w:val="Normal"/>
    <w:next w:val="Normal"/>
    <w:autoRedefine/>
    <w:uiPriority w:val="39"/>
    <w:rsid w:val="007B6704"/>
    <w:pPr>
      <w:tabs>
        <w:tab w:val="right" w:pos="9582"/>
      </w:tabs>
      <w:spacing w:before="240" w:after="240" w:line="292" w:lineRule="atLeast"/>
      <w:ind w:left="851" w:right="567" w:hanging="624"/>
    </w:pPr>
    <w:rPr>
      <w:rFonts w:eastAsiaTheme="minorEastAsia" w:cstheme="minorBidi"/>
      <w:noProof/>
      <w:sz w:val="24"/>
    </w:rPr>
  </w:style>
  <w:style w:type="table" w:customStyle="1" w:styleId="TablePlaceholder">
    <w:name w:val="Table Placeholder"/>
    <w:basedOn w:val="TableNormal"/>
    <w:uiPriority w:val="99"/>
    <w:rsid w:val="0058629F"/>
    <w:pPr>
      <w:spacing w:line="240" w:lineRule="auto"/>
    </w:pPr>
    <w:tblPr>
      <w:tblCellMar>
        <w:left w:w="0" w:type="dxa"/>
        <w:right w:w="0" w:type="dxa"/>
      </w:tblCellMar>
    </w:tblPr>
  </w:style>
  <w:style w:type="paragraph" w:styleId="Caption">
    <w:name w:val="caption"/>
    <w:basedOn w:val="Normal"/>
    <w:next w:val="Normal"/>
    <w:qFormat/>
    <w:rsid w:val="00397986"/>
    <w:pPr>
      <w:keepNext/>
      <w:tabs>
        <w:tab w:val="left" w:pos="1134"/>
      </w:tabs>
      <w:spacing w:before="0"/>
    </w:pPr>
    <w:rPr>
      <w:b/>
      <w:iCs/>
      <w:color w:val="auto"/>
      <w:szCs w:val="18"/>
    </w:rPr>
  </w:style>
  <w:style w:type="paragraph" w:styleId="FootnoteText">
    <w:name w:val="footnote text"/>
    <w:basedOn w:val="Normal"/>
    <w:link w:val="FootnoteTextChar"/>
    <w:rsid w:val="00D96685"/>
    <w:pPr>
      <w:spacing w:before="40" w:after="0" w:line="220" w:lineRule="atLeast"/>
    </w:pPr>
    <w:rPr>
      <w:sz w:val="16"/>
    </w:rPr>
  </w:style>
  <w:style w:type="character" w:styleId="FootnoteReference">
    <w:name w:val="footnote reference"/>
    <w:basedOn w:val="DefaultParagraphFont"/>
    <w:semiHidden/>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AECE7" w:themeFill="accent1" w:themeFillTint="33"/>
    </w:tcPr>
    <w:tblStylePr w:type="firstRow">
      <w:rPr>
        <w:b/>
        <w:bCs/>
      </w:rPr>
      <w:tblPr/>
      <w:tcPr>
        <w:shd w:val="clear" w:color="auto" w:fill="76D9CF" w:themeFill="accent1" w:themeFillTint="66"/>
      </w:tcPr>
    </w:tblStylePr>
    <w:tblStylePr w:type="lastRow">
      <w:rPr>
        <w:b/>
        <w:bCs/>
        <w:color w:val="000000" w:themeColor="text1"/>
      </w:rPr>
      <w:tblPr/>
      <w:tcPr>
        <w:shd w:val="clear" w:color="auto" w:fill="76D9CF" w:themeFill="accent1" w:themeFillTint="66"/>
      </w:tcPr>
    </w:tblStylePr>
    <w:tblStylePr w:type="firstCol">
      <w:rPr>
        <w:color w:val="FFFFFF" w:themeColor="background1"/>
      </w:rPr>
      <w:tblPr/>
      <w:tcPr>
        <w:shd w:val="clear" w:color="auto" w:fill="0C2B28" w:themeFill="accent1" w:themeFillShade="BF"/>
      </w:tcPr>
    </w:tblStylePr>
    <w:tblStylePr w:type="lastCol">
      <w:rPr>
        <w:color w:val="FFFFFF" w:themeColor="background1"/>
      </w:rPr>
      <w:tblPr/>
      <w:tcPr>
        <w:shd w:val="clear" w:color="auto" w:fill="0C2B28" w:themeFill="accent1" w:themeFillShade="BF"/>
      </w:tcPr>
    </w:tblStylePr>
    <w:tblStylePr w:type="band1Vert">
      <w:tblPr/>
      <w:tcPr>
        <w:shd w:val="clear" w:color="auto" w:fill="54D0C3" w:themeFill="accent1" w:themeFillTint="7F"/>
      </w:tcPr>
    </w:tblStylePr>
    <w:tblStylePr w:type="band1Horz">
      <w:tblPr/>
      <w:tcPr>
        <w:shd w:val="clear" w:color="auto" w:fill="54D0C3"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6FFE7" w:themeFill="accent2" w:themeFillTint="33"/>
    </w:tcPr>
    <w:tblStylePr w:type="firstRow">
      <w:rPr>
        <w:b/>
        <w:bCs/>
      </w:rPr>
      <w:tblPr/>
      <w:tcPr>
        <w:shd w:val="clear" w:color="auto" w:fill="6DFFD0" w:themeFill="accent2" w:themeFillTint="66"/>
      </w:tcPr>
    </w:tblStylePr>
    <w:tblStylePr w:type="lastRow">
      <w:rPr>
        <w:b/>
        <w:bCs/>
        <w:color w:val="000000" w:themeColor="text1"/>
      </w:rPr>
      <w:tblPr/>
      <w:tcPr>
        <w:shd w:val="clear" w:color="auto" w:fill="6DFFD0" w:themeFill="accent2" w:themeFillTint="66"/>
      </w:tcPr>
    </w:tblStylePr>
    <w:tblStylePr w:type="firstCol">
      <w:rPr>
        <w:color w:val="FFFFFF" w:themeColor="background1"/>
      </w:rPr>
      <w:tblPr/>
      <w:tcPr>
        <w:shd w:val="clear" w:color="auto" w:fill="006E4A" w:themeFill="accent2" w:themeFillShade="BF"/>
      </w:tcPr>
    </w:tblStylePr>
    <w:tblStylePr w:type="lastCol">
      <w:rPr>
        <w:color w:val="FFFFFF" w:themeColor="background1"/>
      </w:rPr>
      <w:tblPr/>
      <w:tcPr>
        <w:shd w:val="clear" w:color="auto" w:fill="006E4A" w:themeFill="accent2" w:themeFillShade="BF"/>
      </w:tcPr>
    </w:tblStylePr>
    <w:tblStylePr w:type="band1Vert">
      <w:tblPr/>
      <w:tcPr>
        <w:shd w:val="clear" w:color="auto" w:fill="4AFFC4" w:themeFill="accent2" w:themeFillTint="7F"/>
      </w:tcPr>
    </w:tblStylePr>
    <w:tblStylePr w:type="band1Horz">
      <w:tblPr/>
      <w:tcPr>
        <w:shd w:val="clear" w:color="auto" w:fill="4AFFC4"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DF9E0" w:themeFill="accent3" w:themeFillTint="33"/>
    </w:tcPr>
    <w:tblStylePr w:type="firstRow">
      <w:rPr>
        <w:b/>
        <w:bCs/>
      </w:rPr>
      <w:tblPr/>
      <w:tcPr>
        <w:shd w:val="clear" w:color="auto" w:fill="FBF3C1" w:themeFill="accent3" w:themeFillTint="66"/>
      </w:tcPr>
    </w:tblStylePr>
    <w:tblStylePr w:type="lastRow">
      <w:rPr>
        <w:b/>
        <w:bCs/>
        <w:color w:val="000000" w:themeColor="text1"/>
      </w:rPr>
      <w:tblPr/>
      <w:tcPr>
        <w:shd w:val="clear" w:color="auto" w:fill="FBF3C1" w:themeFill="accent3" w:themeFillTint="66"/>
      </w:tcPr>
    </w:tblStylePr>
    <w:tblStylePr w:type="firstCol">
      <w:rPr>
        <w:color w:val="FFFFFF" w:themeColor="background1"/>
      </w:rPr>
      <w:tblPr/>
      <w:tcPr>
        <w:shd w:val="clear" w:color="auto" w:fill="F1D112" w:themeFill="accent3" w:themeFillShade="BF"/>
      </w:tcPr>
    </w:tblStylePr>
    <w:tblStylePr w:type="lastCol">
      <w:rPr>
        <w:color w:val="FFFFFF" w:themeColor="background1"/>
      </w:rPr>
      <w:tblPr/>
      <w:tcPr>
        <w:shd w:val="clear" w:color="auto" w:fill="F1D112" w:themeFill="accent3" w:themeFillShade="BF"/>
      </w:tcPr>
    </w:tblStylePr>
    <w:tblStylePr w:type="band1Vert">
      <w:tblPr/>
      <w:tcPr>
        <w:shd w:val="clear" w:color="auto" w:fill="FAF0B2" w:themeFill="accent3" w:themeFillTint="7F"/>
      </w:tcPr>
    </w:tblStylePr>
    <w:tblStylePr w:type="band1Horz">
      <w:tblPr/>
      <w:tcPr>
        <w:shd w:val="clear" w:color="auto" w:fill="FAF0B2"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FF3E3" w:themeFill="accent4" w:themeFillTint="33"/>
    </w:tcPr>
    <w:tblStylePr w:type="firstRow">
      <w:rPr>
        <w:b/>
        <w:bCs/>
      </w:rPr>
      <w:tblPr/>
      <w:tcPr>
        <w:shd w:val="clear" w:color="auto" w:fill="FFE8C8" w:themeFill="accent4" w:themeFillTint="66"/>
      </w:tcPr>
    </w:tblStylePr>
    <w:tblStylePr w:type="lastRow">
      <w:rPr>
        <w:b/>
        <w:bCs/>
        <w:color w:val="000000" w:themeColor="text1"/>
      </w:rPr>
      <w:tblPr/>
      <w:tcPr>
        <w:shd w:val="clear" w:color="auto" w:fill="FFE8C8" w:themeFill="accent4" w:themeFillTint="66"/>
      </w:tcPr>
    </w:tblStylePr>
    <w:tblStylePr w:type="firstCol">
      <w:rPr>
        <w:color w:val="FFFFFF" w:themeColor="background1"/>
      </w:rPr>
      <w:tblPr/>
      <w:tcPr>
        <w:shd w:val="clear" w:color="auto" w:fill="FF9E19" w:themeFill="accent4" w:themeFillShade="BF"/>
      </w:tcPr>
    </w:tblStylePr>
    <w:tblStylePr w:type="lastCol">
      <w:rPr>
        <w:color w:val="FFFFFF" w:themeColor="background1"/>
      </w:rPr>
      <w:tblPr/>
      <w:tcPr>
        <w:shd w:val="clear" w:color="auto" w:fill="FF9E19" w:themeFill="accent4" w:themeFillShade="BF"/>
      </w:tcPr>
    </w:tblStylePr>
    <w:tblStylePr w:type="band1Vert">
      <w:tblPr/>
      <w:tcPr>
        <w:shd w:val="clear" w:color="auto" w:fill="FFE2BB" w:themeFill="accent4" w:themeFillTint="7F"/>
      </w:tcPr>
    </w:tblStylePr>
    <w:tblStylePr w:type="band1Horz">
      <w:tblPr/>
      <w:tcPr>
        <w:shd w:val="clear" w:color="auto" w:fill="FFE2BB"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FE4D6" w:themeFill="accent5" w:themeFillTint="33"/>
    </w:tcPr>
    <w:tblStylePr w:type="firstRow">
      <w:rPr>
        <w:b/>
        <w:bCs/>
      </w:rPr>
      <w:tblPr/>
      <w:tcPr>
        <w:shd w:val="clear" w:color="auto" w:fill="FFC9AD" w:themeFill="accent5" w:themeFillTint="66"/>
      </w:tcPr>
    </w:tblStylePr>
    <w:tblStylePr w:type="lastRow">
      <w:rPr>
        <w:b/>
        <w:bCs/>
        <w:color w:val="000000" w:themeColor="text1"/>
      </w:rPr>
      <w:tblPr/>
      <w:tcPr>
        <w:shd w:val="clear" w:color="auto" w:fill="FFC9AD" w:themeFill="accent5" w:themeFillTint="66"/>
      </w:tcPr>
    </w:tblStylePr>
    <w:tblStylePr w:type="firstCol">
      <w:rPr>
        <w:color w:val="FFFFFF" w:themeColor="background1"/>
      </w:rPr>
      <w:tblPr/>
      <w:tcPr>
        <w:shd w:val="clear" w:color="auto" w:fill="E54E00" w:themeFill="accent5" w:themeFillShade="BF"/>
      </w:tcPr>
    </w:tblStylePr>
    <w:tblStylePr w:type="lastCol">
      <w:rPr>
        <w:color w:val="FFFFFF" w:themeColor="background1"/>
      </w:rPr>
      <w:tblPr/>
      <w:tcPr>
        <w:shd w:val="clear" w:color="auto" w:fill="E54E00" w:themeFill="accent5" w:themeFillShade="BF"/>
      </w:tcPr>
    </w:tblStylePr>
    <w:tblStylePr w:type="band1Vert">
      <w:tblPr/>
      <w:tcPr>
        <w:shd w:val="clear" w:color="auto" w:fill="FFBC99" w:themeFill="accent5" w:themeFillTint="7F"/>
      </w:tcPr>
    </w:tblStylePr>
    <w:tblStylePr w:type="band1Horz">
      <w:tblPr/>
      <w:tcPr>
        <w:shd w:val="clear" w:color="auto" w:fill="FFBC99"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CD8DB" w:themeFill="accent6" w:themeFillTint="33"/>
    </w:tcPr>
    <w:tblStylePr w:type="firstRow">
      <w:rPr>
        <w:b/>
        <w:bCs/>
      </w:rPr>
      <w:tblPr/>
      <w:tcPr>
        <w:shd w:val="clear" w:color="auto" w:fill="F9B2B8" w:themeFill="accent6" w:themeFillTint="66"/>
      </w:tcPr>
    </w:tblStylePr>
    <w:tblStylePr w:type="lastRow">
      <w:rPr>
        <w:b/>
        <w:bCs/>
        <w:color w:val="000000" w:themeColor="text1"/>
      </w:rPr>
      <w:tblPr/>
      <w:tcPr>
        <w:shd w:val="clear" w:color="auto" w:fill="F9B2B8" w:themeFill="accent6" w:themeFillTint="66"/>
      </w:tcPr>
    </w:tblStylePr>
    <w:tblStylePr w:type="firstCol">
      <w:rPr>
        <w:color w:val="FFFFFF" w:themeColor="background1"/>
      </w:rPr>
      <w:tblPr/>
      <w:tcPr>
        <w:shd w:val="clear" w:color="auto" w:fill="D31020" w:themeFill="accent6" w:themeFillShade="BF"/>
      </w:tcPr>
    </w:tblStylePr>
    <w:tblStylePr w:type="lastCol">
      <w:rPr>
        <w:color w:val="FFFFFF" w:themeColor="background1"/>
      </w:rPr>
      <w:tblPr/>
      <w:tcPr>
        <w:shd w:val="clear" w:color="auto" w:fill="D31020" w:themeFill="accent6" w:themeFillShade="BF"/>
      </w:tcPr>
    </w:tblStylePr>
    <w:tblStylePr w:type="band1Vert">
      <w:tblPr/>
      <w:tcPr>
        <w:shd w:val="clear" w:color="auto" w:fill="F79FA6" w:themeFill="accent6" w:themeFillTint="7F"/>
      </w:tcPr>
    </w:tblStylePr>
    <w:tblStylePr w:type="band1Horz">
      <w:tblPr/>
      <w:tcPr>
        <w:shd w:val="clear" w:color="auto" w:fill="F79FA6"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54F" w:themeFill="accent2" w:themeFillShade="CC"/>
      </w:tcPr>
    </w:tblStylePr>
    <w:tblStylePr w:type="lastRow">
      <w:rPr>
        <w:b/>
        <w:bCs/>
        <w:color w:val="0075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DDF5F3" w:themeFill="accent1" w:themeFillTint="19"/>
    </w:tcPr>
    <w:tblStylePr w:type="firstRow">
      <w:rPr>
        <w:b/>
        <w:bCs/>
        <w:color w:val="FFFFFF" w:themeColor="background1"/>
      </w:rPr>
      <w:tblPr/>
      <w:tcPr>
        <w:tcBorders>
          <w:bottom w:val="single" w:sz="12" w:space="0" w:color="FFFFFF" w:themeColor="background1"/>
        </w:tcBorders>
        <w:shd w:val="clear" w:color="auto" w:fill="00754F" w:themeFill="accent2" w:themeFillShade="CC"/>
      </w:tcPr>
    </w:tblStylePr>
    <w:tblStylePr w:type="lastRow">
      <w:rPr>
        <w:b/>
        <w:bCs/>
        <w:color w:val="0075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7E1" w:themeFill="accent1" w:themeFillTint="3F"/>
      </w:tcPr>
    </w:tblStylePr>
    <w:tblStylePr w:type="band1Horz">
      <w:tblPr/>
      <w:tcPr>
        <w:shd w:val="clear" w:color="auto" w:fill="BAECE7" w:themeFill="accent1" w:themeFillTint="33"/>
      </w:tcPr>
    </w:tblStylePr>
  </w:style>
  <w:style w:type="table" w:styleId="ColorfulList-Accent2">
    <w:name w:val="Colorful List Accent 2"/>
    <w:basedOn w:val="TableNormal"/>
    <w:uiPriority w:val="72"/>
    <w:semiHidden/>
    <w:rsid w:val="0058629F"/>
    <w:pPr>
      <w:spacing w:line="240" w:lineRule="auto"/>
    </w:pPr>
    <w:tblPr>
      <w:tblStyleRowBandSize w:val="1"/>
      <w:tblStyleColBandSize w:val="1"/>
    </w:tblPr>
    <w:tcPr>
      <w:shd w:val="clear" w:color="auto" w:fill="DBFFF3" w:themeFill="accent2" w:themeFillTint="19"/>
    </w:tcPr>
    <w:tblStylePr w:type="firstRow">
      <w:rPr>
        <w:b/>
        <w:bCs/>
        <w:color w:val="FFFFFF" w:themeColor="background1"/>
      </w:rPr>
      <w:tblPr/>
      <w:tcPr>
        <w:tcBorders>
          <w:bottom w:val="single" w:sz="12" w:space="0" w:color="FFFFFF" w:themeColor="background1"/>
        </w:tcBorders>
        <w:shd w:val="clear" w:color="auto" w:fill="00754F" w:themeFill="accent2" w:themeFillShade="CC"/>
      </w:tcPr>
    </w:tblStylePr>
    <w:tblStylePr w:type="lastRow">
      <w:rPr>
        <w:b/>
        <w:bCs/>
        <w:color w:val="0075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FFE2" w:themeFill="accent2" w:themeFillTint="3F"/>
      </w:tcPr>
    </w:tblStylePr>
    <w:tblStylePr w:type="band1Horz">
      <w:tblPr/>
      <w:tcPr>
        <w:shd w:val="clear" w:color="auto" w:fill="B6FFE7"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FEFCEF" w:themeFill="accent3" w:themeFillTint="19"/>
    </w:tcPr>
    <w:tblStylePr w:type="firstRow">
      <w:rPr>
        <w:b/>
        <w:bCs/>
        <w:color w:val="FFFFFF" w:themeColor="background1"/>
      </w:rPr>
      <w:tblPr/>
      <w:tcPr>
        <w:tcBorders>
          <w:bottom w:val="single" w:sz="12" w:space="0" w:color="FFFFFF" w:themeColor="background1"/>
        </w:tcBorders>
        <w:shd w:val="clear" w:color="auto" w:fill="FFA62C" w:themeFill="accent4" w:themeFillShade="CC"/>
      </w:tcPr>
    </w:tblStylePr>
    <w:tblStylePr w:type="lastRow">
      <w:rPr>
        <w:b/>
        <w:bCs/>
        <w:color w:val="FFA62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7D8" w:themeFill="accent3" w:themeFillTint="3F"/>
      </w:tcPr>
    </w:tblStylePr>
    <w:tblStylePr w:type="band1Horz">
      <w:tblPr/>
      <w:tcPr>
        <w:shd w:val="clear" w:color="auto" w:fill="FDF9E0"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FFF9F1" w:themeFill="accent4" w:themeFillTint="19"/>
    </w:tcPr>
    <w:tblStylePr w:type="firstRow">
      <w:rPr>
        <w:b/>
        <w:bCs/>
        <w:color w:val="FFFFFF" w:themeColor="background1"/>
      </w:rPr>
      <w:tblPr/>
      <w:tcPr>
        <w:tcBorders>
          <w:bottom w:val="single" w:sz="12" w:space="0" w:color="FFFFFF" w:themeColor="background1"/>
        </w:tcBorders>
        <w:shd w:val="clear" w:color="auto" w:fill="F2D423" w:themeFill="accent3" w:themeFillShade="CC"/>
      </w:tcPr>
    </w:tblStylePr>
    <w:tblStylePr w:type="lastRow">
      <w:rPr>
        <w:b/>
        <w:bCs/>
        <w:color w:val="F2D42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DD" w:themeFill="accent4" w:themeFillTint="3F"/>
      </w:tcPr>
    </w:tblStylePr>
    <w:tblStylePr w:type="band1Horz">
      <w:tblPr/>
      <w:tcPr>
        <w:shd w:val="clear" w:color="auto" w:fill="FFF3E3"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FFF1EB" w:themeFill="accent5" w:themeFillTint="19"/>
    </w:tcPr>
    <w:tblStylePr w:type="firstRow">
      <w:rPr>
        <w:b/>
        <w:bCs/>
        <w:color w:val="FFFFFF" w:themeColor="background1"/>
      </w:rPr>
      <w:tblPr/>
      <w:tcPr>
        <w:tcBorders>
          <w:bottom w:val="single" w:sz="12" w:space="0" w:color="FFFFFF" w:themeColor="background1"/>
        </w:tcBorders>
        <w:shd w:val="clear" w:color="auto" w:fill="E11122" w:themeFill="accent6" w:themeFillShade="CC"/>
      </w:tcPr>
    </w:tblStylePr>
    <w:tblStylePr w:type="lastRow">
      <w:rPr>
        <w:b/>
        <w:bCs/>
        <w:color w:val="E1112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DCC" w:themeFill="accent5" w:themeFillTint="3F"/>
      </w:tcPr>
    </w:tblStylePr>
    <w:tblStylePr w:type="band1Horz">
      <w:tblPr/>
      <w:tcPr>
        <w:shd w:val="clear" w:color="auto" w:fill="FFE4D6"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FDECED" w:themeFill="accent6" w:themeFillTint="19"/>
    </w:tcPr>
    <w:tblStylePr w:type="firstRow">
      <w:rPr>
        <w:b/>
        <w:bCs/>
        <w:color w:val="FFFFFF" w:themeColor="background1"/>
      </w:rPr>
      <w:tblPr/>
      <w:tcPr>
        <w:tcBorders>
          <w:bottom w:val="single" w:sz="12" w:space="0" w:color="FFFFFF" w:themeColor="background1"/>
        </w:tcBorders>
        <w:shd w:val="clear" w:color="auto" w:fill="F55300" w:themeFill="accent5" w:themeFillShade="CC"/>
      </w:tcPr>
    </w:tblStylePr>
    <w:tblStylePr w:type="lastRow">
      <w:rPr>
        <w:b/>
        <w:bCs/>
        <w:color w:val="F55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D3" w:themeFill="accent6" w:themeFillTint="3F"/>
      </w:tcPr>
    </w:tblStylePr>
    <w:tblStylePr w:type="band1Horz">
      <w:tblPr/>
      <w:tcPr>
        <w:shd w:val="clear" w:color="auto" w:fill="FCD8DB"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00936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36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009364" w:themeColor="accent2"/>
        <w:left w:val="single" w:sz="4" w:space="0" w:color="103A36" w:themeColor="accent1"/>
        <w:bottom w:val="single" w:sz="4" w:space="0" w:color="103A36" w:themeColor="accent1"/>
        <w:right w:val="single" w:sz="4" w:space="0" w:color="103A36" w:themeColor="accent1"/>
        <w:insideH w:val="single" w:sz="4" w:space="0" w:color="FFFFFF" w:themeColor="background1"/>
        <w:insideV w:val="single" w:sz="4" w:space="0" w:color="FFFFFF" w:themeColor="background1"/>
      </w:tblBorders>
    </w:tblPr>
    <w:tcPr>
      <w:shd w:val="clear" w:color="auto" w:fill="DDF5F3" w:themeFill="accent1" w:themeFillTint="19"/>
    </w:tcPr>
    <w:tblStylePr w:type="firstRow">
      <w:rPr>
        <w:b/>
        <w:bCs/>
      </w:rPr>
      <w:tblPr/>
      <w:tcPr>
        <w:tcBorders>
          <w:top w:val="nil"/>
          <w:left w:val="nil"/>
          <w:bottom w:val="single" w:sz="24" w:space="0" w:color="00936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220" w:themeFill="accent1" w:themeFillShade="99"/>
      </w:tcPr>
    </w:tblStylePr>
    <w:tblStylePr w:type="firstCol">
      <w:rPr>
        <w:color w:val="FFFFFF" w:themeColor="background1"/>
      </w:rPr>
      <w:tblPr/>
      <w:tcPr>
        <w:tcBorders>
          <w:top w:val="nil"/>
          <w:left w:val="nil"/>
          <w:bottom w:val="nil"/>
          <w:right w:val="nil"/>
          <w:insideH w:val="single" w:sz="4" w:space="0" w:color="092220" w:themeColor="accent1" w:themeShade="99"/>
          <w:insideV w:val="nil"/>
        </w:tcBorders>
        <w:shd w:val="clear" w:color="auto" w:fill="09222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2220" w:themeFill="accent1" w:themeFillShade="99"/>
      </w:tcPr>
    </w:tblStylePr>
    <w:tblStylePr w:type="band1Vert">
      <w:tblPr/>
      <w:tcPr>
        <w:shd w:val="clear" w:color="auto" w:fill="76D9CF" w:themeFill="accent1" w:themeFillTint="66"/>
      </w:tcPr>
    </w:tblStylePr>
    <w:tblStylePr w:type="band1Horz">
      <w:tblPr/>
      <w:tcPr>
        <w:shd w:val="clear" w:color="auto" w:fill="54D0C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009364" w:themeColor="accent2"/>
        <w:left w:val="single" w:sz="4" w:space="0" w:color="009364" w:themeColor="accent2"/>
        <w:bottom w:val="single" w:sz="4" w:space="0" w:color="009364" w:themeColor="accent2"/>
        <w:right w:val="single" w:sz="4" w:space="0" w:color="009364" w:themeColor="accent2"/>
        <w:insideH w:val="single" w:sz="4" w:space="0" w:color="FFFFFF" w:themeColor="background1"/>
        <w:insideV w:val="single" w:sz="4" w:space="0" w:color="FFFFFF" w:themeColor="background1"/>
      </w:tblBorders>
    </w:tblPr>
    <w:tcPr>
      <w:shd w:val="clear" w:color="auto" w:fill="DBFFF3" w:themeFill="accent2" w:themeFillTint="19"/>
    </w:tcPr>
    <w:tblStylePr w:type="firstRow">
      <w:rPr>
        <w:b/>
        <w:bCs/>
      </w:rPr>
      <w:tblPr/>
      <w:tcPr>
        <w:tcBorders>
          <w:top w:val="nil"/>
          <w:left w:val="nil"/>
          <w:bottom w:val="single" w:sz="24" w:space="0" w:color="00936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83B" w:themeFill="accent2" w:themeFillShade="99"/>
      </w:tcPr>
    </w:tblStylePr>
    <w:tblStylePr w:type="firstCol">
      <w:rPr>
        <w:color w:val="FFFFFF" w:themeColor="background1"/>
      </w:rPr>
      <w:tblPr/>
      <w:tcPr>
        <w:tcBorders>
          <w:top w:val="nil"/>
          <w:left w:val="nil"/>
          <w:bottom w:val="nil"/>
          <w:right w:val="nil"/>
          <w:insideH w:val="single" w:sz="4" w:space="0" w:color="00583B" w:themeColor="accent2" w:themeShade="99"/>
          <w:insideV w:val="nil"/>
        </w:tcBorders>
        <w:shd w:val="clear" w:color="auto" w:fill="0058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83B" w:themeFill="accent2" w:themeFillShade="99"/>
      </w:tcPr>
    </w:tblStylePr>
    <w:tblStylePr w:type="band1Vert">
      <w:tblPr/>
      <w:tcPr>
        <w:shd w:val="clear" w:color="auto" w:fill="6DFFD0" w:themeFill="accent2" w:themeFillTint="66"/>
      </w:tcPr>
    </w:tblStylePr>
    <w:tblStylePr w:type="band1Horz">
      <w:tblPr/>
      <w:tcPr>
        <w:shd w:val="clear" w:color="auto" w:fill="4AFFC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FFC677" w:themeColor="accent4"/>
        <w:left w:val="single" w:sz="4" w:space="0" w:color="F6E265" w:themeColor="accent3"/>
        <w:bottom w:val="single" w:sz="4" w:space="0" w:color="F6E265" w:themeColor="accent3"/>
        <w:right w:val="single" w:sz="4" w:space="0" w:color="F6E265" w:themeColor="accent3"/>
        <w:insideH w:val="single" w:sz="4" w:space="0" w:color="FFFFFF" w:themeColor="background1"/>
        <w:insideV w:val="single" w:sz="4" w:space="0" w:color="FFFFFF" w:themeColor="background1"/>
      </w:tblBorders>
    </w:tblPr>
    <w:tcPr>
      <w:shd w:val="clear" w:color="auto" w:fill="FEFCEF" w:themeFill="accent3" w:themeFillTint="19"/>
    </w:tcPr>
    <w:tblStylePr w:type="firstRow">
      <w:rPr>
        <w:b/>
        <w:bCs/>
      </w:rPr>
      <w:tblPr/>
      <w:tcPr>
        <w:tcBorders>
          <w:top w:val="nil"/>
          <w:left w:val="nil"/>
          <w:bottom w:val="single" w:sz="24" w:space="0" w:color="FFC6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AA0B" w:themeFill="accent3" w:themeFillShade="99"/>
      </w:tcPr>
    </w:tblStylePr>
    <w:tblStylePr w:type="firstCol">
      <w:rPr>
        <w:color w:val="FFFFFF" w:themeColor="background1"/>
      </w:rPr>
      <w:tblPr/>
      <w:tcPr>
        <w:tcBorders>
          <w:top w:val="nil"/>
          <w:left w:val="nil"/>
          <w:bottom w:val="nil"/>
          <w:right w:val="nil"/>
          <w:insideH w:val="single" w:sz="4" w:space="0" w:color="C4AA0B" w:themeColor="accent3" w:themeShade="99"/>
          <w:insideV w:val="nil"/>
        </w:tcBorders>
        <w:shd w:val="clear" w:color="auto" w:fill="C4AA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4AA0B" w:themeFill="accent3" w:themeFillShade="99"/>
      </w:tcPr>
    </w:tblStylePr>
    <w:tblStylePr w:type="band1Vert">
      <w:tblPr/>
      <w:tcPr>
        <w:shd w:val="clear" w:color="auto" w:fill="FBF3C1" w:themeFill="accent3" w:themeFillTint="66"/>
      </w:tcPr>
    </w:tblStylePr>
    <w:tblStylePr w:type="band1Horz">
      <w:tblPr/>
      <w:tcPr>
        <w:shd w:val="clear" w:color="auto" w:fill="FAF0B2"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F6E265" w:themeColor="accent3"/>
        <w:left w:val="single" w:sz="4" w:space="0" w:color="FFC677" w:themeColor="accent4"/>
        <w:bottom w:val="single" w:sz="4" w:space="0" w:color="FFC677" w:themeColor="accent4"/>
        <w:right w:val="single" w:sz="4" w:space="0" w:color="FFC677" w:themeColor="accent4"/>
        <w:insideH w:val="single" w:sz="4" w:space="0" w:color="FFFFFF" w:themeColor="background1"/>
        <w:insideV w:val="single" w:sz="4" w:space="0" w:color="FFFFFF" w:themeColor="background1"/>
      </w:tblBorders>
    </w:tblPr>
    <w:tcPr>
      <w:shd w:val="clear" w:color="auto" w:fill="FFF9F1" w:themeFill="accent4" w:themeFillTint="19"/>
    </w:tcPr>
    <w:tblStylePr w:type="firstRow">
      <w:rPr>
        <w:b/>
        <w:bCs/>
      </w:rPr>
      <w:tblPr/>
      <w:tcPr>
        <w:tcBorders>
          <w:top w:val="nil"/>
          <w:left w:val="nil"/>
          <w:bottom w:val="single" w:sz="24" w:space="0" w:color="F6E26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08200" w:themeFill="accent4" w:themeFillShade="99"/>
      </w:tcPr>
    </w:tblStylePr>
    <w:tblStylePr w:type="firstCol">
      <w:rPr>
        <w:color w:val="FFFFFF" w:themeColor="background1"/>
      </w:rPr>
      <w:tblPr/>
      <w:tcPr>
        <w:tcBorders>
          <w:top w:val="nil"/>
          <w:left w:val="nil"/>
          <w:bottom w:val="nil"/>
          <w:right w:val="nil"/>
          <w:insideH w:val="single" w:sz="4" w:space="0" w:color="E08200" w:themeColor="accent4" w:themeShade="99"/>
          <w:insideV w:val="nil"/>
        </w:tcBorders>
        <w:shd w:val="clear" w:color="auto" w:fill="E0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E08200" w:themeFill="accent4" w:themeFillShade="99"/>
      </w:tcPr>
    </w:tblStylePr>
    <w:tblStylePr w:type="band1Vert">
      <w:tblPr/>
      <w:tcPr>
        <w:shd w:val="clear" w:color="auto" w:fill="FFE8C8" w:themeFill="accent4" w:themeFillTint="66"/>
      </w:tcPr>
    </w:tblStylePr>
    <w:tblStylePr w:type="band1Horz">
      <w:tblPr/>
      <w:tcPr>
        <w:shd w:val="clear" w:color="auto" w:fill="FFE2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F0404F" w:themeColor="accent6"/>
        <w:left w:val="single" w:sz="4" w:space="0" w:color="FF7A34" w:themeColor="accent5"/>
        <w:bottom w:val="single" w:sz="4" w:space="0" w:color="FF7A34" w:themeColor="accent5"/>
        <w:right w:val="single" w:sz="4" w:space="0" w:color="FF7A34" w:themeColor="accent5"/>
        <w:insideH w:val="single" w:sz="4" w:space="0" w:color="FFFFFF" w:themeColor="background1"/>
        <w:insideV w:val="single" w:sz="4" w:space="0" w:color="FFFFFF" w:themeColor="background1"/>
      </w:tblBorders>
    </w:tblPr>
    <w:tcPr>
      <w:shd w:val="clear" w:color="auto" w:fill="FFF1EB" w:themeFill="accent5" w:themeFillTint="19"/>
    </w:tcPr>
    <w:tblStylePr w:type="firstRow">
      <w:rPr>
        <w:b/>
        <w:bCs/>
      </w:rPr>
      <w:tblPr/>
      <w:tcPr>
        <w:tcBorders>
          <w:top w:val="nil"/>
          <w:left w:val="nil"/>
          <w:bottom w:val="single" w:sz="24" w:space="0" w:color="F0404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3E00" w:themeFill="accent5" w:themeFillShade="99"/>
      </w:tcPr>
    </w:tblStylePr>
    <w:tblStylePr w:type="firstCol">
      <w:rPr>
        <w:color w:val="FFFFFF" w:themeColor="background1"/>
      </w:rPr>
      <w:tblPr/>
      <w:tcPr>
        <w:tcBorders>
          <w:top w:val="nil"/>
          <w:left w:val="nil"/>
          <w:bottom w:val="nil"/>
          <w:right w:val="nil"/>
          <w:insideH w:val="single" w:sz="4" w:space="0" w:color="B83E00" w:themeColor="accent5" w:themeShade="99"/>
          <w:insideV w:val="nil"/>
        </w:tcBorders>
        <w:shd w:val="clear" w:color="auto" w:fill="B83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83E00" w:themeFill="accent5" w:themeFillShade="99"/>
      </w:tcPr>
    </w:tblStylePr>
    <w:tblStylePr w:type="band1Vert">
      <w:tblPr/>
      <w:tcPr>
        <w:shd w:val="clear" w:color="auto" w:fill="FFC9AD" w:themeFill="accent5" w:themeFillTint="66"/>
      </w:tcPr>
    </w:tblStylePr>
    <w:tblStylePr w:type="band1Horz">
      <w:tblPr/>
      <w:tcPr>
        <w:shd w:val="clear" w:color="auto" w:fill="FFBC9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FF7A34" w:themeColor="accent5"/>
        <w:left w:val="single" w:sz="4" w:space="0" w:color="F0404F" w:themeColor="accent6"/>
        <w:bottom w:val="single" w:sz="4" w:space="0" w:color="F0404F" w:themeColor="accent6"/>
        <w:right w:val="single" w:sz="4" w:space="0" w:color="F0404F" w:themeColor="accent6"/>
        <w:insideH w:val="single" w:sz="4" w:space="0" w:color="FFFFFF" w:themeColor="background1"/>
        <w:insideV w:val="single" w:sz="4" w:space="0" w:color="FFFFFF" w:themeColor="background1"/>
      </w:tblBorders>
    </w:tblPr>
    <w:tcPr>
      <w:shd w:val="clear" w:color="auto" w:fill="FDECED" w:themeFill="accent6" w:themeFillTint="19"/>
    </w:tcPr>
    <w:tblStylePr w:type="firstRow">
      <w:rPr>
        <w:b/>
        <w:bCs/>
      </w:rPr>
      <w:tblPr/>
      <w:tcPr>
        <w:tcBorders>
          <w:top w:val="nil"/>
          <w:left w:val="nil"/>
          <w:bottom w:val="single" w:sz="24" w:space="0" w:color="FF7A3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0D1A" w:themeFill="accent6" w:themeFillShade="99"/>
      </w:tcPr>
    </w:tblStylePr>
    <w:tblStylePr w:type="firstCol">
      <w:rPr>
        <w:color w:val="FFFFFF" w:themeColor="background1"/>
      </w:rPr>
      <w:tblPr/>
      <w:tcPr>
        <w:tcBorders>
          <w:top w:val="nil"/>
          <w:left w:val="nil"/>
          <w:bottom w:val="nil"/>
          <w:right w:val="nil"/>
          <w:insideH w:val="single" w:sz="4" w:space="0" w:color="A90D1A" w:themeColor="accent6" w:themeShade="99"/>
          <w:insideV w:val="nil"/>
        </w:tcBorders>
        <w:shd w:val="clear" w:color="auto" w:fill="A90D1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90D1A" w:themeFill="accent6" w:themeFillShade="99"/>
      </w:tcPr>
    </w:tblStylePr>
    <w:tblStylePr w:type="band1Vert">
      <w:tblPr/>
      <w:tcPr>
        <w:shd w:val="clear" w:color="auto" w:fill="F9B2B8" w:themeFill="accent6" w:themeFillTint="66"/>
      </w:tcPr>
    </w:tblStylePr>
    <w:tblStylePr w:type="band1Horz">
      <w:tblPr/>
      <w:tcPr>
        <w:shd w:val="clear" w:color="auto" w:fill="F79F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103A3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1C1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C2B2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C2B28" w:themeFill="accent1" w:themeFillShade="BF"/>
      </w:tcPr>
    </w:tblStylePr>
    <w:tblStylePr w:type="band1Vert">
      <w:tblPr/>
      <w:tcPr>
        <w:tcBorders>
          <w:top w:val="nil"/>
          <w:left w:val="nil"/>
          <w:bottom w:val="nil"/>
          <w:right w:val="nil"/>
          <w:insideH w:val="nil"/>
          <w:insideV w:val="nil"/>
        </w:tcBorders>
        <w:shd w:val="clear" w:color="auto" w:fill="0C2B28" w:themeFill="accent1" w:themeFillShade="BF"/>
      </w:tcPr>
    </w:tblStylePr>
    <w:tblStylePr w:type="band1Horz">
      <w:tblPr/>
      <w:tcPr>
        <w:tcBorders>
          <w:top w:val="nil"/>
          <w:left w:val="nil"/>
          <w:bottom w:val="nil"/>
          <w:right w:val="nil"/>
          <w:insideH w:val="nil"/>
          <w:insideV w:val="nil"/>
        </w:tcBorders>
        <w:shd w:val="clear" w:color="auto" w:fill="0C2B28"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00936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9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E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E4A" w:themeFill="accent2" w:themeFillShade="BF"/>
      </w:tcPr>
    </w:tblStylePr>
    <w:tblStylePr w:type="band1Vert">
      <w:tblPr/>
      <w:tcPr>
        <w:tcBorders>
          <w:top w:val="nil"/>
          <w:left w:val="nil"/>
          <w:bottom w:val="nil"/>
          <w:right w:val="nil"/>
          <w:insideH w:val="nil"/>
          <w:insideV w:val="nil"/>
        </w:tcBorders>
        <w:shd w:val="clear" w:color="auto" w:fill="006E4A" w:themeFill="accent2" w:themeFillShade="BF"/>
      </w:tcPr>
    </w:tblStylePr>
    <w:tblStylePr w:type="band1Horz">
      <w:tblPr/>
      <w:tcPr>
        <w:tcBorders>
          <w:top w:val="nil"/>
          <w:left w:val="nil"/>
          <w:bottom w:val="nil"/>
          <w:right w:val="nil"/>
          <w:insideH w:val="nil"/>
          <w:insideV w:val="nil"/>
        </w:tcBorders>
        <w:shd w:val="clear" w:color="auto" w:fill="006E4A"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F6E26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38D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1D1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1D112" w:themeFill="accent3" w:themeFillShade="BF"/>
      </w:tcPr>
    </w:tblStylePr>
    <w:tblStylePr w:type="band1Vert">
      <w:tblPr/>
      <w:tcPr>
        <w:tcBorders>
          <w:top w:val="nil"/>
          <w:left w:val="nil"/>
          <w:bottom w:val="nil"/>
          <w:right w:val="nil"/>
          <w:insideH w:val="nil"/>
          <w:insideV w:val="nil"/>
        </w:tcBorders>
        <w:shd w:val="clear" w:color="auto" w:fill="F1D112" w:themeFill="accent3" w:themeFillShade="BF"/>
      </w:tcPr>
    </w:tblStylePr>
    <w:tblStylePr w:type="band1Horz">
      <w:tblPr/>
      <w:tcPr>
        <w:tcBorders>
          <w:top w:val="nil"/>
          <w:left w:val="nil"/>
          <w:bottom w:val="nil"/>
          <w:right w:val="nil"/>
          <w:insideH w:val="nil"/>
          <w:insideV w:val="nil"/>
        </w:tcBorders>
        <w:shd w:val="clear" w:color="auto" w:fill="F1D112"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FFC6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A6B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9E1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9E19" w:themeFill="accent4" w:themeFillShade="BF"/>
      </w:tcPr>
    </w:tblStylePr>
    <w:tblStylePr w:type="band1Vert">
      <w:tblPr/>
      <w:tcPr>
        <w:tcBorders>
          <w:top w:val="nil"/>
          <w:left w:val="nil"/>
          <w:bottom w:val="nil"/>
          <w:right w:val="nil"/>
          <w:insideH w:val="nil"/>
          <w:insideV w:val="nil"/>
        </w:tcBorders>
        <w:shd w:val="clear" w:color="auto" w:fill="FF9E19" w:themeFill="accent4" w:themeFillShade="BF"/>
      </w:tcPr>
    </w:tblStylePr>
    <w:tblStylePr w:type="band1Horz">
      <w:tblPr/>
      <w:tcPr>
        <w:tcBorders>
          <w:top w:val="nil"/>
          <w:left w:val="nil"/>
          <w:bottom w:val="nil"/>
          <w:right w:val="nil"/>
          <w:insideH w:val="nil"/>
          <w:insideV w:val="nil"/>
        </w:tcBorders>
        <w:shd w:val="clear" w:color="auto" w:fill="FF9E19"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FF7A3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3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54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54E00" w:themeFill="accent5" w:themeFillShade="BF"/>
      </w:tcPr>
    </w:tblStylePr>
    <w:tblStylePr w:type="band1Vert">
      <w:tblPr/>
      <w:tcPr>
        <w:tcBorders>
          <w:top w:val="nil"/>
          <w:left w:val="nil"/>
          <w:bottom w:val="nil"/>
          <w:right w:val="nil"/>
          <w:insideH w:val="nil"/>
          <w:insideV w:val="nil"/>
        </w:tcBorders>
        <w:shd w:val="clear" w:color="auto" w:fill="E54E00" w:themeFill="accent5" w:themeFillShade="BF"/>
      </w:tcPr>
    </w:tblStylePr>
    <w:tblStylePr w:type="band1Horz">
      <w:tblPr/>
      <w:tcPr>
        <w:tcBorders>
          <w:top w:val="nil"/>
          <w:left w:val="nil"/>
          <w:bottom w:val="nil"/>
          <w:right w:val="nil"/>
          <w:insideH w:val="nil"/>
          <w:insideV w:val="nil"/>
        </w:tcBorders>
        <w:shd w:val="clear" w:color="auto" w:fill="E54E00"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F0404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0B1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3102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31020" w:themeFill="accent6" w:themeFillShade="BF"/>
      </w:tcPr>
    </w:tblStylePr>
    <w:tblStylePr w:type="band1Vert">
      <w:tblPr/>
      <w:tcPr>
        <w:tcBorders>
          <w:top w:val="nil"/>
          <w:left w:val="nil"/>
          <w:bottom w:val="nil"/>
          <w:right w:val="nil"/>
          <w:insideH w:val="nil"/>
          <w:insideV w:val="nil"/>
        </w:tcBorders>
        <w:shd w:val="clear" w:color="auto" w:fill="D31020" w:themeFill="accent6" w:themeFillShade="BF"/>
      </w:tcPr>
    </w:tblStylePr>
    <w:tblStylePr w:type="band1Horz">
      <w:tblPr/>
      <w:tcPr>
        <w:tcBorders>
          <w:top w:val="nil"/>
          <w:left w:val="nil"/>
          <w:bottom w:val="nil"/>
          <w:right w:val="nil"/>
          <w:insideH w:val="nil"/>
          <w:insideV w:val="nil"/>
        </w:tcBorders>
        <w:shd w:val="clear" w:color="auto" w:fill="D31020"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76D9CF" w:themeColor="accent1" w:themeTint="66"/>
        <w:left w:val="single" w:sz="4" w:space="0" w:color="76D9CF" w:themeColor="accent1" w:themeTint="66"/>
        <w:bottom w:val="single" w:sz="4" w:space="0" w:color="76D9CF" w:themeColor="accent1" w:themeTint="66"/>
        <w:right w:val="single" w:sz="4" w:space="0" w:color="76D9CF" w:themeColor="accent1" w:themeTint="66"/>
        <w:insideH w:val="single" w:sz="4" w:space="0" w:color="76D9CF" w:themeColor="accent1" w:themeTint="66"/>
        <w:insideV w:val="single" w:sz="4" w:space="0" w:color="76D9CF" w:themeColor="accent1" w:themeTint="66"/>
      </w:tblBorders>
    </w:tblPr>
    <w:tblStylePr w:type="firstRow">
      <w:rPr>
        <w:b/>
        <w:bCs/>
      </w:rPr>
      <w:tblPr/>
      <w:tcPr>
        <w:tcBorders>
          <w:bottom w:val="single" w:sz="12" w:space="0" w:color="35C2B4" w:themeColor="accent1" w:themeTint="99"/>
        </w:tcBorders>
      </w:tcPr>
    </w:tblStylePr>
    <w:tblStylePr w:type="lastRow">
      <w:rPr>
        <w:b/>
        <w:bCs/>
      </w:rPr>
      <w:tblPr/>
      <w:tcPr>
        <w:tcBorders>
          <w:top w:val="double" w:sz="2" w:space="0" w:color="35C2B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6DFFD0" w:themeColor="accent2" w:themeTint="66"/>
        <w:left w:val="single" w:sz="4" w:space="0" w:color="6DFFD0" w:themeColor="accent2" w:themeTint="66"/>
        <w:bottom w:val="single" w:sz="4" w:space="0" w:color="6DFFD0" w:themeColor="accent2" w:themeTint="66"/>
        <w:right w:val="single" w:sz="4" w:space="0" w:color="6DFFD0" w:themeColor="accent2" w:themeTint="66"/>
        <w:insideH w:val="single" w:sz="4" w:space="0" w:color="6DFFD0" w:themeColor="accent2" w:themeTint="66"/>
        <w:insideV w:val="single" w:sz="4" w:space="0" w:color="6DFFD0" w:themeColor="accent2" w:themeTint="66"/>
      </w:tblBorders>
    </w:tblPr>
    <w:tblStylePr w:type="firstRow">
      <w:rPr>
        <w:b/>
        <w:bCs/>
      </w:rPr>
      <w:tblPr/>
      <w:tcPr>
        <w:tcBorders>
          <w:bottom w:val="single" w:sz="12" w:space="0" w:color="25FFB8" w:themeColor="accent2" w:themeTint="99"/>
        </w:tcBorders>
      </w:tcPr>
    </w:tblStylePr>
    <w:tblStylePr w:type="lastRow">
      <w:rPr>
        <w:b/>
        <w:bCs/>
      </w:rPr>
      <w:tblPr/>
      <w:tcPr>
        <w:tcBorders>
          <w:top w:val="double" w:sz="2" w:space="0" w:color="25FFB8"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FBF3C1" w:themeColor="accent3" w:themeTint="66"/>
        <w:left w:val="single" w:sz="4" w:space="0" w:color="FBF3C1" w:themeColor="accent3" w:themeTint="66"/>
        <w:bottom w:val="single" w:sz="4" w:space="0" w:color="FBF3C1" w:themeColor="accent3" w:themeTint="66"/>
        <w:right w:val="single" w:sz="4" w:space="0" w:color="FBF3C1" w:themeColor="accent3" w:themeTint="66"/>
        <w:insideH w:val="single" w:sz="4" w:space="0" w:color="FBF3C1" w:themeColor="accent3" w:themeTint="66"/>
        <w:insideV w:val="single" w:sz="4" w:space="0" w:color="FBF3C1" w:themeColor="accent3" w:themeTint="66"/>
      </w:tblBorders>
    </w:tblPr>
    <w:tblStylePr w:type="firstRow">
      <w:rPr>
        <w:b/>
        <w:bCs/>
      </w:rPr>
      <w:tblPr/>
      <w:tcPr>
        <w:tcBorders>
          <w:bottom w:val="single" w:sz="12" w:space="0" w:color="F9EDA2" w:themeColor="accent3" w:themeTint="99"/>
        </w:tcBorders>
      </w:tcPr>
    </w:tblStylePr>
    <w:tblStylePr w:type="lastRow">
      <w:rPr>
        <w:b/>
        <w:bCs/>
      </w:rPr>
      <w:tblPr/>
      <w:tcPr>
        <w:tcBorders>
          <w:top w:val="double" w:sz="2" w:space="0" w:color="F9EDA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FFE8C8" w:themeColor="accent4" w:themeTint="66"/>
        <w:left w:val="single" w:sz="4" w:space="0" w:color="FFE8C8" w:themeColor="accent4" w:themeTint="66"/>
        <w:bottom w:val="single" w:sz="4" w:space="0" w:color="FFE8C8" w:themeColor="accent4" w:themeTint="66"/>
        <w:right w:val="single" w:sz="4" w:space="0" w:color="FFE8C8" w:themeColor="accent4" w:themeTint="66"/>
        <w:insideH w:val="single" w:sz="4" w:space="0" w:color="FFE8C8" w:themeColor="accent4" w:themeTint="66"/>
        <w:insideV w:val="single" w:sz="4" w:space="0" w:color="FFE8C8" w:themeColor="accent4" w:themeTint="66"/>
      </w:tblBorders>
    </w:tblPr>
    <w:tblStylePr w:type="firstRow">
      <w:rPr>
        <w:b/>
        <w:bCs/>
      </w:rPr>
      <w:tblPr/>
      <w:tcPr>
        <w:tcBorders>
          <w:bottom w:val="single" w:sz="12" w:space="0" w:color="FFDCAD" w:themeColor="accent4" w:themeTint="99"/>
        </w:tcBorders>
      </w:tcPr>
    </w:tblStylePr>
    <w:tblStylePr w:type="lastRow">
      <w:rPr>
        <w:b/>
        <w:bCs/>
      </w:rPr>
      <w:tblPr/>
      <w:tcPr>
        <w:tcBorders>
          <w:top w:val="double" w:sz="2" w:space="0" w:color="FFDC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FFC9AD" w:themeColor="accent5" w:themeTint="66"/>
        <w:left w:val="single" w:sz="4" w:space="0" w:color="FFC9AD" w:themeColor="accent5" w:themeTint="66"/>
        <w:bottom w:val="single" w:sz="4" w:space="0" w:color="FFC9AD" w:themeColor="accent5" w:themeTint="66"/>
        <w:right w:val="single" w:sz="4" w:space="0" w:color="FFC9AD" w:themeColor="accent5" w:themeTint="66"/>
        <w:insideH w:val="single" w:sz="4" w:space="0" w:color="FFC9AD" w:themeColor="accent5" w:themeTint="66"/>
        <w:insideV w:val="single" w:sz="4" w:space="0" w:color="FFC9AD" w:themeColor="accent5" w:themeTint="66"/>
      </w:tblBorders>
    </w:tblPr>
    <w:tblStylePr w:type="firstRow">
      <w:rPr>
        <w:b/>
        <w:bCs/>
      </w:rPr>
      <w:tblPr/>
      <w:tcPr>
        <w:tcBorders>
          <w:bottom w:val="single" w:sz="12" w:space="0" w:color="FFAE85" w:themeColor="accent5" w:themeTint="99"/>
        </w:tcBorders>
      </w:tcPr>
    </w:tblStylePr>
    <w:tblStylePr w:type="lastRow">
      <w:rPr>
        <w:b/>
        <w:bCs/>
      </w:rPr>
      <w:tblPr/>
      <w:tcPr>
        <w:tcBorders>
          <w:top w:val="double" w:sz="2" w:space="0" w:color="FFAE8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F9B2B8" w:themeColor="accent6" w:themeTint="66"/>
        <w:left w:val="single" w:sz="4" w:space="0" w:color="F9B2B8" w:themeColor="accent6" w:themeTint="66"/>
        <w:bottom w:val="single" w:sz="4" w:space="0" w:color="F9B2B8" w:themeColor="accent6" w:themeTint="66"/>
        <w:right w:val="single" w:sz="4" w:space="0" w:color="F9B2B8" w:themeColor="accent6" w:themeTint="66"/>
        <w:insideH w:val="single" w:sz="4" w:space="0" w:color="F9B2B8" w:themeColor="accent6" w:themeTint="66"/>
        <w:insideV w:val="single" w:sz="4" w:space="0" w:color="F9B2B8" w:themeColor="accent6" w:themeTint="66"/>
      </w:tblBorders>
    </w:tblPr>
    <w:tblStylePr w:type="firstRow">
      <w:rPr>
        <w:b/>
        <w:bCs/>
      </w:rPr>
      <w:tblPr/>
      <w:tcPr>
        <w:tcBorders>
          <w:bottom w:val="single" w:sz="12" w:space="0" w:color="F68C95" w:themeColor="accent6" w:themeTint="99"/>
        </w:tcBorders>
      </w:tcPr>
    </w:tblStylePr>
    <w:tblStylePr w:type="lastRow">
      <w:rPr>
        <w:b/>
        <w:bCs/>
      </w:rPr>
      <w:tblPr/>
      <w:tcPr>
        <w:tcBorders>
          <w:top w:val="double" w:sz="2" w:space="0" w:color="F68C95"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35C2B4" w:themeColor="accent1" w:themeTint="99"/>
        <w:bottom w:val="single" w:sz="2" w:space="0" w:color="35C2B4" w:themeColor="accent1" w:themeTint="99"/>
        <w:insideH w:val="single" w:sz="2" w:space="0" w:color="35C2B4" w:themeColor="accent1" w:themeTint="99"/>
        <w:insideV w:val="single" w:sz="2" w:space="0" w:color="35C2B4" w:themeColor="accent1" w:themeTint="99"/>
      </w:tblBorders>
    </w:tblPr>
    <w:tblStylePr w:type="firstRow">
      <w:rPr>
        <w:b/>
        <w:bCs/>
      </w:rPr>
      <w:tblPr/>
      <w:tcPr>
        <w:tcBorders>
          <w:top w:val="nil"/>
          <w:bottom w:val="single" w:sz="12" w:space="0" w:color="35C2B4" w:themeColor="accent1" w:themeTint="99"/>
          <w:insideH w:val="nil"/>
          <w:insideV w:val="nil"/>
        </w:tcBorders>
        <w:shd w:val="clear" w:color="auto" w:fill="FFFFFF" w:themeFill="background1"/>
      </w:tcPr>
    </w:tblStylePr>
    <w:tblStylePr w:type="lastRow">
      <w:rPr>
        <w:b/>
        <w:bCs/>
      </w:rPr>
      <w:tblPr/>
      <w:tcPr>
        <w:tcBorders>
          <w:top w:val="double" w:sz="2" w:space="0" w:color="35C2B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25FFB8" w:themeColor="accent2" w:themeTint="99"/>
        <w:bottom w:val="single" w:sz="2" w:space="0" w:color="25FFB8" w:themeColor="accent2" w:themeTint="99"/>
        <w:insideH w:val="single" w:sz="2" w:space="0" w:color="25FFB8" w:themeColor="accent2" w:themeTint="99"/>
        <w:insideV w:val="single" w:sz="2" w:space="0" w:color="25FFB8" w:themeColor="accent2" w:themeTint="99"/>
      </w:tblBorders>
    </w:tblPr>
    <w:tblStylePr w:type="firstRow">
      <w:rPr>
        <w:b/>
        <w:bCs/>
      </w:rPr>
      <w:tblPr/>
      <w:tcPr>
        <w:tcBorders>
          <w:top w:val="nil"/>
          <w:bottom w:val="single" w:sz="12" w:space="0" w:color="25FFB8" w:themeColor="accent2" w:themeTint="99"/>
          <w:insideH w:val="nil"/>
          <w:insideV w:val="nil"/>
        </w:tcBorders>
        <w:shd w:val="clear" w:color="auto" w:fill="FFFFFF" w:themeFill="background1"/>
      </w:tcPr>
    </w:tblStylePr>
    <w:tblStylePr w:type="lastRow">
      <w:rPr>
        <w:b/>
        <w:bCs/>
      </w:rPr>
      <w:tblPr/>
      <w:tcPr>
        <w:tcBorders>
          <w:top w:val="double" w:sz="2" w:space="0" w:color="25FFB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F9EDA2" w:themeColor="accent3" w:themeTint="99"/>
        <w:bottom w:val="single" w:sz="2" w:space="0" w:color="F9EDA2" w:themeColor="accent3" w:themeTint="99"/>
        <w:insideH w:val="single" w:sz="2" w:space="0" w:color="F9EDA2" w:themeColor="accent3" w:themeTint="99"/>
        <w:insideV w:val="single" w:sz="2" w:space="0" w:color="F9EDA2" w:themeColor="accent3" w:themeTint="99"/>
      </w:tblBorders>
    </w:tblPr>
    <w:tblStylePr w:type="firstRow">
      <w:rPr>
        <w:b/>
        <w:bCs/>
      </w:rPr>
      <w:tblPr/>
      <w:tcPr>
        <w:tcBorders>
          <w:top w:val="nil"/>
          <w:bottom w:val="single" w:sz="12" w:space="0" w:color="F9EDA2" w:themeColor="accent3" w:themeTint="99"/>
          <w:insideH w:val="nil"/>
          <w:insideV w:val="nil"/>
        </w:tcBorders>
        <w:shd w:val="clear" w:color="auto" w:fill="FFFFFF" w:themeFill="background1"/>
      </w:tcPr>
    </w:tblStylePr>
    <w:tblStylePr w:type="lastRow">
      <w:rPr>
        <w:b/>
        <w:bCs/>
      </w:rPr>
      <w:tblPr/>
      <w:tcPr>
        <w:tcBorders>
          <w:top w:val="double" w:sz="2" w:space="0" w:color="F9EDA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FFDCAD" w:themeColor="accent4" w:themeTint="99"/>
        <w:bottom w:val="single" w:sz="2" w:space="0" w:color="FFDCAD" w:themeColor="accent4" w:themeTint="99"/>
        <w:insideH w:val="single" w:sz="2" w:space="0" w:color="FFDCAD" w:themeColor="accent4" w:themeTint="99"/>
        <w:insideV w:val="single" w:sz="2" w:space="0" w:color="FFDCAD" w:themeColor="accent4" w:themeTint="99"/>
      </w:tblBorders>
    </w:tblPr>
    <w:tblStylePr w:type="firstRow">
      <w:rPr>
        <w:b/>
        <w:bCs/>
      </w:rPr>
      <w:tblPr/>
      <w:tcPr>
        <w:tcBorders>
          <w:top w:val="nil"/>
          <w:bottom w:val="single" w:sz="12" w:space="0" w:color="FFDCAD" w:themeColor="accent4" w:themeTint="99"/>
          <w:insideH w:val="nil"/>
          <w:insideV w:val="nil"/>
        </w:tcBorders>
        <w:shd w:val="clear" w:color="auto" w:fill="FFFFFF" w:themeFill="background1"/>
      </w:tcPr>
    </w:tblStylePr>
    <w:tblStylePr w:type="lastRow">
      <w:rPr>
        <w:b/>
        <w:bCs/>
      </w:rPr>
      <w:tblPr/>
      <w:tcPr>
        <w:tcBorders>
          <w:top w:val="double" w:sz="2" w:space="0" w:color="FFDC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FFAE85" w:themeColor="accent5" w:themeTint="99"/>
        <w:bottom w:val="single" w:sz="2" w:space="0" w:color="FFAE85" w:themeColor="accent5" w:themeTint="99"/>
        <w:insideH w:val="single" w:sz="2" w:space="0" w:color="FFAE85" w:themeColor="accent5" w:themeTint="99"/>
        <w:insideV w:val="single" w:sz="2" w:space="0" w:color="FFAE85" w:themeColor="accent5" w:themeTint="99"/>
      </w:tblBorders>
    </w:tblPr>
    <w:tblStylePr w:type="firstRow">
      <w:rPr>
        <w:b/>
        <w:bCs/>
      </w:rPr>
      <w:tblPr/>
      <w:tcPr>
        <w:tcBorders>
          <w:top w:val="nil"/>
          <w:bottom w:val="single" w:sz="12" w:space="0" w:color="FFAE85" w:themeColor="accent5" w:themeTint="99"/>
          <w:insideH w:val="nil"/>
          <w:insideV w:val="nil"/>
        </w:tcBorders>
        <w:shd w:val="clear" w:color="auto" w:fill="FFFFFF" w:themeFill="background1"/>
      </w:tcPr>
    </w:tblStylePr>
    <w:tblStylePr w:type="lastRow">
      <w:rPr>
        <w:b/>
        <w:bCs/>
      </w:rPr>
      <w:tblPr/>
      <w:tcPr>
        <w:tcBorders>
          <w:top w:val="double" w:sz="2" w:space="0" w:color="FFAE8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F68C95" w:themeColor="accent6" w:themeTint="99"/>
        <w:bottom w:val="single" w:sz="2" w:space="0" w:color="F68C95" w:themeColor="accent6" w:themeTint="99"/>
        <w:insideH w:val="single" w:sz="2" w:space="0" w:color="F68C95" w:themeColor="accent6" w:themeTint="99"/>
        <w:insideV w:val="single" w:sz="2" w:space="0" w:color="F68C95" w:themeColor="accent6" w:themeTint="99"/>
      </w:tblBorders>
    </w:tblPr>
    <w:tblStylePr w:type="firstRow">
      <w:rPr>
        <w:b/>
        <w:bCs/>
      </w:rPr>
      <w:tblPr/>
      <w:tcPr>
        <w:tcBorders>
          <w:top w:val="nil"/>
          <w:bottom w:val="single" w:sz="12" w:space="0" w:color="F68C95" w:themeColor="accent6" w:themeTint="99"/>
          <w:insideH w:val="nil"/>
          <w:insideV w:val="nil"/>
        </w:tcBorders>
        <w:shd w:val="clear" w:color="auto" w:fill="FFFFFF" w:themeFill="background1"/>
      </w:tcPr>
    </w:tblStylePr>
    <w:tblStylePr w:type="lastRow">
      <w:rPr>
        <w:b/>
        <w:bCs/>
      </w:rPr>
      <w:tblPr/>
      <w:tcPr>
        <w:tcBorders>
          <w:top w:val="double" w:sz="2" w:space="0" w:color="F68C9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35C2B4" w:themeColor="accent1" w:themeTint="99"/>
        <w:left w:val="single" w:sz="4" w:space="0" w:color="35C2B4" w:themeColor="accent1" w:themeTint="99"/>
        <w:bottom w:val="single" w:sz="4" w:space="0" w:color="35C2B4" w:themeColor="accent1" w:themeTint="99"/>
        <w:right w:val="single" w:sz="4" w:space="0" w:color="35C2B4" w:themeColor="accent1" w:themeTint="99"/>
        <w:insideH w:val="single" w:sz="4" w:space="0" w:color="35C2B4" w:themeColor="accent1" w:themeTint="99"/>
        <w:insideV w:val="single" w:sz="4" w:space="0" w:color="35C2B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CE7" w:themeFill="accent1" w:themeFillTint="33"/>
      </w:tcPr>
    </w:tblStylePr>
    <w:tblStylePr w:type="band1Horz">
      <w:tblPr/>
      <w:tcPr>
        <w:shd w:val="clear" w:color="auto" w:fill="BAECE7" w:themeFill="accent1" w:themeFillTint="33"/>
      </w:tcPr>
    </w:tblStylePr>
    <w:tblStylePr w:type="neCell">
      <w:tblPr/>
      <w:tcPr>
        <w:tcBorders>
          <w:bottom w:val="single" w:sz="4" w:space="0" w:color="35C2B4" w:themeColor="accent1" w:themeTint="99"/>
        </w:tcBorders>
      </w:tcPr>
    </w:tblStylePr>
    <w:tblStylePr w:type="nwCell">
      <w:tblPr/>
      <w:tcPr>
        <w:tcBorders>
          <w:bottom w:val="single" w:sz="4" w:space="0" w:color="35C2B4" w:themeColor="accent1" w:themeTint="99"/>
        </w:tcBorders>
      </w:tcPr>
    </w:tblStylePr>
    <w:tblStylePr w:type="seCell">
      <w:tblPr/>
      <w:tcPr>
        <w:tcBorders>
          <w:top w:val="single" w:sz="4" w:space="0" w:color="35C2B4" w:themeColor="accent1" w:themeTint="99"/>
        </w:tcBorders>
      </w:tcPr>
    </w:tblStylePr>
    <w:tblStylePr w:type="swCell">
      <w:tblPr/>
      <w:tcPr>
        <w:tcBorders>
          <w:top w:val="single" w:sz="4" w:space="0" w:color="35C2B4"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25FFB8" w:themeColor="accent2" w:themeTint="99"/>
        <w:left w:val="single" w:sz="4" w:space="0" w:color="25FFB8" w:themeColor="accent2" w:themeTint="99"/>
        <w:bottom w:val="single" w:sz="4" w:space="0" w:color="25FFB8" w:themeColor="accent2" w:themeTint="99"/>
        <w:right w:val="single" w:sz="4" w:space="0" w:color="25FFB8" w:themeColor="accent2" w:themeTint="99"/>
        <w:insideH w:val="single" w:sz="4" w:space="0" w:color="25FFB8" w:themeColor="accent2" w:themeTint="99"/>
        <w:insideV w:val="single" w:sz="4" w:space="0" w:color="25FF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FFE7" w:themeFill="accent2" w:themeFillTint="33"/>
      </w:tcPr>
    </w:tblStylePr>
    <w:tblStylePr w:type="band1Horz">
      <w:tblPr/>
      <w:tcPr>
        <w:shd w:val="clear" w:color="auto" w:fill="B6FFE7" w:themeFill="accent2" w:themeFillTint="33"/>
      </w:tcPr>
    </w:tblStylePr>
    <w:tblStylePr w:type="neCell">
      <w:tblPr/>
      <w:tcPr>
        <w:tcBorders>
          <w:bottom w:val="single" w:sz="4" w:space="0" w:color="25FFB8" w:themeColor="accent2" w:themeTint="99"/>
        </w:tcBorders>
      </w:tcPr>
    </w:tblStylePr>
    <w:tblStylePr w:type="nwCell">
      <w:tblPr/>
      <w:tcPr>
        <w:tcBorders>
          <w:bottom w:val="single" w:sz="4" w:space="0" w:color="25FFB8" w:themeColor="accent2" w:themeTint="99"/>
        </w:tcBorders>
      </w:tcPr>
    </w:tblStylePr>
    <w:tblStylePr w:type="seCell">
      <w:tblPr/>
      <w:tcPr>
        <w:tcBorders>
          <w:top w:val="single" w:sz="4" w:space="0" w:color="25FFB8" w:themeColor="accent2" w:themeTint="99"/>
        </w:tcBorders>
      </w:tcPr>
    </w:tblStylePr>
    <w:tblStylePr w:type="swCell">
      <w:tblPr/>
      <w:tcPr>
        <w:tcBorders>
          <w:top w:val="single" w:sz="4" w:space="0" w:color="25FFB8"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F9EDA2" w:themeColor="accent3" w:themeTint="99"/>
        <w:left w:val="single" w:sz="4" w:space="0" w:color="F9EDA2" w:themeColor="accent3" w:themeTint="99"/>
        <w:bottom w:val="single" w:sz="4" w:space="0" w:color="F9EDA2" w:themeColor="accent3" w:themeTint="99"/>
        <w:right w:val="single" w:sz="4" w:space="0" w:color="F9EDA2" w:themeColor="accent3" w:themeTint="99"/>
        <w:insideH w:val="single" w:sz="4" w:space="0" w:color="F9EDA2" w:themeColor="accent3" w:themeTint="99"/>
        <w:insideV w:val="single" w:sz="4" w:space="0" w:color="F9EDA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E0" w:themeFill="accent3" w:themeFillTint="33"/>
      </w:tcPr>
    </w:tblStylePr>
    <w:tblStylePr w:type="band1Horz">
      <w:tblPr/>
      <w:tcPr>
        <w:shd w:val="clear" w:color="auto" w:fill="FDF9E0" w:themeFill="accent3" w:themeFillTint="33"/>
      </w:tcPr>
    </w:tblStylePr>
    <w:tblStylePr w:type="neCell">
      <w:tblPr/>
      <w:tcPr>
        <w:tcBorders>
          <w:bottom w:val="single" w:sz="4" w:space="0" w:color="F9EDA2" w:themeColor="accent3" w:themeTint="99"/>
        </w:tcBorders>
      </w:tcPr>
    </w:tblStylePr>
    <w:tblStylePr w:type="nwCell">
      <w:tblPr/>
      <w:tcPr>
        <w:tcBorders>
          <w:bottom w:val="single" w:sz="4" w:space="0" w:color="F9EDA2" w:themeColor="accent3" w:themeTint="99"/>
        </w:tcBorders>
      </w:tcPr>
    </w:tblStylePr>
    <w:tblStylePr w:type="seCell">
      <w:tblPr/>
      <w:tcPr>
        <w:tcBorders>
          <w:top w:val="single" w:sz="4" w:space="0" w:color="F9EDA2" w:themeColor="accent3" w:themeTint="99"/>
        </w:tcBorders>
      </w:tcPr>
    </w:tblStylePr>
    <w:tblStylePr w:type="swCell">
      <w:tblPr/>
      <w:tcPr>
        <w:tcBorders>
          <w:top w:val="single" w:sz="4" w:space="0" w:color="F9EDA2"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FFDCAD" w:themeColor="accent4" w:themeTint="99"/>
        <w:left w:val="single" w:sz="4" w:space="0" w:color="FFDCAD" w:themeColor="accent4" w:themeTint="99"/>
        <w:bottom w:val="single" w:sz="4" w:space="0" w:color="FFDCAD" w:themeColor="accent4" w:themeTint="99"/>
        <w:right w:val="single" w:sz="4" w:space="0" w:color="FFDCAD" w:themeColor="accent4" w:themeTint="99"/>
        <w:insideH w:val="single" w:sz="4" w:space="0" w:color="FFDCAD" w:themeColor="accent4" w:themeTint="99"/>
        <w:insideV w:val="single" w:sz="4" w:space="0" w:color="FFDC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E3" w:themeFill="accent4" w:themeFillTint="33"/>
      </w:tcPr>
    </w:tblStylePr>
    <w:tblStylePr w:type="band1Horz">
      <w:tblPr/>
      <w:tcPr>
        <w:shd w:val="clear" w:color="auto" w:fill="FFF3E3" w:themeFill="accent4" w:themeFillTint="33"/>
      </w:tcPr>
    </w:tblStylePr>
    <w:tblStylePr w:type="neCell">
      <w:tblPr/>
      <w:tcPr>
        <w:tcBorders>
          <w:bottom w:val="single" w:sz="4" w:space="0" w:color="FFDCAD" w:themeColor="accent4" w:themeTint="99"/>
        </w:tcBorders>
      </w:tcPr>
    </w:tblStylePr>
    <w:tblStylePr w:type="nwCell">
      <w:tblPr/>
      <w:tcPr>
        <w:tcBorders>
          <w:bottom w:val="single" w:sz="4" w:space="0" w:color="FFDCAD" w:themeColor="accent4" w:themeTint="99"/>
        </w:tcBorders>
      </w:tcPr>
    </w:tblStylePr>
    <w:tblStylePr w:type="seCell">
      <w:tblPr/>
      <w:tcPr>
        <w:tcBorders>
          <w:top w:val="single" w:sz="4" w:space="0" w:color="FFDCAD" w:themeColor="accent4" w:themeTint="99"/>
        </w:tcBorders>
      </w:tcPr>
    </w:tblStylePr>
    <w:tblStylePr w:type="swCell">
      <w:tblPr/>
      <w:tcPr>
        <w:tcBorders>
          <w:top w:val="single" w:sz="4" w:space="0" w:color="FFDCAD"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FFAE85" w:themeColor="accent5" w:themeTint="99"/>
        <w:left w:val="single" w:sz="4" w:space="0" w:color="FFAE85" w:themeColor="accent5" w:themeTint="99"/>
        <w:bottom w:val="single" w:sz="4" w:space="0" w:color="FFAE85" w:themeColor="accent5" w:themeTint="99"/>
        <w:right w:val="single" w:sz="4" w:space="0" w:color="FFAE85" w:themeColor="accent5" w:themeTint="99"/>
        <w:insideH w:val="single" w:sz="4" w:space="0" w:color="FFAE85" w:themeColor="accent5" w:themeTint="99"/>
        <w:insideV w:val="single" w:sz="4" w:space="0" w:color="FFAE8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4D6" w:themeFill="accent5" w:themeFillTint="33"/>
      </w:tcPr>
    </w:tblStylePr>
    <w:tblStylePr w:type="band1Horz">
      <w:tblPr/>
      <w:tcPr>
        <w:shd w:val="clear" w:color="auto" w:fill="FFE4D6" w:themeFill="accent5" w:themeFillTint="33"/>
      </w:tcPr>
    </w:tblStylePr>
    <w:tblStylePr w:type="neCell">
      <w:tblPr/>
      <w:tcPr>
        <w:tcBorders>
          <w:bottom w:val="single" w:sz="4" w:space="0" w:color="FFAE85" w:themeColor="accent5" w:themeTint="99"/>
        </w:tcBorders>
      </w:tcPr>
    </w:tblStylePr>
    <w:tblStylePr w:type="nwCell">
      <w:tblPr/>
      <w:tcPr>
        <w:tcBorders>
          <w:bottom w:val="single" w:sz="4" w:space="0" w:color="FFAE85" w:themeColor="accent5" w:themeTint="99"/>
        </w:tcBorders>
      </w:tcPr>
    </w:tblStylePr>
    <w:tblStylePr w:type="seCell">
      <w:tblPr/>
      <w:tcPr>
        <w:tcBorders>
          <w:top w:val="single" w:sz="4" w:space="0" w:color="FFAE85" w:themeColor="accent5" w:themeTint="99"/>
        </w:tcBorders>
      </w:tcPr>
    </w:tblStylePr>
    <w:tblStylePr w:type="swCell">
      <w:tblPr/>
      <w:tcPr>
        <w:tcBorders>
          <w:top w:val="single" w:sz="4" w:space="0" w:color="FFAE85"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F68C95" w:themeColor="accent6" w:themeTint="99"/>
        <w:left w:val="single" w:sz="4" w:space="0" w:color="F68C95" w:themeColor="accent6" w:themeTint="99"/>
        <w:bottom w:val="single" w:sz="4" w:space="0" w:color="F68C95" w:themeColor="accent6" w:themeTint="99"/>
        <w:right w:val="single" w:sz="4" w:space="0" w:color="F68C95" w:themeColor="accent6" w:themeTint="99"/>
        <w:insideH w:val="single" w:sz="4" w:space="0" w:color="F68C95" w:themeColor="accent6" w:themeTint="99"/>
        <w:insideV w:val="single" w:sz="4" w:space="0" w:color="F68C9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B" w:themeFill="accent6" w:themeFillTint="33"/>
      </w:tcPr>
    </w:tblStylePr>
    <w:tblStylePr w:type="band1Horz">
      <w:tblPr/>
      <w:tcPr>
        <w:shd w:val="clear" w:color="auto" w:fill="FCD8DB" w:themeFill="accent6" w:themeFillTint="33"/>
      </w:tcPr>
    </w:tblStylePr>
    <w:tblStylePr w:type="neCell">
      <w:tblPr/>
      <w:tcPr>
        <w:tcBorders>
          <w:bottom w:val="single" w:sz="4" w:space="0" w:color="F68C95" w:themeColor="accent6" w:themeTint="99"/>
        </w:tcBorders>
      </w:tcPr>
    </w:tblStylePr>
    <w:tblStylePr w:type="nwCell">
      <w:tblPr/>
      <w:tcPr>
        <w:tcBorders>
          <w:bottom w:val="single" w:sz="4" w:space="0" w:color="F68C95" w:themeColor="accent6" w:themeTint="99"/>
        </w:tcBorders>
      </w:tcPr>
    </w:tblStylePr>
    <w:tblStylePr w:type="seCell">
      <w:tblPr/>
      <w:tcPr>
        <w:tcBorders>
          <w:top w:val="single" w:sz="4" w:space="0" w:color="F68C95" w:themeColor="accent6" w:themeTint="99"/>
        </w:tcBorders>
      </w:tcPr>
    </w:tblStylePr>
    <w:tblStylePr w:type="swCell">
      <w:tblPr/>
      <w:tcPr>
        <w:tcBorders>
          <w:top w:val="single" w:sz="4" w:space="0" w:color="F68C95"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35C2B4" w:themeColor="accent1" w:themeTint="99"/>
        <w:left w:val="single" w:sz="4" w:space="0" w:color="35C2B4" w:themeColor="accent1" w:themeTint="99"/>
        <w:bottom w:val="single" w:sz="4" w:space="0" w:color="35C2B4" w:themeColor="accent1" w:themeTint="99"/>
        <w:right w:val="single" w:sz="4" w:space="0" w:color="35C2B4" w:themeColor="accent1" w:themeTint="99"/>
        <w:insideH w:val="single" w:sz="4" w:space="0" w:color="35C2B4" w:themeColor="accent1" w:themeTint="99"/>
        <w:insideV w:val="single" w:sz="4" w:space="0" w:color="35C2B4" w:themeColor="accent1" w:themeTint="99"/>
      </w:tblBorders>
    </w:tblPr>
    <w:tblStylePr w:type="firstRow">
      <w:rPr>
        <w:b/>
        <w:bCs/>
        <w:color w:val="FFFFFF" w:themeColor="background1"/>
      </w:rPr>
      <w:tblPr/>
      <w:tcPr>
        <w:tcBorders>
          <w:top w:val="single" w:sz="4" w:space="0" w:color="103A36" w:themeColor="accent1"/>
          <w:left w:val="single" w:sz="4" w:space="0" w:color="103A36" w:themeColor="accent1"/>
          <w:bottom w:val="single" w:sz="4" w:space="0" w:color="103A36" w:themeColor="accent1"/>
          <w:right w:val="single" w:sz="4" w:space="0" w:color="103A36" w:themeColor="accent1"/>
          <w:insideH w:val="nil"/>
          <w:insideV w:val="nil"/>
        </w:tcBorders>
        <w:shd w:val="clear" w:color="auto" w:fill="103A36" w:themeFill="accent1"/>
      </w:tcPr>
    </w:tblStylePr>
    <w:tblStylePr w:type="lastRow">
      <w:rPr>
        <w:b/>
        <w:bCs/>
      </w:rPr>
      <w:tblPr/>
      <w:tcPr>
        <w:tcBorders>
          <w:top w:val="double" w:sz="4" w:space="0" w:color="103A36" w:themeColor="accent1"/>
        </w:tcBorders>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25FFB8" w:themeColor="accent2" w:themeTint="99"/>
        <w:left w:val="single" w:sz="4" w:space="0" w:color="25FFB8" w:themeColor="accent2" w:themeTint="99"/>
        <w:bottom w:val="single" w:sz="4" w:space="0" w:color="25FFB8" w:themeColor="accent2" w:themeTint="99"/>
        <w:right w:val="single" w:sz="4" w:space="0" w:color="25FFB8" w:themeColor="accent2" w:themeTint="99"/>
        <w:insideH w:val="single" w:sz="4" w:space="0" w:color="25FFB8" w:themeColor="accent2" w:themeTint="99"/>
        <w:insideV w:val="single" w:sz="4" w:space="0" w:color="25FFB8" w:themeColor="accent2" w:themeTint="99"/>
      </w:tblBorders>
    </w:tblPr>
    <w:tblStylePr w:type="firstRow">
      <w:rPr>
        <w:b/>
        <w:bCs/>
        <w:color w:val="FFFFFF" w:themeColor="background1"/>
      </w:rPr>
      <w:tblPr/>
      <w:tcPr>
        <w:tcBorders>
          <w:top w:val="single" w:sz="4" w:space="0" w:color="009364" w:themeColor="accent2"/>
          <w:left w:val="single" w:sz="4" w:space="0" w:color="009364" w:themeColor="accent2"/>
          <w:bottom w:val="single" w:sz="4" w:space="0" w:color="009364" w:themeColor="accent2"/>
          <w:right w:val="single" w:sz="4" w:space="0" w:color="009364" w:themeColor="accent2"/>
          <w:insideH w:val="nil"/>
          <w:insideV w:val="nil"/>
        </w:tcBorders>
        <w:shd w:val="clear" w:color="auto" w:fill="009364" w:themeFill="accent2"/>
      </w:tcPr>
    </w:tblStylePr>
    <w:tblStylePr w:type="lastRow">
      <w:rPr>
        <w:b/>
        <w:bCs/>
      </w:rPr>
      <w:tblPr/>
      <w:tcPr>
        <w:tcBorders>
          <w:top w:val="double" w:sz="4" w:space="0" w:color="009364" w:themeColor="accent2"/>
        </w:tcBorders>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F9EDA2" w:themeColor="accent3" w:themeTint="99"/>
        <w:left w:val="single" w:sz="4" w:space="0" w:color="F9EDA2" w:themeColor="accent3" w:themeTint="99"/>
        <w:bottom w:val="single" w:sz="4" w:space="0" w:color="F9EDA2" w:themeColor="accent3" w:themeTint="99"/>
        <w:right w:val="single" w:sz="4" w:space="0" w:color="F9EDA2" w:themeColor="accent3" w:themeTint="99"/>
        <w:insideH w:val="single" w:sz="4" w:space="0" w:color="F9EDA2" w:themeColor="accent3" w:themeTint="99"/>
        <w:insideV w:val="single" w:sz="4" w:space="0" w:color="F9EDA2" w:themeColor="accent3" w:themeTint="99"/>
      </w:tblBorders>
    </w:tblPr>
    <w:tblStylePr w:type="firstRow">
      <w:rPr>
        <w:b/>
        <w:bCs/>
        <w:color w:val="FFFFFF" w:themeColor="background1"/>
      </w:rPr>
      <w:tblPr/>
      <w:tcPr>
        <w:tcBorders>
          <w:top w:val="single" w:sz="4" w:space="0" w:color="F6E265" w:themeColor="accent3"/>
          <w:left w:val="single" w:sz="4" w:space="0" w:color="F6E265" w:themeColor="accent3"/>
          <w:bottom w:val="single" w:sz="4" w:space="0" w:color="F6E265" w:themeColor="accent3"/>
          <w:right w:val="single" w:sz="4" w:space="0" w:color="F6E265" w:themeColor="accent3"/>
          <w:insideH w:val="nil"/>
          <w:insideV w:val="nil"/>
        </w:tcBorders>
        <w:shd w:val="clear" w:color="auto" w:fill="F6E265" w:themeFill="accent3"/>
      </w:tcPr>
    </w:tblStylePr>
    <w:tblStylePr w:type="lastRow">
      <w:rPr>
        <w:b/>
        <w:bCs/>
      </w:rPr>
      <w:tblPr/>
      <w:tcPr>
        <w:tcBorders>
          <w:top w:val="double" w:sz="4" w:space="0" w:color="F6E265" w:themeColor="accent3"/>
        </w:tcBorders>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FFDCAD" w:themeColor="accent4" w:themeTint="99"/>
        <w:left w:val="single" w:sz="4" w:space="0" w:color="FFDCAD" w:themeColor="accent4" w:themeTint="99"/>
        <w:bottom w:val="single" w:sz="4" w:space="0" w:color="FFDCAD" w:themeColor="accent4" w:themeTint="99"/>
        <w:right w:val="single" w:sz="4" w:space="0" w:color="FFDCAD" w:themeColor="accent4" w:themeTint="99"/>
        <w:insideH w:val="single" w:sz="4" w:space="0" w:color="FFDCAD" w:themeColor="accent4" w:themeTint="99"/>
        <w:insideV w:val="single" w:sz="4" w:space="0" w:color="FFDCAD" w:themeColor="accent4" w:themeTint="99"/>
      </w:tblBorders>
    </w:tblPr>
    <w:tblStylePr w:type="firstRow">
      <w:rPr>
        <w:b/>
        <w:bCs/>
        <w:color w:val="FFFFFF" w:themeColor="background1"/>
      </w:rPr>
      <w:tblPr/>
      <w:tcPr>
        <w:tcBorders>
          <w:top w:val="single" w:sz="4" w:space="0" w:color="FFC677" w:themeColor="accent4"/>
          <w:left w:val="single" w:sz="4" w:space="0" w:color="FFC677" w:themeColor="accent4"/>
          <w:bottom w:val="single" w:sz="4" w:space="0" w:color="FFC677" w:themeColor="accent4"/>
          <w:right w:val="single" w:sz="4" w:space="0" w:color="FFC677" w:themeColor="accent4"/>
          <w:insideH w:val="nil"/>
          <w:insideV w:val="nil"/>
        </w:tcBorders>
        <w:shd w:val="clear" w:color="auto" w:fill="FFC677" w:themeFill="accent4"/>
      </w:tcPr>
    </w:tblStylePr>
    <w:tblStylePr w:type="lastRow">
      <w:rPr>
        <w:b/>
        <w:bCs/>
      </w:rPr>
      <w:tblPr/>
      <w:tcPr>
        <w:tcBorders>
          <w:top w:val="double" w:sz="4" w:space="0" w:color="FFC677" w:themeColor="accent4"/>
        </w:tcBorders>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FFAE85" w:themeColor="accent5" w:themeTint="99"/>
        <w:left w:val="single" w:sz="4" w:space="0" w:color="FFAE85" w:themeColor="accent5" w:themeTint="99"/>
        <w:bottom w:val="single" w:sz="4" w:space="0" w:color="FFAE85" w:themeColor="accent5" w:themeTint="99"/>
        <w:right w:val="single" w:sz="4" w:space="0" w:color="FFAE85" w:themeColor="accent5" w:themeTint="99"/>
        <w:insideH w:val="single" w:sz="4" w:space="0" w:color="FFAE85" w:themeColor="accent5" w:themeTint="99"/>
        <w:insideV w:val="single" w:sz="4" w:space="0" w:color="FFAE85" w:themeColor="accent5" w:themeTint="99"/>
      </w:tblBorders>
    </w:tblPr>
    <w:tblStylePr w:type="firstRow">
      <w:rPr>
        <w:b/>
        <w:bCs/>
        <w:color w:val="FFFFFF" w:themeColor="background1"/>
      </w:rPr>
      <w:tblPr/>
      <w:tcPr>
        <w:tcBorders>
          <w:top w:val="single" w:sz="4" w:space="0" w:color="FF7A34" w:themeColor="accent5"/>
          <w:left w:val="single" w:sz="4" w:space="0" w:color="FF7A34" w:themeColor="accent5"/>
          <w:bottom w:val="single" w:sz="4" w:space="0" w:color="FF7A34" w:themeColor="accent5"/>
          <w:right w:val="single" w:sz="4" w:space="0" w:color="FF7A34" w:themeColor="accent5"/>
          <w:insideH w:val="nil"/>
          <w:insideV w:val="nil"/>
        </w:tcBorders>
        <w:shd w:val="clear" w:color="auto" w:fill="FF7A34" w:themeFill="accent5"/>
      </w:tcPr>
    </w:tblStylePr>
    <w:tblStylePr w:type="lastRow">
      <w:rPr>
        <w:b/>
        <w:bCs/>
      </w:rPr>
      <w:tblPr/>
      <w:tcPr>
        <w:tcBorders>
          <w:top w:val="double" w:sz="4" w:space="0" w:color="FF7A34" w:themeColor="accent5"/>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F68C95" w:themeColor="accent6" w:themeTint="99"/>
        <w:left w:val="single" w:sz="4" w:space="0" w:color="F68C95" w:themeColor="accent6" w:themeTint="99"/>
        <w:bottom w:val="single" w:sz="4" w:space="0" w:color="F68C95" w:themeColor="accent6" w:themeTint="99"/>
        <w:right w:val="single" w:sz="4" w:space="0" w:color="F68C95" w:themeColor="accent6" w:themeTint="99"/>
        <w:insideH w:val="single" w:sz="4" w:space="0" w:color="F68C95" w:themeColor="accent6" w:themeTint="99"/>
        <w:insideV w:val="single" w:sz="4" w:space="0" w:color="F68C95" w:themeColor="accent6" w:themeTint="99"/>
      </w:tblBorders>
    </w:tblPr>
    <w:tblStylePr w:type="firstRow">
      <w:rPr>
        <w:b/>
        <w:bCs/>
        <w:color w:val="FFFFFF" w:themeColor="background1"/>
      </w:rPr>
      <w:tblPr/>
      <w:tcPr>
        <w:tcBorders>
          <w:top w:val="single" w:sz="4" w:space="0" w:color="F0404F" w:themeColor="accent6"/>
          <w:left w:val="single" w:sz="4" w:space="0" w:color="F0404F" w:themeColor="accent6"/>
          <w:bottom w:val="single" w:sz="4" w:space="0" w:color="F0404F" w:themeColor="accent6"/>
          <w:right w:val="single" w:sz="4" w:space="0" w:color="F0404F" w:themeColor="accent6"/>
          <w:insideH w:val="nil"/>
          <w:insideV w:val="nil"/>
        </w:tcBorders>
        <w:shd w:val="clear" w:color="auto" w:fill="F0404F" w:themeFill="accent6"/>
      </w:tcPr>
    </w:tblStylePr>
    <w:tblStylePr w:type="lastRow">
      <w:rPr>
        <w:b/>
        <w:bCs/>
      </w:rPr>
      <w:tblPr/>
      <w:tcPr>
        <w:tcBorders>
          <w:top w:val="double" w:sz="4" w:space="0" w:color="F0404F" w:themeColor="accent6"/>
        </w:tcBorders>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C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3A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3A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3A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3A36" w:themeFill="accent1"/>
      </w:tcPr>
    </w:tblStylePr>
    <w:tblStylePr w:type="band1Vert">
      <w:tblPr/>
      <w:tcPr>
        <w:shd w:val="clear" w:color="auto" w:fill="76D9CF" w:themeFill="accent1" w:themeFillTint="66"/>
      </w:tcPr>
    </w:tblStylePr>
    <w:tblStylePr w:type="band1Horz">
      <w:tblPr/>
      <w:tcPr>
        <w:shd w:val="clear" w:color="auto" w:fill="76D9CF"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FF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36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36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36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364" w:themeFill="accent2"/>
      </w:tcPr>
    </w:tblStylePr>
    <w:tblStylePr w:type="band1Vert">
      <w:tblPr/>
      <w:tcPr>
        <w:shd w:val="clear" w:color="auto" w:fill="6DFFD0" w:themeFill="accent2" w:themeFillTint="66"/>
      </w:tcPr>
    </w:tblStylePr>
    <w:tblStylePr w:type="band1Horz">
      <w:tblPr/>
      <w:tcPr>
        <w:shd w:val="clear" w:color="auto" w:fill="6DFFD0"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9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E26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E26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E26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E265" w:themeFill="accent3"/>
      </w:tcPr>
    </w:tblStylePr>
    <w:tblStylePr w:type="band1Vert">
      <w:tblPr/>
      <w:tcPr>
        <w:shd w:val="clear" w:color="auto" w:fill="FBF3C1" w:themeFill="accent3" w:themeFillTint="66"/>
      </w:tcPr>
    </w:tblStylePr>
    <w:tblStylePr w:type="band1Horz">
      <w:tblPr/>
      <w:tcPr>
        <w:shd w:val="clear" w:color="auto" w:fill="FBF3C1"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6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6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6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677" w:themeFill="accent4"/>
      </w:tcPr>
    </w:tblStylePr>
    <w:tblStylePr w:type="band1Vert">
      <w:tblPr/>
      <w:tcPr>
        <w:shd w:val="clear" w:color="auto" w:fill="FFE8C8" w:themeFill="accent4" w:themeFillTint="66"/>
      </w:tcPr>
    </w:tblStylePr>
    <w:tblStylePr w:type="band1Horz">
      <w:tblPr/>
      <w:tcPr>
        <w:shd w:val="clear" w:color="auto" w:fill="FFE8C8"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4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A3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A3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A3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A34" w:themeFill="accent5"/>
      </w:tcPr>
    </w:tblStylePr>
    <w:tblStylePr w:type="band1Vert">
      <w:tblPr/>
      <w:tcPr>
        <w:shd w:val="clear" w:color="auto" w:fill="FFC9AD" w:themeFill="accent5" w:themeFillTint="66"/>
      </w:tcPr>
    </w:tblStylePr>
    <w:tblStylePr w:type="band1Horz">
      <w:tblPr/>
      <w:tcPr>
        <w:shd w:val="clear" w:color="auto" w:fill="FFC9AD"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04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04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04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04F" w:themeFill="accent6"/>
      </w:tcPr>
    </w:tblStylePr>
    <w:tblStylePr w:type="band1Vert">
      <w:tblPr/>
      <w:tcPr>
        <w:shd w:val="clear" w:color="auto" w:fill="F9B2B8" w:themeFill="accent6" w:themeFillTint="66"/>
      </w:tcPr>
    </w:tblStylePr>
    <w:tblStylePr w:type="band1Horz">
      <w:tblPr/>
      <w:tcPr>
        <w:shd w:val="clear" w:color="auto" w:fill="F9B2B8"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0C2B28" w:themeColor="accent1" w:themeShade="BF"/>
    </w:rPr>
    <w:tblPr>
      <w:tblStyleRowBandSize w:val="1"/>
      <w:tblStyleColBandSize w:val="1"/>
      <w:tblBorders>
        <w:top w:val="single" w:sz="4" w:space="0" w:color="35C2B4" w:themeColor="accent1" w:themeTint="99"/>
        <w:left w:val="single" w:sz="4" w:space="0" w:color="35C2B4" w:themeColor="accent1" w:themeTint="99"/>
        <w:bottom w:val="single" w:sz="4" w:space="0" w:color="35C2B4" w:themeColor="accent1" w:themeTint="99"/>
        <w:right w:val="single" w:sz="4" w:space="0" w:color="35C2B4" w:themeColor="accent1" w:themeTint="99"/>
        <w:insideH w:val="single" w:sz="4" w:space="0" w:color="35C2B4" w:themeColor="accent1" w:themeTint="99"/>
        <w:insideV w:val="single" w:sz="4" w:space="0" w:color="35C2B4" w:themeColor="accent1" w:themeTint="99"/>
      </w:tblBorders>
    </w:tblPr>
    <w:tblStylePr w:type="firstRow">
      <w:rPr>
        <w:b/>
        <w:bCs/>
      </w:rPr>
      <w:tblPr/>
      <w:tcPr>
        <w:tcBorders>
          <w:bottom w:val="single" w:sz="12" w:space="0" w:color="35C2B4" w:themeColor="accent1" w:themeTint="99"/>
        </w:tcBorders>
      </w:tcPr>
    </w:tblStylePr>
    <w:tblStylePr w:type="lastRow">
      <w:rPr>
        <w:b/>
        <w:bCs/>
      </w:rPr>
      <w:tblPr/>
      <w:tcPr>
        <w:tcBorders>
          <w:top w:val="double" w:sz="4" w:space="0" w:color="35C2B4" w:themeColor="accent1" w:themeTint="99"/>
        </w:tcBorders>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006E4A" w:themeColor="accent2" w:themeShade="BF"/>
    </w:rPr>
    <w:tblPr>
      <w:tblStyleRowBandSize w:val="1"/>
      <w:tblStyleColBandSize w:val="1"/>
      <w:tblBorders>
        <w:top w:val="single" w:sz="4" w:space="0" w:color="25FFB8" w:themeColor="accent2" w:themeTint="99"/>
        <w:left w:val="single" w:sz="4" w:space="0" w:color="25FFB8" w:themeColor="accent2" w:themeTint="99"/>
        <w:bottom w:val="single" w:sz="4" w:space="0" w:color="25FFB8" w:themeColor="accent2" w:themeTint="99"/>
        <w:right w:val="single" w:sz="4" w:space="0" w:color="25FFB8" w:themeColor="accent2" w:themeTint="99"/>
        <w:insideH w:val="single" w:sz="4" w:space="0" w:color="25FFB8" w:themeColor="accent2" w:themeTint="99"/>
        <w:insideV w:val="single" w:sz="4" w:space="0" w:color="25FFB8" w:themeColor="accent2" w:themeTint="99"/>
      </w:tblBorders>
    </w:tblPr>
    <w:tblStylePr w:type="firstRow">
      <w:rPr>
        <w:b/>
        <w:bCs/>
      </w:rPr>
      <w:tblPr/>
      <w:tcPr>
        <w:tcBorders>
          <w:bottom w:val="single" w:sz="12" w:space="0" w:color="25FFB8" w:themeColor="accent2" w:themeTint="99"/>
        </w:tcBorders>
      </w:tcPr>
    </w:tblStylePr>
    <w:tblStylePr w:type="lastRow">
      <w:rPr>
        <w:b/>
        <w:bCs/>
      </w:rPr>
      <w:tblPr/>
      <w:tcPr>
        <w:tcBorders>
          <w:top w:val="double" w:sz="4" w:space="0" w:color="25FFB8" w:themeColor="accent2" w:themeTint="99"/>
        </w:tcBorders>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F1D112" w:themeColor="accent3" w:themeShade="BF"/>
    </w:rPr>
    <w:tblPr>
      <w:tblStyleRowBandSize w:val="1"/>
      <w:tblStyleColBandSize w:val="1"/>
      <w:tblBorders>
        <w:top w:val="single" w:sz="4" w:space="0" w:color="F9EDA2" w:themeColor="accent3" w:themeTint="99"/>
        <w:left w:val="single" w:sz="4" w:space="0" w:color="F9EDA2" w:themeColor="accent3" w:themeTint="99"/>
        <w:bottom w:val="single" w:sz="4" w:space="0" w:color="F9EDA2" w:themeColor="accent3" w:themeTint="99"/>
        <w:right w:val="single" w:sz="4" w:space="0" w:color="F9EDA2" w:themeColor="accent3" w:themeTint="99"/>
        <w:insideH w:val="single" w:sz="4" w:space="0" w:color="F9EDA2" w:themeColor="accent3" w:themeTint="99"/>
        <w:insideV w:val="single" w:sz="4" w:space="0" w:color="F9EDA2" w:themeColor="accent3" w:themeTint="99"/>
      </w:tblBorders>
    </w:tblPr>
    <w:tblStylePr w:type="firstRow">
      <w:rPr>
        <w:b/>
        <w:bCs/>
      </w:rPr>
      <w:tblPr/>
      <w:tcPr>
        <w:tcBorders>
          <w:bottom w:val="single" w:sz="12" w:space="0" w:color="F9EDA2" w:themeColor="accent3" w:themeTint="99"/>
        </w:tcBorders>
      </w:tcPr>
    </w:tblStylePr>
    <w:tblStylePr w:type="lastRow">
      <w:rPr>
        <w:b/>
        <w:bCs/>
      </w:rPr>
      <w:tblPr/>
      <w:tcPr>
        <w:tcBorders>
          <w:top w:val="double" w:sz="4" w:space="0" w:color="F9EDA2" w:themeColor="accent3" w:themeTint="99"/>
        </w:tcBorders>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FF9E19" w:themeColor="accent4" w:themeShade="BF"/>
    </w:rPr>
    <w:tblPr>
      <w:tblStyleRowBandSize w:val="1"/>
      <w:tblStyleColBandSize w:val="1"/>
      <w:tblBorders>
        <w:top w:val="single" w:sz="4" w:space="0" w:color="FFDCAD" w:themeColor="accent4" w:themeTint="99"/>
        <w:left w:val="single" w:sz="4" w:space="0" w:color="FFDCAD" w:themeColor="accent4" w:themeTint="99"/>
        <w:bottom w:val="single" w:sz="4" w:space="0" w:color="FFDCAD" w:themeColor="accent4" w:themeTint="99"/>
        <w:right w:val="single" w:sz="4" w:space="0" w:color="FFDCAD" w:themeColor="accent4" w:themeTint="99"/>
        <w:insideH w:val="single" w:sz="4" w:space="0" w:color="FFDCAD" w:themeColor="accent4" w:themeTint="99"/>
        <w:insideV w:val="single" w:sz="4" w:space="0" w:color="FFDCAD" w:themeColor="accent4" w:themeTint="99"/>
      </w:tblBorders>
    </w:tblPr>
    <w:tblStylePr w:type="firstRow">
      <w:rPr>
        <w:b/>
        <w:bCs/>
      </w:rPr>
      <w:tblPr/>
      <w:tcPr>
        <w:tcBorders>
          <w:bottom w:val="single" w:sz="12" w:space="0" w:color="FFDCAD" w:themeColor="accent4" w:themeTint="99"/>
        </w:tcBorders>
      </w:tcPr>
    </w:tblStylePr>
    <w:tblStylePr w:type="lastRow">
      <w:rPr>
        <w:b/>
        <w:bCs/>
      </w:rPr>
      <w:tblPr/>
      <w:tcPr>
        <w:tcBorders>
          <w:top w:val="double" w:sz="4" w:space="0" w:color="FFDCAD" w:themeColor="accent4" w:themeTint="99"/>
        </w:tcBorders>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E54E00" w:themeColor="accent5" w:themeShade="BF"/>
    </w:rPr>
    <w:tblPr>
      <w:tblStyleRowBandSize w:val="1"/>
      <w:tblStyleColBandSize w:val="1"/>
      <w:tblBorders>
        <w:top w:val="single" w:sz="4" w:space="0" w:color="FFAE85" w:themeColor="accent5" w:themeTint="99"/>
        <w:left w:val="single" w:sz="4" w:space="0" w:color="FFAE85" w:themeColor="accent5" w:themeTint="99"/>
        <w:bottom w:val="single" w:sz="4" w:space="0" w:color="FFAE85" w:themeColor="accent5" w:themeTint="99"/>
        <w:right w:val="single" w:sz="4" w:space="0" w:color="FFAE85" w:themeColor="accent5" w:themeTint="99"/>
        <w:insideH w:val="single" w:sz="4" w:space="0" w:color="FFAE85" w:themeColor="accent5" w:themeTint="99"/>
        <w:insideV w:val="single" w:sz="4" w:space="0" w:color="FFAE85" w:themeColor="accent5" w:themeTint="99"/>
      </w:tblBorders>
    </w:tblPr>
    <w:tblStylePr w:type="firstRow">
      <w:rPr>
        <w:b/>
        <w:bCs/>
      </w:rPr>
      <w:tblPr/>
      <w:tcPr>
        <w:tcBorders>
          <w:bottom w:val="single" w:sz="12" w:space="0" w:color="FFAE85" w:themeColor="accent5" w:themeTint="99"/>
        </w:tcBorders>
      </w:tcPr>
    </w:tblStylePr>
    <w:tblStylePr w:type="lastRow">
      <w:rPr>
        <w:b/>
        <w:bCs/>
      </w:rPr>
      <w:tblPr/>
      <w:tcPr>
        <w:tcBorders>
          <w:top w:val="double" w:sz="4" w:space="0" w:color="FFAE85" w:themeColor="accent5" w:themeTint="99"/>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D31020" w:themeColor="accent6" w:themeShade="BF"/>
    </w:rPr>
    <w:tblPr>
      <w:tblStyleRowBandSize w:val="1"/>
      <w:tblStyleColBandSize w:val="1"/>
      <w:tblBorders>
        <w:top w:val="single" w:sz="4" w:space="0" w:color="F68C95" w:themeColor="accent6" w:themeTint="99"/>
        <w:left w:val="single" w:sz="4" w:space="0" w:color="F68C95" w:themeColor="accent6" w:themeTint="99"/>
        <w:bottom w:val="single" w:sz="4" w:space="0" w:color="F68C95" w:themeColor="accent6" w:themeTint="99"/>
        <w:right w:val="single" w:sz="4" w:space="0" w:color="F68C95" w:themeColor="accent6" w:themeTint="99"/>
        <w:insideH w:val="single" w:sz="4" w:space="0" w:color="F68C95" w:themeColor="accent6" w:themeTint="99"/>
        <w:insideV w:val="single" w:sz="4" w:space="0" w:color="F68C95" w:themeColor="accent6" w:themeTint="99"/>
      </w:tblBorders>
    </w:tblPr>
    <w:tblStylePr w:type="firstRow">
      <w:rPr>
        <w:b/>
        <w:bCs/>
      </w:rPr>
      <w:tblPr/>
      <w:tcPr>
        <w:tcBorders>
          <w:bottom w:val="single" w:sz="12" w:space="0" w:color="F68C95" w:themeColor="accent6" w:themeTint="99"/>
        </w:tcBorders>
      </w:tcPr>
    </w:tblStylePr>
    <w:tblStylePr w:type="lastRow">
      <w:rPr>
        <w:b/>
        <w:bCs/>
      </w:rPr>
      <w:tblPr/>
      <w:tcPr>
        <w:tcBorders>
          <w:top w:val="double" w:sz="4" w:space="0" w:color="F68C95" w:themeColor="accent6" w:themeTint="99"/>
        </w:tcBorders>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0C2B28" w:themeColor="accent1" w:themeShade="BF"/>
    </w:rPr>
    <w:tblPr>
      <w:tblStyleRowBandSize w:val="1"/>
      <w:tblStyleColBandSize w:val="1"/>
      <w:tblBorders>
        <w:top w:val="single" w:sz="4" w:space="0" w:color="35C2B4" w:themeColor="accent1" w:themeTint="99"/>
        <w:left w:val="single" w:sz="4" w:space="0" w:color="35C2B4" w:themeColor="accent1" w:themeTint="99"/>
        <w:bottom w:val="single" w:sz="4" w:space="0" w:color="35C2B4" w:themeColor="accent1" w:themeTint="99"/>
        <w:right w:val="single" w:sz="4" w:space="0" w:color="35C2B4" w:themeColor="accent1" w:themeTint="99"/>
        <w:insideH w:val="single" w:sz="4" w:space="0" w:color="35C2B4" w:themeColor="accent1" w:themeTint="99"/>
        <w:insideV w:val="single" w:sz="4" w:space="0" w:color="35C2B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CE7" w:themeFill="accent1" w:themeFillTint="33"/>
      </w:tcPr>
    </w:tblStylePr>
    <w:tblStylePr w:type="band1Horz">
      <w:tblPr/>
      <w:tcPr>
        <w:shd w:val="clear" w:color="auto" w:fill="BAECE7" w:themeFill="accent1" w:themeFillTint="33"/>
      </w:tcPr>
    </w:tblStylePr>
    <w:tblStylePr w:type="neCell">
      <w:tblPr/>
      <w:tcPr>
        <w:tcBorders>
          <w:bottom w:val="single" w:sz="4" w:space="0" w:color="35C2B4" w:themeColor="accent1" w:themeTint="99"/>
        </w:tcBorders>
      </w:tcPr>
    </w:tblStylePr>
    <w:tblStylePr w:type="nwCell">
      <w:tblPr/>
      <w:tcPr>
        <w:tcBorders>
          <w:bottom w:val="single" w:sz="4" w:space="0" w:color="35C2B4" w:themeColor="accent1" w:themeTint="99"/>
        </w:tcBorders>
      </w:tcPr>
    </w:tblStylePr>
    <w:tblStylePr w:type="seCell">
      <w:tblPr/>
      <w:tcPr>
        <w:tcBorders>
          <w:top w:val="single" w:sz="4" w:space="0" w:color="35C2B4" w:themeColor="accent1" w:themeTint="99"/>
        </w:tcBorders>
      </w:tcPr>
    </w:tblStylePr>
    <w:tblStylePr w:type="swCell">
      <w:tblPr/>
      <w:tcPr>
        <w:tcBorders>
          <w:top w:val="single" w:sz="4" w:space="0" w:color="35C2B4"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006E4A" w:themeColor="accent2" w:themeShade="BF"/>
    </w:rPr>
    <w:tblPr>
      <w:tblStyleRowBandSize w:val="1"/>
      <w:tblStyleColBandSize w:val="1"/>
      <w:tblBorders>
        <w:top w:val="single" w:sz="4" w:space="0" w:color="25FFB8" w:themeColor="accent2" w:themeTint="99"/>
        <w:left w:val="single" w:sz="4" w:space="0" w:color="25FFB8" w:themeColor="accent2" w:themeTint="99"/>
        <w:bottom w:val="single" w:sz="4" w:space="0" w:color="25FFB8" w:themeColor="accent2" w:themeTint="99"/>
        <w:right w:val="single" w:sz="4" w:space="0" w:color="25FFB8" w:themeColor="accent2" w:themeTint="99"/>
        <w:insideH w:val="single" w:sz="4" w:space="0" w:color="25FFB8" w:themeColor="accent2" w:themeTint="99"/>
        <w:insideV w:val="single" w:sz="4" w:space="0" w:color="25FF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FFE7" w:themeFill="accent2" w:themeFillTint="33"/>
      </w:tcPr>
    </w:tblStylePr>
    <w:tblStylePr w:type="band1Horz">
      <w:tblPr/>
      <w:tcPr>
        <w:shd w:val="clear" w:color="auto" w:fill="B6FFE7" w:themeFill="accent2" w:themeFillTint="33"/>
      </w:tcPr>
    </w:tblStylePr>
    <w:tblStylePr w:type="neCell">
      <w:tblPr/>
      <w:tcPr>
        <w:tcBorders>
          <w:bottom w:val="single" w:sz="4" w:space="0" w:color="25FFB8" w:themeColor="accent2" w:themeTint="99"/>
        </w:tcBorders>
      </w:tcPr>
    </w:tblStylePr>
    <w:tblStylePr w:type="nwCell">
      <w:tblPr/>
      <w:tcPr>
        <w:tcBorders>
          <w:bottom w:val="single" w:sz="4" w:space="0" w:color="25FFB8" w:themeColor="accent2" w:themeTint="99"/>
        </w:tcBorders>
      </w:tcPr>
    </w:tblStylePr>
    <w:tblStylePr w:type="seCell">
      <w:tblPr/>
      <w:tcPr>
        <w:tcBorders>
          <w:top w:val="single" w:sz="4" w:space="0" w:color="25FFB8" w:themeColor="accent2" w:themeTint="99"/>
        </w:tcBorders>
      </w:tcPr>
    </w:tblStylePr>
    <w:tblStylePr w:type="swCell">
      <w:tblPr/>
      <w:tcPr>
        <w:tcBorders>
          <w:top w:val="single" w:sz="4" w:space="0" w:color="25FFB8"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F1D112" w:themeColor="accent3" w:themeShade="BF"/>
    </w:rPr>
    <w:tblPr>
      <w:tblStyleRowBandSize w:val="1"/>
      <w:tblStyleColBandSize w:val="1"/>
      <w:tblBorders>
        <w:top w:val="single" w:sz="4" w:space="0" w:color="F9EDA2" w:themeColor="accent3" w:themeTint="99"/>
        <w:left w:val="single" w:sz="4" w:space="0" w:color="F9EDA2" w:themeColor="accent3" w:themeTint="99"/>
        <w:bottom w:val="single" w:sz="4" w:space="0" w:color="F9EDA2" w:themeColor="accent3" w:themeTint="99"/>
        <w:right w:val="single" w:sz="4" w:space="0" w:color="F9EDA2" w:themeColor="accent3" w:themeTint="99"/>
        <w:insideH w:val="single" w:sz="4" w:space="0" w:color="F9EDA2" w:themeColor="accent3" w:themeTint="99"/>
        <w:insideV w:val="single" w:sz="4" w:space="0" w:color="F9EDA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E0" w:themeFill="accent3" w:themeFillTint="33"/>
      </w:tcPr>
    </w:tblStylePr>
    <w:tblStylePr w:type="band1Horz">
      <w:tblPr/>
      <w:tcPr>
        <w:shd w:val="clear" w:color="auto" w:fill="FDF9E0" w:themeFill="accent3" w:themeFillTint="33"/>
      </w:tcPr>
    </w:tblStylePr>
    <w:tblStylePr w:type="neCell">
      <w:tblPr/>
      <w:tcPr>
        <w:tcBorders>
          <w:bottom w:val="single" w:sz="4" w:space="0" w:color="F9EDA2" w:themeColor="accent3" w:themeTint="99"/>
        </w:tcBorders>
      </w:tcPr>
    </w:tblStylePr>
    <w:tblStylePr w:type="nwCell">
      <w:tblPr/>
      <w:tcPr>
        <w:tcBorders>
          <w:bottom w:val="single" w:sz="4" w:space="0" w:color="F9EDA2" w:themeColor="accent3" w:themeTint="99"/>
        </w:tcBorders>
      </w:tcPr>
    </w:tblStylePr>
    <w:tblStylePr w:type="seCell">
      <w:tblPr/>
      <w:tcPr>
        <w:tcBorders>
          <w:top w:val="single" w:sz="4" w:space="0" w:color="F9EDA2" w:themeColor="accent3" w:themeTint="99"/>
        </w:tcBorders>
      </w:tcPr>
    </w:tblStylePr>
    <w:tblStylePr w:type="swCell">
      <w:tblPr/>
      <w:tcPr>
        <w:tcBorders>
          <w:top w:val="single" w:sz="4" w:space="0" w:color="F9EDA2"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FF9E19" w:themeColor="accent4" w:themeShade="BF"/>
    </w:rPr>
    <w:tblPr>
      <w:tblStyleRowBandSize w:val="1"/>
      <w:tblStyleColBandSize w:val="1"/>
      <w:tblBorders>
        <w:top w:val="single" w:sz="4" w:space="0" w:color="FFDCAD" w:themeColor="accent4" w:themeTint="99"/>
        <w:left w:val="single" w:sz="4" w:space="0" w:color="FFDCAD" w:themeColor="accent4" w:themeTint="99"/>
        <w:bottom w:val="single" w:sz="4" w:space="0" w:color="FFDCAD" w:themeColor="accent4" w:themeTint="99"/>
        <w:right w:val="single" w:sz="4" w:space="0" w:color="FFDCAD" w:themeColor="accent4" w:themeTint="99"/>
        <w:insideH w:val="single" w:sz="4" w:space="0" w:color="FFDCAD" w:themeColor="accent4" w:themeTint="99"/>
        <w:insideV w:val="single" w:sz="4" w:space="0" w:color="FFDC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E3" w:themeFill="accent4" w:themeFillTint="33"/>
      </w:tcPr>
    </w:tblStylePr>
    <w:tblStylePr w:type="band1Horz">
      <w:tblPr/>
      <w:tcPr>
        <w:shd w:val="clear" w:color="auto" w:fill="FFF3E3" w:themeFill="accent4" w:themeFillTint="33"/>
      </w:tcPr>
    </w:tblStylePr>
    <w:tblStylePr w:type="neCell">
      <w:tblPr/>
      <w:tcPr>
        <w:tcBorders>
          <w:bottom w:val="single" w:sz="4" w:space="0" w:color="FFDCAD" w:themeColor="accent4" w:themeTint="99"/>
        </w:tcBorders>
      </w:tcPr>
    </w:tblStylePr>
    <w:tblStylePr w:type="nwCell">
      <w:tblPr/>
      <w:tcPr>
        <w:tcBorders>
          <w:bottom w:val="single" w:sz="4" w:space="0" w:color="FFDCAD" w:themeColor="accent4" w:themeTint="99"/>
        </w:tcBorders>
      </w:tcPr>
    </w:tblStylePr>
    <w:tblStylePr w:type="seCell">
      <w:tblPr/>
      <w:tcPr>
        <w:tcBorders>
          <w:top w:val="single" w:sz="4" w:space="0" w:color="FFDCAD" w:themeColor="accent4" w:themeTint="99"/>
        </w:tcBorders>
      </w:tcPr>
    </w:tblStylePr>
    <w:tblStylePr w:type="swCell">
      <w:tblPr/>
      <w:tcPr>
        <w:tcBorders>
          <w:top w:val="single" w:sz="4" w:space="0" w:color="FFDCAD"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E54E00" w:themeColor="accent5" w:themeShade="BF"/>
    </w:rPr>
    <w:tblPr>
      <w:tblStyleRowBandSize w:val="1"/>
      <w:tblStyleColBandSize w:val="1"/>
      <w:tblBorders>
        <w:top w:val="single" w:sz="4" w:space="0" w:color="FFAE85" w:themeColor="accent5" w:themeTint="99"/>
        <w:left w:val="single" w:sz="4" w:space="0" w:color="FFAE85" w:themeColor="accent5" w:themeTint="99"/>
        <w:bottom w:val="single" w:sz="4" w:space="0" w:color="FFAE85" w:themeColor="accent5" w:themeTint="99"/>
        <w:right w:val="single" w:sz="4" w:space="0" w:color="FFAE85" w:themeColor="accent5" w:themeTint="99"/>
        <w:insideH w:val="single" w:sz="4" w:space="0" w:color="FFAE85" w:themeColor="accent5" w:themeTint="99"/>
        <w:insideV w:val="single" w:sz="4" w:space="0" w:color="FFAE8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4D6" w:themeFill="accent5" w:themeFillTint="33"/>
      </w:tcPr>
    </w:tblStylePr>
    <w:tblStylePr w:type="band1Horz">
      <w:tblPr/>
      <w:tcPr>
        <w:shd w:val="clear" w:color="auto" w:fill="FFE4D6" w:themeFill="accent5" w:themeFillTint="33"/>
      </w:tcPr>
    </w:tblStylePr>
    <w:tblStylePr w:type="neCell">
      <w:tblPr/>
      <w:tcPr>
        <w:tcBorders>
          <w:bottom w:val="single" w:sz="4" w:space="0" w:color="FFAE85" w:themeColor="accent5" w:themeTint="99"/>
        </w:tcBorders>
      </w:tcPr>
    </w:tblStylePr>
    <w:tblStylePr w:type="nwCell">
      <w:tblPr/>
      <w:tcPr>
        <w:tcBorders>
          <w:bottom w:val="single" w:sz="4" w:space="0" w:color="FFAE85" w:themeColor="accent5" w:themeTint="99"/>
        </w:tcBorders>
      </w:tcPr>
    </w:tblStylePr>
    <w:tblStylePr w:type="seCell">
      <w:tblPr/>
      <w:tcPr>
        <w:tcBorders>
          <w:top w:val="single" w:sz="4" w:space="0" w:color="FFAE85" w:themeColor="accent5" w:themeTint="99"/>
        </w:tcBorders>
      </w:tcPr>
    </w:tblStylePr>
    <w:tblStylePr w:type="swCell">
      <w:tblPr/>
      <w:tcPr>
        <w:tcBorders>
          <w:top w:val="single" w:sz="4" w:space="0" w:color="FFAE85"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D31020" w:themeColor="accent6" w:themeShade="BF"/>
    </w:rPr>
    <w:tblPr>
      <w:tblStyleRowBandSize w:val="1"/>
      <w:tblStyleColBandSize w:val="1"/>
      <w:tblBorders>
        <w:top w:val="single" w:sz="4" w:space="0" w:color="F68C95" w:themeColor="accent6" w:themeTint="99"/>
        <w:left w:val="single" w:sz="4" w:space="0" w:color="F68C95" w:themeColor="accent6" w:themeTint="99"/>
        <w:bottom w:val="single" w:sz="4" w:space="0" w:color="F68C95" w:themeColor="accent6" w:themeTint="99"/>
        <w:right w:val="single" w:sz="4" w:space="0" w:color="F68C95" w:themeColor="accent6" w:themeTint="99"/>
        <w:insideH w:val="single" w:sz="4" w:space="0" w:color="F68C95" w:themeColor="accent6" w:themeTint="99"/>
        <w:insideV w:val="single" w:sz="4" w:space="0" w:color="F68C9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B" w:themeFill="accent6" w:themeFillTint="33"/>
      </w:tcPr>
    </w:tblStylePr>
    <w:tblStylePr w:type="band1Horz">
      <w:tblPr/>
      <w:tcPr>
        <w:shd w:val="clear" w:color="auto" w:fill="FCD8DB" w:themeFill="accent6" w:themeFillTint="33"/>
      </w:tcPr>
    </w:tblStylePr>
    <w:tblStylePr w:type="neCell">
      <w:tblPr/>
      <w:tcPr>
        <w:tcBorders>
          <w:bottom w:val="single" w:sz="4" w:space="0" w:color="F68C95" w:themeColor="accent6" w:themeTint="99"/>
        </w:tcBorders>
      </w:tcPr>
    </w:tblStylePr>
    <w:tblStylePr w:type="nwCell">
      <w:tblPr/>
      <w:tcPr>
        <w:tcBorders>
          <w:bottom w:val="single" w:sz="4" w:space="0" w:color="F68C95" w:themeColor="accent6" w:themeTint="99"/>
        </w:tcBorders>
      </w:tcPr>
    </w:tblStylePr>
    <w:tblStylePr w:type="seCell">
      <w:tblPr/>
      <w:tcPr>
        <w:tcBorders>
          <w:top w:val="single" w:sz="4" w:space="0" w:color="F68C95" w:themeColor="accent6" w:themeTint="99"/>
        </w:tcBorders>
      </w:tcPr>
    </w:tblStylePr>
    <w:tblStylePr w:type="swCell">
      <w:tblPr/>
      <w:tcPr>
        <w:tcBorders>
          <w:top w:val="single" w:sz="4" w:space="0" w:color="F68C95"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103A36" w:themeColor="accent1"/>
        <w:left w:val="single" w:sz="8" w:space="0" w:color="103A36" w:themeColor="accent1"/>
        <w:bottom w:val="single" w:sz="8" w:space="0" w:color="103A36" w:themeColor="accent1"/>
        <w:right w:val="single" w:sz="8" w:space="0" w:color="103A36" w:themeColor="accent1"/>
        <w:insideH w:val="single" w:sz="8" w:space="0" w:color="103A36" w:themeColor="accent1"/>
        <w:insideV w:val="single" w:sz="8" w:space="0" w:color="103A3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3A36" w:themeColor="accent1"/>
          <w:left w:val="single" w:sz="8" w:space="0" w:color="103A36" w:themeColor="accent1"/>
          <w:bottom w:val="single" w:sz="18" w:space="0" w:color="103A36" w:themeColor="accent1"/>
          <w:right w:val="single" w:sz="8" w:space="0" w:color="103A36" w:themeColor="accent1"/>
          <w:insideH w:val="nil"/>
          <w:insideV w:val="single" w:sz="8" w:space="0" w:color="103A3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3A36" w:themeColor="accent1"/>
          <w:left w:val="single" w:sz="8" w:space="0" w:color="103A36" w:themeColor="accent1"/>
          <w:bottom w:val="single" w:sz="8" w:space="0" w:color="103A36" w:themeColor="accent1"/>
          <w:right w:val="single" w:sz="8" w:space="0" w:color="103A36" w:themeColor="accent1"/>
          <w:insideH w:val="nil"/>
          <w:insideV w:val="single" w:sz="8" w:space="0" w:color="103A3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3A36" w:themeColor="accent1"/>
          <w:left w:val="single" w:sz="8" w:space="0" w:color="103A36" w:themeColor="accent1"/>
          <w:bottom w:val="single" w:sz="8" w:space="0" w:color="103A36" w:themeColor="accent1"/>
          <w:right w:val="single" w:sz="8" w:space="0" w:color="103A36" w:themeColor="accent1"/>
        </w:tcBorders>
      </w:tcPr>
    </w:tblStylePr>
    <w:tblStylePr w:type="band1Vert">
      <w:tblPr/>
      <w:tcPr>
        <w:tcBorders>
          <w:top w:val="single" w:sz="8" w:space="0" w:color="103A36" w:themeColor="accent1"/>
          <w:left w:val="single" w:sz="8" w:space="0" w:color="103A36" w:themeColor="accent1"/>
          <w:bottom w:val="single" w:sz="8" w:space="0" w:color="103A36" w:themeColor="accent1"/>
          <w:right w:val="single" w:sz="8" w:space="0" w:color="103A36" w:themeColor="accent1"/>
        </w:tcBorders>
        <w:shd w:val="clear" w:color="auto" w:fill="AAE7E1" w:themeFill="accent1" w:themeFillTint="3F"/>
      </w:tcPr>
    </w:tblStylePr>
    <w:tblStylePr w:type="band1Horz">
      <w:tblPr/>
      <w:tcPr>
        <w:tcBorders>
          <w:top w:val="single" w:sz="8" w:space="0" w:color="103A36" w:themeColor="accent1"/>
          <w:left w:val="single" w:sz="8" w:space="0" w:color="103A36" w:themeColor="accent1"/>
          <w:bottom w:val="single" w:sz="8" w:space="0" w:color="103A36" w:themeColor="accent1"/>
          <w:right w:val="single" w:sz="8" w:space="0" w:color="103A36" w:themeColor="accent1"/>
          <w:insideV w:val="single" w:sz="8" w:space="0" w:color="103A36" w:themeColor="accent1"/>
        </w:tcBorders>
        <w:shd w:val="clear" w:color="auto" w:fill="AAE7E1" w:themeFill="accent1" w:themeFillTint="3F"/>
      </w:tcPr>
    </w:tblStylePr>
    <w:tblStylePr w:type="band2Horz">
      <w:tblPr/>
      <w:tcPr>
        <w:tcBorders>
          <w:top w:val="single" w:sz="8" w:space="0" w:color="103A36" w:themeColor="accent1"/>
          <w:left w:val="single" w:sz="8" w:space="0" w:color="103A36" w:themeColor="accent1"/>
          <w:bottom w:val="single" w:sz="8" w:space="0" w:color="103A36" w:themeColor="accent1"/>
          <w:right w:val="single" w:sz="8" w:space="0" w:color="103A36" w:themeColor="accent1"/>
          <w:insideV w:val="single" w:sz="8" w:space="0" w:color="103A36"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009364" w:themeColor="accent2"/>
        <w:left w:val="single" w:sz="8" w:space="0" w:color="009364" w:themeColor="accent2"/>
        <w:bottom w:val="single" w:sz="8" w:space="0" w:color="009364" w:themeColor="accent2"/>
        <w:right w:val="single" w:sz="8" w:space="0" w:color="009364" w:themeColor="accent2"/>
        <w:insideH w:val="single" w:sz="8" w:space="0" w:color="009364" w:themeColor="accent2"/>
        <w:insideV w:val="single" w:sz="8" w:space="0" w:color="00936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364" w:themeColor="accent2"/>
          <w:left w:val="single" w:sz="8" w:space="0" w:color="009364" w:themeColor="accent2"/>
          <w:bottom w:val="single" w:sz="18" w:space="0" w:color="009364" w:themeColor="accent2"/>
          <w:right w:val="single" w:sz="8" w:space="0" w:color="009364" w:themeColor="accent2"/>
          <w:insideH w:val="nil"/>
          <w:insideV w:val="single" w:sz="8" w:space="0" w:color="00936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364" w:themeColor="accent2"/>
          <w:left w:val="single" w:sz="8" w:space="0" w:color="009364" w:themeColor="accent2"/>
          <w:bottom w:val="single" w:sz="8" w:space="0" w:color="009364" w:themeColor="accent2"/>
          <w:right w:val="single" w:sz="8" w:space="0" w:color="009364" w:themeColor="accent2"/>
          <w:insideH w:val="nil"/>
          <w:insideV w:val="single" w:sz="8" w:space="0" w:color="00936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364" w:themeColor="accent2"/>
          <w:left w:val="single" w:sz="8" w:space="0" w:color="009364" w:themeColor="accent2"/>
          <w:bottom w:val="single" w:sz="8" w:space="0" w:color="009364" w:themeColor="accent2"/>
          <w:right w:val="single" w:sz="8" w:space="0" w:color="009364" w:themeColor="accent2"/>
        </w:tcBorders>
      </w:tcPr>
    </w:tblStylePr>
    <w:tblStylePr w:type="band1Vert">
      <w:tblPr/>
      <w:tcPr>
        <w:tcBorders>
          <w:top w:val="single" w:sz="8" w:space="0" w:color="009364" w:themeColor="accent2"/>
          <w:left w:val="single" w:sz="8" w:space="0" w:color="009364" w:themeColor="accent2"/>
          <w:bottom w:val="single" w:sz="8" w:space="0" w:color="009364" w:themeColor="accent2"/>
          <w:right w:val="single" w:sz="8" w:space="0" w:color="009364" w:themeColor="accent2"/>
        </w:tcBorders>
        <w:shd w:val="clear" w:color="auto" w:fill="A5FFE2" w:themeFill="accent2" w:themeFillTint="3F"/>
      </w:tcPr>
    </w:tblStylePr>
    <w:tblStylePr w:type="band1Horz">
      <w:tblPr/>
      <w:tcPr>
        <w:tcBorders>
          <w:top w:val="single" w:sz="8" w:space="0" w:color="009364" w:themeColor="accent2"/>
          <w:left w:val="single" w:sz="8" w:space="0" w:color="009364" w:themeColor="accent2"/>
          <w:bottom w:val="single" w:sz="8" w:space="0" w:color="009364" w:themeColor="accent2"/>
          <w:right w:val="single" w:sz="8" w:space="0" w:color="009364" w:themeColor="accent2"/>
          <w:insideV w:val="single" w:sz="8" w:space="0" w:color="009364" w:themeColor="accent2"/>
        </w:tcBorders>
        <w:shd w:val="clear" w:color="auto" w:fill="A5FFE2" w:themeFill="accent2" w:themeFillTint="3F"/>
      </w:tcPr>
    </w:tblStylePr>
    <w:tblStylePr w:type="band2Horz">
      <w:tblPr/>
      <w:tcPr>
        <w:tcBorders>
          <w:top w:val="single" w:sz="8" w:space="0" w:color="009364" w:themeColor="accent2"/>
          <w:left w:val="single" w:sz="8" w:space="0" w:color="009364" w:themeColor="accent2"/>
          <w:bottom w:val="single" w:sz="8" w:space="0" w:color="009364" w:themeColor="accent2"/>
          <w:right w:val="single" w:sz="8" w:space="0" w:color="009364" w:themeColor="accent2"/>
          <w:insideV w:val="single" w:sz="8" w:space="0" w:color="009364"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F6E265" w:themeColor="accent3"/>
        <w:left w:val="single" w:sz="8" w:space="0" w:color="F6E265" w:themeColor="accent3"/>
        <w:bottom w:val="single" w:sz="8" w:space="0" w:color="F6E265" w:themeColor="accent3"/>
        <w:right w:val="single" w:sz="8" w:space="0" w:color="F6E265" w:themeColor="accent3"/>
        <w:insideH w:val="single" w:sz="8" w:space="0" w:color="F6E265" w:themeColor="accent3"/>
        <w:insideV w:val="single" w:sz="8" w:space="0" w:color="F6E26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265" w:themeColor="accent3"/>
          <w:left w:val="single" w:sz="8" w:space="0" w:color="F6E265" w:themeColor="accent3"/>
          <w:bottom w:val="single" w:sz="18" w:space="0" w:color="F6E265" w:themeColor="accent3"/>
          <w:right w:val="single" w:sz="8" w:space="0" w:color="F6E265" w:themeColor="accent3"/>
          <w:insideH w:val="nil"/>
          <w:insideV w:val="single" w:sz="8" w:space="0" w:color="F6E26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265" w:themeColor="accent3"/>
          <w:left w:val="single" w:sz="8" w:space="0" w:color="F6E265" w:themeColor="accent3"/>
          <w:bottom w:val="single" w:sz="8" w:space="0" w:color="F6E265" w:themeColor="accent3"/>
          <w:right w:val="single" w:sz="8" w:space="0" w:color="F6E265" w:themeColor="accent3"/>
          <w:insideH w:val="nil"/>
          <w:insideV w:val="single" w:sz="8" w:space="0" w:color="F6E26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265" w:themeColor="accent3"/>
          <w:left w:val="single" w:sz="8" w:space="0" w:color="F6E265" w:themeColor="accent3"/>
          <w:bottom w:val="single" w:sz="8" w:space="0" w:color="F6E265" w:themeColor="accent3"/>
          <w:right w:val="single" w:sz="8" w:space="0" w:color="F6E265" w:themeColor="accent3"/>
        </w:tcBorders>
      </w:tcPr>
    </w:tblStylePr>
    <w:tblStylePr w:type="band1Vert">
      <w:tblPr/>
      <w:tcPr>
        <w:tcBorders>
          <w:top w:val="single" w:sz="8" w:space="0" w:color="F6E265" w:themeColor="accent3"/>
          <w:left w:val="single" w:sz="8" w:space="0" w:color="F6E265" w:themeColor="accent3"/>
          <w:bottom w:val="single" w:sz="8" w:space="0" w:color="F6E265" w:themeColor="accent3"/>
          <w:right w:val="single" w:sz="8" w:space="0" w:color="F6E265" w:themeColor="accent3"/>
        </w:tcBorders>
        <w:shd w:val="clear" w:color="auto" w:fill="FCF7D8" w:themeFill="accent3" w:themeFillTint="3F"/>
      </w:tcPr>
    </w:tblStylePr>
    <w:tblStylePr w:type="band1Horz">
      <w:tblPr/>
      <w:tcPr>
        <w:tcBorders>
          <w:top w:val="single" w:sz="8" w:space="0" w:color="F6E265" w:themeColor="accent3"/>
          <w:left w:val="single" w:sz="8" w:space="0" w:color="F6E265" w:themeColor="accent3"/>
          <w:bottom w:val="single" w:sz="8" w:space="0" w:color="F6E265" w:themeColor="accent3"/>
          <w:right w:val="single" w:sz="8" w:space="0" w:color="F6E265" w:themeColor="accent3"/>
          <w:insideV w:val="single" w:sz="8" w:space="0" w:color="F6E265" w:themeColor="accent3"/>
        </w:tcBorders>
        <w:shd w:val="clear" w:color="auto" w:fill="FCF7D8" w:themeFill="accent3" w:themeFillTint="3F"/>
      </w:tcPr>
    </w:tblStylePr>
    <w:tblStylePr w:type="band2Horz">
      <w:tblPr/>
      <w:tcPr>
        <w:tcBorders>
          <w:top w:val="single" w:sz="8" w:space="0" w:color="F6E265" w:themeColor="accent3"/>
          <w:left w:val="single" w:sz="8" w:space="0" w:color="F6E265" w:themeColor="accent3"/>
          <w:bottom w:val="single" w:sz="8" w:space="0" w:color="F6E265" w:themeColor="accent3"/>
          <w:right w:val="single" w:sz="8" w:space="0" w:color="F6E265" w:themeColor="accent3"/>
          <w:insideV w:val="single" w:sz="8" w:space="0" w:color="F6E265"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FFC677" w:themeColor="accent4"/>
        <w:left w:val="single" w:sz="8" w:space="0" w:color="FFC677" w:themeColor="accent4"/>
        <w:bottom w:val="single" w:sz="8" w:space="0" w:color="FFC677" w:themeColor="accent4"/>
        <w:right w:val="single" w:sz="8" w:space="0" w:color="FFC677" w:themeColor="accent4"/>
        <w:insideH w:val="single" w:sz="8" w:space="0" w:color="FFC677" w:themeColor="accent4"/>
        <w:insideV w:val="single" w:sz="8" w:space="0" w:color="FFC6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77" w:themeColor="accent4"/>
          <w:left w:val="single" w:sz="8" w:space="0" w:color="FFC677" w:themeColor="accent4"/>
          <w:bottom w:val="single" w:sz="18" w:space="0" w:color="FFC677" w:themeColor="accent4"/>
          <w:right w:val="single" w:sz="8" w:space="0" w:color="FFC677" w:themeColor="accent4"/>
          <w:insideH w:val="nil"/>
          <w:insideV w:val="single" w:sz="8" w:space="0" w:color="FFC6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77" w:themeColor="accent4"/>
          <w:left w:val="single" w:sz="8" w:space="0" w:color="FFC677" w:themeColor="accent4"/>
          <w:bottom w:val="single" w:sz="8" w:space="0" w:color="FFC677" w:themeColor="accent4"/>
          <w:right w:val="single" w:sz="8" w:space="0" w:color="FFC677" w:themeColor="accent4"/>
          <w:insideH w:val="nil"/>
          <w:insideV w:val="single" w:sz="8" w:space="0" w:color="FFC6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77" w:themeColor="accent4"/>
          <w:left w:val="single" w:sz="8" w:space="0" w:color="FFC677" w:themeColor="accent4"/>
          <w:bottom w:val="single" w:sz="8" w:space="0" w:color="FFC677" w:themeColor="accent4"/>
          <w:right w:val="single" w:sz="8" w:space="0" w:color="FFC677" w:themeColor="accent4"/>
        </w:tcBorders>
      </w:tcPr>
    </w:tblStylePr>
    <w:tblStylePr w:type="band1Vert">
      <w:tblPr/>
      <w:tcPr>
        <w:tcBorders>
          <w:top w:val="single" w:sz="8" w:space="0" w:color="FFC677" w:themeColor="accent4"/>
          <w:left w:val="single" w:sz="8" w:space="0" w:color="FFC677" w:themeColor="accent4"/>
          <w:bottom w:val="single" w:sz="8" w:space="0" w:color="FFC677" w:themeColor="accent4"/>
          <w:right w:val="single" w:sz="8" w:space="0" w:color="FFC677" w:themeColor="accent4"/>
        </w:tcBorders>
        <w:shd w:val="clear" w:color="auto" w:fill="FFF0DD" w:themeFill="accent4" w:themeFillTint="3F"/>
      </w:tcPr>
    </w:tblStylePr>
    <w:tblStylePr w:type="band1Horz">
      <w:tblPr/>
      <w:tcPr>
        <w:tcBorders>
          <w:top w:val="single" w:sz="8" w:space="0" w:color="FFC677" w:themeColor="accent4"/>
          <w:left w:val="single" w:sz="8" w:space="0" w:color="FFC677" w:themeColor="accent4"/>
          <w:bottom w:val="single" w:sz="8" w:space="0" w:color="FFC677" w:themeColor="accent4"/>
          <w:right w:val="single" w:sz="8" w:space="0" w:color="FFC677" w:themeColor="accent4"/>
          <w:insideV w:val="single" w:sz="8" w:space="0" w:color="FFC677" w:themeColor="accent4"/>
        </w:tcBorders>
        <w:shd w:val="clear" w:color="auto" w:fill="FFF0DD" w:themeFill="accent4" w:themeFillTint="3F"/>
      </w:tcPr>
    </w:tblStylePr>
    <w:tblStylePr w:type="band2Horz">
      <w:tblPr/>
      <w:tcPr>
        <w:tcBorders>
          <w:top w:val="single" w:sz="8" w:space="0" w:color="FFC677" w:themeColor="accent4"/>
          <w:left w:val="single" w:sz="8" w:space="0" w:color="FFC677" w:themeColor="accent4"/>
          <w:bottom w:val="single" w:sz="8" w:space="0" w:color="FFC677" w:themeColor="accent4"/>
          <w:right w:val="single" w:sz="8" w:space="0" w:color="FFC677" w:themeColor="accent4"/>
          <w:insideV w:val="single" w:sz="8" w:space="0" w:color="FFC677"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FF7A34" w:themeColor="accent5"/>
        <w:left w:val="single" w:sz="8" w:space="0" w:color="FF7A34" w:themeColor="accent5"/>
        <w:bottom w:val="single" w:sz="8" w:space="0" w:color="FF7A34" w:themeColor="accent5"/>
        <w:right w:val="single" w:sz="8" w:space="0" w:color="FF7A34" w:themeColor="accent5"/>
        <w:insideH w:val="single" w:sz="8" w:space="0" w:color="FF7A34" w:themeColor="accent5"/>
        <w:insideV w:val="single" w:sz="8" w:space="0" w:color="FF7A3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A34" w:themeColor="accent5"/>
          <w:left w:val="single" w:sz="8" w:space="0" w:color="FF7A34" w:themeColor="accent5"/>
          <w:bottom w:val="single" w:sz="18" w:space="0" w:color="FF7A34" w:themeColor="accent5"/>
          <w:right w:val="single" w:sz="8" w:space="0" w:color="FF7A34" w:themeColor="accent5"/>
          <w:insideH w:val="nil"/>
          <w:insideV w:val="single" w:sz="8" w:space="0" w:color="FF7A3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A34" w:themeColor="accent5"/>
          <w:left w:val="single" w:sz="8" w:space="0" w:color="FF7A34" w:themeColor="accent5"/>
          <w:bottom w:val="single" w:sz="8" w:space="0" w:color="FF7A34" w:themeColor="accent5"/>
          <w:right w:val="single" w:sz="8" w:space="0" w:color="FF7A34" w:themeColor="accent5"/>
          <w:insideH w:val="nil"/>
          <w:insideV w:val="single" w:sz="8" w:space="0" w:color="FF7A3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A34" w:themeColor="accent5"/>
          <w:left w:val="single" w:sz="8" w:space="0" w:color="FF7A34" w:themeColor="accent5"/>
          <w:bottom w:val="single" w:sz="8" w:space="0" w:color="FF7A34" w:themeColor="accent5"/>
          <w:right w:val="single" w:sz="8" w:space="0" w:color="FF7A34" w:themeColor="accent5"/>
        </w:tcBorders>
      </w:tcPr>
    </w:tblStylePr>
    <w:tblStylePr w:type="band1Vert">
      <w:tblPr/>
      <w:tcPr>
        <w:tcBorders>
          <w:top w:val="single" w:sz="8" w:space="0" w:color="FF7A34" w:themeColor="accent5"/>
          <w:left w:val="single" w:sz="8" w:space="0" w:color="FF7A34" w:themeColor="accent5"/>
          <w:bottom w:val="single" w:sz="8" w:space="0" w:color="FF7A34" w:themeColor="accent5"/>
          <w:right w:val="single" w:sz="8" w:space="0" w:color="FF7A34" w:themeColor="accent5"/>
        </w:tcBorders>
        <w:shd w:val="clear" w:color="auto" w:fill="FFDDCC" w:themeFill="accent5" w:themeFillTint="3F"/>
      </w:tcPr>
    </w:tblStylePr>
    <w:tblStylePr w:type="band1Horz">
      <w:tblPr/>
      <w:tcPr>
        <w:tcBorders>
          <w:top w:val="single" w:sz="8" w:space="0" w:color="FF7A34" w:themeColor="accent5"/>
          <w:left w:val="single" w:sz="8" w:space="0" w:color="FF7A34" w:themeColor="accent5"/>
          <w:bottom w:val="single" w:sz="8" w:space="0" w:color="FF7A34" w:themeColor="accent5"/>
          <w:right w:val="single" w:sz="8" w:space="0" w:color="FF7A34" w:themeColor="accent5"/>
          <w:insideV w:val="single" w:sz="8" w:space="0" w:color="FF7A34" w:themeColor="accent5"/>
        </w:tcBorders>
        <w:shd w:val="clear" w:color="auto" w:fill="FFDDCC" w:themeFill="accent5" w:themeFillTint="3F"/>
      </w:tcPr>
    </w:tblStylePr>
    <w:tblStylePr w:type="band2Horz">
      <w:tblPr/>
      <w:tcPr>
        <w:tcBorders>
          <w:top w:val="single" w:sz="8" w:space="0" w:color="FF7A34" w:themeColor="accent5"/>
          <w:left w:val="single" w:sz="8" w:space="0" w:color="FF7A34" w:themeColor="accent5"/>
          <w:bottom w:val="single" w:sz="8" w:space="0" w:color="FF7A34" w:themeColor="accent5"/>
          <w:right w:val="single" w:sz="8" w:space="0" w:color="FF7A34" w:themeColor="accent5"/>
          <w:insideV w:val="single" w:sz="8" w:space="0" w:color="FF7A34"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F0404F" w:themeColor="accent6"/>
        <w:left w:val="single" w:sz="8" w:space="0" w:color="F0404F" w:themeColor="accent6"/>
        <w:bottom w:val="single" w:sz="8" w:space="0" w:color="F0404F" w:themeColor="accent6"/>
        <w:right w:val="single" w:sz="8" w:space="0" w:color="F0404F" w:themeColor="accent6"/>
        <w:insideH w:val="single" w:sz="8" w:space="0" w:color="F0404F" w:themeColor="accent6"/>
        <w:insideV w:val="single" w:sz="8" w:space="0" w:color="F0404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404F" w:themeColor="accent6"/>
          <w:left w:val="single" w:sz="8" w:space="0" w:color="F0404F" w:themeColor="accent6"/>
          <w:bottom w:val="single" w:sz="18" w:space="0" w:color="F0404F" w:themeColor="accent6"/>
          <w:right w:val="single" w:sz="8" w:space="0" w:color="F0404F" w:themeColor="accent6"/>
          <w:insideH w:val="nil"/>
          <w:insideV w:val="single" w:sz="8" w:space="0" w:color="F0404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404F" w:themeColor="accent6"/>
          <w:left w:val="single" w:sz="8" w:space="0" w:color="F0404F" w:themeColor="accent6"/>
          <w:bottom w:val="single" w:sz="8" w:space="0" w:color="F0404F" w:themeColor="accent6"/>
          <w:right w:val="single" w:sz="8" w:space="0" w:color="F0404F" w:themeColor="accent6"/>
          <w:insideH w:val="nil"/>
          <w:insideV w:val="single" w:sz="8" w:space="0" w:color="F0404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404F" w:themeColor="accent6"/>
          <w:left w:val="single" w:sz="8" w:space="0" w:color="F0404F" w:themeColor="accent6"/>
          <w:bottom w:val="single" w:sz="8" w:space="0" w:color="F0404F" w:themeColor="accent6"/>
          <w:right w:val="single" w:sz="8" w:space="0" w:color="F0404F" w:themeColor="accent6"/>
        </w:tcBorders>
      </w:tcPr>
    </w:tblStylePr>
    <w:tblStylePr w:type="band1Vert">
      <w:tblPr/>
      <w:tcPr>
        <w:tcBorders>
          <w:top w:val="single" w:sz="8" w:space="0" w:color="F0404F" w:themeColor="accent6"/>
          <w:left w:val="single" w:sz="8" w:space="0" w:color="F0404F" w:themeColor="accent6"/>
          <w:bottom w:val="single" w:sz="8" w:space="0" w:color="F0404F" w:themeColor="accent6"/>
          <w:right w:val="single" w:sz="8" w:space="0" w:color="F0404F" w:themeColor="accent6"/>
        </w:tcBorders>
        <w:shd w:val="clear" w:color="auto" w:fill="FBCFD3" w:themeFill="accent6" w:themeFillTint="3F"/>
      </w:tcPr>
    </w:tblStylePr>
    <w:tblStylePr w:type="band1Horz">
      <w:tblPr/>
      <w:tcPr>
        <w:tcBorders>
          <w:top w:val="single" w:sz="8" w:space="0" w:color="F0404F" w:themeColor="accent6"/>
          <w:left w:val="single" w:sz="8" w:space="0" w:color="F0404F" w:themeColor="accent6"/>
          <w:bottom w:val="single" w:sz="8" w:space="0" w:color="F0404F" w:themeColor="accent6"/>
          <w:right w:val="single" w:sz="8" w:space="0" w:color="F0404F" w:themeColor="accent6"/>
          <w:insideV w:val="single" w:sz="8" w:space="0" w:color="F0404F" w:themeColor="accent6"/>
        </w:tcBorders>
        <w:shd w:val="clear" w:color="auto" w:fill="FBCFD3" w:themeFill="accent6" w:themeFillTint="3F"/>
      </w:tcPr>
    </w:tblStylePr>
    <w:tblStylePr w:type="band2Horz">
      <w:tblPr/>
      <w:tcPr>
        <w:tcBorders>
          <w:top w:val="single" w:sz="8" w:space="0" w:color="F0404F" w:themeColor="accent6"/>
          <w:left w:val="single" w:sz="8" w:space="0" w:color="F0404F" w:themeColor="accent6"/>
          <w:bottom w:val="single" w:sz="8" w:space="0" w:color="F0404F" w:themeColor="accent6"/>
          <w:right w:val="single" w:sz="8" w:space="0" w:color="F0404F" w:themeColor="accent6"/>
          <w:insideV w:val="single" w:sz="8" w:space="0" w:color="F0404F"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103A36" w:themeColor="accent1"/>
        <w:left w:val="single" w:sz="8" w:space="0" w:color="103A36" w:themeColor="accent1"/>
        <w:bottom w:val="single" w:sz="8" w:space="0" w:color="103A36" w:themeColor="accent1"/>
        <w:right w:val="single" w:sz="8" w:space="0" w:color="103A36" w:themeColor="accent1"/>
      </w:tblBorders>
    </w:tblPr>
    <w:tblStylePr w:type="firstRow">
      <w:pPr>
        <w:spacing w:before="0" w:after="0" w:line="240" w:lineRule="auto"/>
      </w:pPr>
      <w:rPr>
        <w:b/>
        <w:bCs/>
        <w:color w:val="FFFFFF" w:themeColor="background1"/>
      </w:rPr>
      <w:tblPr/>
      <w:tcPr>
        <w:shd w:val="clear" w:color="auto" w:fill="103A36" w:themeFill="accent1"/>
      </w:tcPr>
    </w:tblStylePr>
    <w:tblStylePr w:type="lastRow">
      <w:pPr>
        <w:spacing w:before="0" w:after="0" w:line="240" w:lineRule="auto"/>
      </w:pPr>
      <w:rPr>
        <w:b/>
        <w:bCs/>
      </w:rPr>
      <w:tblPr/>
      <w:tcPr>
        <w:tcBorders>
          <w:top w:val="double" w:sz="6" w:space="0" w:color="103A36" w:themeColor="accent1"/>
          <w:left w:val="single" w:sz="8" w:space="0" w:color="103A36" w:themeColor="accent1"/>
          <w:bottom w:val="single" w:sz="8" w:space="0" w:color="103A36" w:themeColor="accent1"/>
          <w:right w:val="single" w:sz="8" w:space="0" w:color="103A36" w:themeColor="accent1"/>
        </w:tcBorders>
      </w:tcPr>
    </w:tblStylePr>
    <w:tblStylePr w:type="firstCol">
      <w:rPr>
        <w:b/>
        <w:bCs/>
      </w:rPr>
    </w:tblStylePr>
    <w:tblStylePr w:type="lastCol">
      <w:rPr>
        <w:b/>
        <w:bCs/>
      </w:rPr>
    </w:tblStylePr>
    <w:tblStylePr w:type="band1Vert">
      <w:tblPr/>
      <w:tcPr>
        <w:tcBorders>
          <w:top w:val="single" w:sz="8" w:space="0" w:color="103A36" w:themeColor="accent1"/>
          <w:left w:val="single" w:sz="8" w:space="0" w:color="103A36" w:themeColor="accent1"/>
          <w:bottom w:val="single" w:sz="8" w:space="0" w:color="103A36" w:themeColor="accent1"/>
          <w:right w:val="single" w:sz="8" w:space="0" w:color="103A36" w:themeColor="accent1"/>
        </w:tcBorders>
      </w:tcPr>
    </w:tblStylePr>
    <w:tblStylePr w:type="band1Horz">
      <w:tblPr/>
      <w:tcPr>
        <w:tcBorders>
          <w:top w:val="single" w:sz="8" w:space="0" w:color="103A36" w:themeColor="accent1"/>
          <w:left w:val="single" w:sz="8" w:space="0" w:color="103A36" w:themeColor="accent1"/>
          <w:bottom w:val="single" w:sz="8" w:space="0" w:color="103A36" w:themeColor="accent1"/>
          <w:right w:val="single" w:sz="8" w:space="0" w:color="103A36"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009364" w:themeColor="accent2"/>
        <w:left w:val="single" w:sz="8" w:space="0" w:color="009364" w:themeColor="accent2"/>
        <w:bottom w:val="single" w:sz="8" w:space="0" w:color="009364" w:themeColor="accent2"/>
        <w:right w:val="single" w:sz="8" w:space="0" w:color="009364" w:themeColor="accent2"/>
      </w:tblBorders>
    </w:tblPr>
    <w:tblStylePr w:type="firstRow">
      <w:pPr>
        <w:spacing w:before="0" w:after="0" w:line="240" w:lineRule="auto"/>
      </w:pPr>
      <w:rPr>
        <w:b/>
        <w:bCs/>
        <w:color w:val="FFFFFF" w:themeColor="background1"/>
      </w:rPr>
      <w:tblPr/>
      <w:tcPr>
        <w:shd w:val="clear" w:color="auto" w:fill="009364" w:themeFill="accent2"/>
      </w:tcPr>
    </w:tblStylePr>
    <w:tblStylePr w:type="lastRow">
      <w:pPr>
        <w:spacing w:before="0" w:after="0" w:line="240" w:lineRule="auto"/>
      </w:pPr>
      <w:rPr>
        <w:b/>
        <w:bCs/>
      </w:rPr>
      <w:tblPr/>
      <w:tcPr>
        <w:tcBorders>
          <w:top w:val="double" w:sz="6" w:space="0" w:color="009364" w:themeColor="accent2"/>
          <w:left w:val="single" w:sz="8" w:space="0" w:color="009364" w:themeColor="accent2"/>
          <w:bottom w:val="single" w:sz="8" w:space="0" w:color="009364" w:themeColor="accent2"/>
          <w:right w:val="single" w:sz="8" w:space="0" w:color="009364" w:themeColor="accent2"/>
        </w:tcBorders>
      </w:tcPr>
    </w:tblStylePr>
    <w:tblStylePr w:type="firstCol">
      <w:rPr>
        <w:b/>
        <w:bCs/>
      </w:rPr>
    </w:tblStylePr>
    <w:tblStylePr w:type="lastCol">
      <w:rPr>
        <w:b/>
        <w:bCs/>
      </w:rPr>
    </w:tblStylePr>
    <w:tblStylePr w:type="band1Vert">
      <w:tblPr/>
      <w:tcPr>
        <w:tcBorders>
          <w:top w:val="single" w:sz="8" w:space="0" w:color="009364" w:themeColor="accent2"/>
          <w:left w:val="single" w:sz="8" w:space="0" w:color="009364" w:themeColor="accent2"/>
          <w:bottom w:val="single" w:sz="8" w:space="0" w:color="009364" w:themeColor="accent2"/>
          <w:right w:val="single" w:sz="8" w:space="0" w:color="009364" w:themeColor="accent2"/>
        </w:tcBorders>
      </w:tcPr>
    </w:tblStylePr>
    <w:tblStylePr w:type="band1Horz">
      <w:tblPr/>
      <w:tcPr>
        <w:tcBorders>
          <w:top w:val="single" w:sz="8" w:space="0" w:color="009364" w:themeColor="accent2"/>
          <w:left w:val="single" w:sz="8" w:space="0" w:color="009364" w:themeColor="accent2"/>
          <w:bottom w:val="single" w:sz="8" w:space="0" w:color="009364" w:themeColor="accent2"/>
          <w:right w:val="single" w:sz="8" w:space="0" w:color="009364"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F6E265" w:themeColor="accent3"/>
        <w:left w:val="single" w:sz="8" w:space="0" w:color="F6E265" w:themeColor="accent3"/>
        <w:bottom w:val="single" w:sz="8" w:space="0" w:color="F6E265" w:themeColor="accent3"/>
        <w:right w:val="single" w:sz="8" w:space="0" w:color="F6E265" w:themeColor="accent3"/>
      </w:tblBorders>
    </w:tblPr>
    <w:tblStylePr w:type="firstRow">
      <w:pPr>
        <w:spacing w:before="0" w:after="0" w:line="240" w:lineRule="auto"/>
      </w:pPr>
      <w:rPr>
        <w:b/>
        <w:bCs/>
        <w:color w:val="FFFFFF" w:themeColor="background1"/>
      </w:rPr>
      <w:tblPr/>
      <w:tcPr>
        <w:shd w:val="clear" w:color="auto" w:fill="F6E265" w:themeFill="accent3"/>
      </w:tcPr>
    </w:tblStylePr>
    <w:tblStylePr w:type="lastRow">
      <w:pPr>
        <w:spacing w:before="0" w:after="0" w:line="240" w:lineRule="auto"/>
      </w:pPr>
      <w:rPr>
        <w:b/>
        <w:bCs/>
      </w:rPr>
      <w:tblPr/>
      <w:tcPr>
        <w:tcBorders>
          <w:top w:val="double" w:sz="6" w:space="0" w:color="F6E265" w:themeColor="accent3"/>
          <w:left w:val="single" w:sz="8" w:space="0" w:color="F6E265" w:themeColor="accent3"/>
          <w:bottom w:val="single" w:sz="8" w:space="0" w:color="F6E265" w:themeColor="accent3"/>
          <w:right w:val="single" w:sz="8" w:space="0" w:color="F6E265" w:themeColor="accent3"/>
        </w:tcBorders>
      </w:tcPr>
    </w:tblStylePr>
    <w:tblStylePr w:type="firstCol">
      <w:rPr>
        <w:b/>
        <w:bCs/>
      </w:rPr>
    </w:tblStylePr>
    <w:tblStylePr w:type="lastCol">
      <w:rPr>
        <w:b/>
        <w:bCs/>
      </w:rPr>
    </w:tblStylePr>
    <w:tblStylePr w:type="band1Vert">
      <w:tblPr/>
      <w:tcPr>
        <w:tcBorders>
          <w:top w:val="single" w:sz="8" w:space="0" w:color="F6E265" w:themeColor="accent3"/>
          <w:left w:val="single" w:sz="8" w:space="0" w:color="F6E265" w:themeColor="accent3"/>
          <w:bottom w:val="single" w:sz="8" w:space="0" w:color="F6E265" w:themeColor="accent3"/>
          <w:right w:val="single" w:sz="8" w:space="0" w:color="F6E265" w:themeColor="accent3"/>
        </w:tcBorders>
      </w:tcPr>
    </w:tblStylePr>
    <w:tblStylePr w:type="band1Horz">
      <w:tblPr/>
      <w:tcPr>
        <w:tcBorders>
          <w:top w:val="single" w:sz="8" w:space="0" w:color="F6E265" w:themeColor="accent3"/>
          <w:left w:val="single" w:sz="8" w:space="0" w:color="F6E265" w:themeColor="accent3"/>
          <w:bottom w:val="single" w:sz="8" w:space="0" w:color="F6E265" w:themeColor="accent3"/>
          <w:right w:val="single" w:sz="8" w:space="0" w:color="F6E265"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FFC677" w:themeColor="accent4"/>
        <w:left w:val="single" w:sz="8" w:space="0" w:color="FFC677" w:themeColor="accent4"/>
        <w:bottom w:val="single" w:sz="8" w:space="0" w:color="FFC677" w:themeColor="accent4"/>
        <w:right w:val="single" w:sz="8" w:space="0" w:color="FFC677" w:themeColor="accent4"/>
      </w:tblBorders>
    </w:tblPr>
    <w:tblStylePr w:type="firstRow">
      <w:pPr>
        <w:spacing w:before="0" w:after="0" w:line="240" w:lineRule="auto"/>
      </w:pPr>
      <w:rPr>
        <w:b/>
        <w:bCs/>
        <w:color w:val="FFFFFF" w:themeColor="background1"/>
      </w:rPr>
      <w:tblPr/>
      <w:tcPr>
        <w:shd w:val="clear" w:color="auto" w:fill="FFC677" w:themeFill="accent4"/>
      </w:tcPr>
    </w:tblStylePr>
    <w:tblStylePr w:type="lastRow">
      <w:pPr>
        <w:spacing w:before="0" w:after="0" w:line="240" w:lineRule="auto"/>
      </w:pPr>
      <w:rPr>
        <w:b/>
        <w:bCs/>
      </w:rPr>
      <w:tblPr/>
      <w:tcPr>
        <w:tcBorders>
          <w:top w:val="double" w:sz="6" w:space="0" w:color="FFC677" w:themeColor="accent4"/>
          <w:left w:val="single" w:sz="8" w:space="0" w:color="FFC677" w:themeColor="accent4"/>
          <w:bottom w:val="single" w:sz="8" w:space="0" w:color="FFC677" w:themeColor="accent4"/>
          <w:right w:val="single" w:sz="8" w:space="0" w:color="FFC677" w:themeColor="accent4"/>
        </w:tcBorders>
      </w:tcPr>
    </w:tblStylePr>
    <w:tblStylePr w:type="firstCol">
      <w:rPr>
        <w:b/>
        <w:bCs/>
      </w:rPr>
    </w:tblStylePr>
    <w:tblStylePr w:type="lastCol">
      <w:rPr>
        <w:b/>
        <w:bCs/>
      </w:rPr>
    </w:tblStylePr>
    <w:tblStylePr w:type="band1Vert">
      <w:tblPr/>
      <w:tcPr>
        <w:tcBorders>
          <w:top w:val="single" w:sz="8" w:space="0" w:color="FFC677" w:themeColor="accent4"/>
          <w:left w:val="single" w:sz="8" w:space="0" w:color="FFC677" w:themeColor="accent4"/>
          <w:bottom w:val="single" w:sz="8" w:space="0" w:color="FFC677" w:themeColor="accent4"/>
          <w:right w:val="single" w:sz="8" w:space="0" w:color="FFC677" w:themeColor="accent4"/>
        </w:tcBorders>
      </w:tcPr>
    </w:tblStylePr>
    <w:tblStylePr w:type="band1Horz">
      <w:tblPr/>
      <w:tcPr>
        <w:tcBorders>
          <w:top w:val="single" w:sz="8" w:space="0" w:color="FFC677" w:themeColor="accent4"/>
          <w:left w:val="single" w:sz="8" w:space="0" w:color="FFC677" w:themeColor="accent4"/>
          <w:bottom w:val="single" w:sz="8" w:space="0" w:color="FFC677" w:themeColor="accent4"/>
          <w:right w:val="single" w:sz="8" w:space="0" w:color="FFC677"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FF7A34" w:themeColor="accent5"/>
        <w:left w:val="single" w:sz="8" w:space="0" w:color="FF7A34" w:themeColor="accent5"/>
        <w:bottom w:val="single" w:sz="8" w:space="0" w:color="FF7A34" w:themeColor="accent5"/>
        <w:right w:val="single" w:sz="8" w:space="0" w:color="FF7A34" w:themeColor="accent5"/>
      </w:tblBorders>
    </w:tblPr>
    <w:tblStylePr w:type="firstRow">
      <w:pPr>
        <w:spacing w:before="0" w:after="0" w:line="240" w:lineRule="auto"/>
      </w:pPr>
      <w:rPr>
        <w:b/>
        <w:bCs/>
        <w:color w:val="FFFFFF" w:themeColor="background1"/>
      </w:rPr>
      <w:tblPr/>
      <w:tcPr>
        <w:shd w:val="clear" w:color="auto" w:fill="FF7A34" w:themeFill="accent5"/>
      </w:tcPr>
    </w:tblStylePr>
    <w:tblStylePr w:type="lastRow">
      <w:pPr>
        <w:spacing w:before="0" w:after="0" w:line="240" w:lineRule="auto"/>
      </w:pPr>
      <w:rPr>
        <w:b/>
        <w:bCs/>
      </w:rPr>
      <w:tblPr/>
      <w:tcPr>
        <w:tcBorders>
          <w:top w:val="double" w:sz="6" w:space="0" w:color="FF7A34" w:themeColor="accent5"/>
          <w:left w:val="single" w:sz="8" w:space="0" w:color="FF7A34" w:themeColor="accent5"/>
          <w:bottom w:val="single" w:sz="8" w:space="0" w:color="FF7A34" w:themeColor="accent5"/>
          <w:right w:val="single" w:sz="8" w:space="0" w:color="FF7A34" w:themeColor="accent5"/>
        </w:tcBorders>
      </w:tcPr>
    </w:tblStylePr>
    <w:tblStylePr w:type="firstCol">
      <w:rPr>
        <w:b/>
        <w:bCs/>
      </w:rPr>
    </w:tblStylePr>
    <w:tblStylePr w:type="lastCol">
      <w:rPr>
        <w:b/>
        <w:bCs/>
      </w:rPr>
    </w:tblStylePr>
    <w:tblStylePr w:type="band1Vert">
      <w:tblPr/>
      <w:tcPr>
        <w:tcBorders>
          <w:top w:val="single" w:sz="8" w:space="0" w:color="FF7A34" w:themeColor="accent5"/>
          <w:left w:val="single" w:sz="8" w:space="0" w:color="FF7A34" w:themeColor="accent5"/>
          <w:bottom w:val="single" w:sz="8" w:space="0" w:color="FF7A34" w:themeColor="accent5"/>
          <w:right w:val="single" w:sz="8" w:space="0" w:color="FF7A34" w:themeColor="accent5"/>
        </w:tcBorders>
      </w:tcPr>
    </w:tblStylePr>
    <w:tblStylePr w:type="band1Horz">
      <w:tblPr/>
      <w:tcPr>
        <w:tcBorders>
          <w:top w:val="single" w:sz="8" w:space="0" w:color="FF7A34" w:themeColor="accent5"/>
          <w:left w:val="single" w:sz="8" w:space="0" w:color="FF7A34" w:themeColor="accent5"/>
          <w:bottom w:val="single" w:sz="8" w:space="0" w:color="FF7A34" w:themeColor="accent5"/>
          <w:right w:val="single" w:sz="8" w:space="0" w:color="FF7A34"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F0404F" w:themeColor="accent6"/>
        <w:left w:val="single" w:sz="8" w:space="0" w:color="F0404F" w:themeColor="accent6"/>
        <w:bottom w:val="single" w:sz="8" w:space="0" w:color="F0404F" w:themeColor="accent6"/>
        <w:right w:val="single" w:sz="8" w:space="0" w:color="F0404F" w:themeColor="accent6"/>
      </w:tblBorders>
    </w:tblPr>
    <w:tblStylePr w:type="firstRow">
      <w:pPr>
        <w:spacing w:before="0" w:after="0" w:line="240" w:lineRule="auto"/>
      </w:pPr>
      <w:rPr>
        <w:b/>
        <w:bCs/>
        <w:color w:val="FFFFFF" w:themeColor="background1"/>
      </w:rPr>
      <w:tblPr/>
      <w:tcPr>
        <w:shd w:val="clear" w:color="auto" w:fill="F0404F" w:themeFill="accent6"/>
      </w:tcPr>
    </w:tblStylePr>
    <w:tblStylePr w:type="lastRow">
      <w:pPr>
        <w:spacing w:before="0" w:after="0" w:line="240" w:lineRule="auto"/>
      </w:pPr>
      <w:rPr>
        <w:b/>
        <w:bCs/>
      </w:rPr>
      <w:tblPr/>
      <w:tcPr>
        <w:tcBorders>
          <w:top w:val="double" w:sz="6" w:space="0" w:color="F0404F" w:themeColor="accent6"/>
          <w:left w:val="single" w:sz="8" w:space="0" w:color="F0404F" w:themeColor="accent6"/>
          <w:bottom w:val="single" w:sz="8" w:space="0" w:color="F0404F" w:themeColor="accent6"/>
          <w:right w:val="single" w:sz="8" w:space="0" w:color="F0404F" w:themeColor="accent6"/>
        </w:tcBorders>
      </w:tcPr>
    </w:tblStylePr>
    <w:tblStylePr w:type="firstCol">
      <w:rPr>
        <w:b/>
        <w:bCs/>
      </w:rPr>
    </w:tblStylePr>
    <w:tblStylePr w:type="lastCol">
      <w:rPr>
        <w:b/>
        <w:bCs/>
      </w:rPr>
    </w:tblStylePr>
    <w:tblStylePr w:type="band1Vert">
      <w:tblPr/>
      <w:tcPr>
        <w:tcBorders>
          <w:top w:val="single" w:sz="8" w:space="0" w:color="F0404F" w:themeColor="accent6"/>
          <w:left w:val="single" w:sz="8" w:space="0" w:color="F0404F" w:themeColor="accent6"/>
          <w:bottom w:val="single" w:sz="8" w:space="0" w:color="F0404F" w:themeColor="accent6"/>
          <w:right w:val="single" w:sz="8" w:space="0" w:color="F0404F" w:themeColor="accent6"/>
        </w:tcBorders>
      </w:tcPr>
    </w:tblStylePr>
    <w:tblStylePr w:type="band1Horz">
      <w:tblPr/>
      <w:tcPr>
        <w:tcBorders>
          <w:top w:val="single" w:sz="8" w:space="0" w:color="F0404F" w:themeColor="accent6"/>
          <w:left w:val="single" w:sz="8" w:space="0" w:color="F0404F" w:themeColor="accent6"/>
          <w:bottom w:val="single" w:sz="8" w:space="0" w:color="F0404F" w:themeColor="accent6"/>
          <w:right w:val="single" w:sz="8" w:space="0" w:color="F0404F"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0C2B28" w:themeColor="accent1" w:themeShade="BF"/>
    </w:rPr>
    <w:tblPr>
      <w:tblStyleRowBandSize w:val="1"/>
      <w:tblStyleColBandSize w:val="1"/>
      <w:tblBorders>
        <w:top w:val="single" w:sz="8" w:space="0" w:color="103A36" w:themeColor="accent1"/>
        <w:bottom w:val="single" w:sz="8" w:space="0" w:color="103A36" w:themeColor="accent1"/>
      </w:tblBorders>
    </w:tblPr>
    <w:tblStylePr w:type="firstRow">
      <w:pPr>
        <w:spacing w:before="0" w:after="0" w:line="240" w:lineRule="auto"/>
      </w:pPr>
      <w:rPr>
        <w:b/>
        <w:bCs/>
      </w:rPr>
      <w:tblPr/>
      <w:tcPr>
        <w:tcBorders>
          <w:top w:val="single" w:sz="8" w:space="0" w:color="103A36" w:themeColor="accent1"/>
          <w:left w:val="nil"/>
          <w:bottom w:val="single" w:sz="8" w:space="0" w:color="103A36" w:themeColor="accent1"/>
          <w:right w:val="nil"/>
          <w:insideH w:val="nil"/>
          <w:insideV w:val="nil"/>
        </w:tcBorders>
      </w:tcPr>
    </w:tblStylePr>
    <w:tblStylePr w:type="lastRow">
      <w:pPr>
        <w:spacing w:before="0" w:after="0" w:line="240" w:lineRule="auto"/>
      </w:pPr>
      <w:rPr>
        <w:b/>
        <w:bCs/>
      </w:rPr>
      <w:tblPr/>
      <w:tcPr>
        <w:tcBorders>
          <w:top w:val="single" w:sz="8" w:space="0" w:color="103A36" w:themeColor="accent1"/>
          <w:left w:val="nil"/>
          <w:bottom w:val="single" w:sz="8" w:space="0" w:color="103A3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7E1" w:themeFill="accent1" w:themeFillTint="3F"/>
      </w:tcPr>
    </w:tblStylePr>
    <w:tblStylePr w:type="band1Horz">
      <w:tblPr/>
      <w:tcPr>
        <w:tcBorders>
          <w:left w:val="nil"/>
          <w:right w:val="nil"/>
          <w:insideH w:val="nil"/>
          <w:insideV w:val="nil"/>
        </w:tcBorders>
        <w:shd w:val="clear" w:color="auto" w:fill="AAE7E1" w:themeFill="accent1" w:themeFillTint="3F"/>
      </w:tcPr>
    </w:tblStylePr>
  </w:style>
  <w:style w:type="table" w:styleId="LightShading-Accent2">
    <w:name w:val="Light Shading Accent 2"/>
    <w:basedOn w:val="TableNormal"/>
    <w:uiPriority w:val="60"/>
    <w:semiHidden/>
    <w:rsid w:val="0058629F"/>
    <w:pPr>
      <w:spacing w:line="240" w:lineRule="auto"/>
    </w:pPr>
    <w:rPr>
      <w:color w:val="006E4A" w:themeColor="accent2" w:themeShade="BF"/>
    </w:rPr>
    <w:tblPr>
      <w:tblStyleRowBandSize w:val="1"/>
      <w:tblStyleColBandSize w:val="1"/>
      <w:tblBorders>
        <w:top w:val="single" w:sz="8" w:space="0" w:color="009364" w:themeColor="accent2"/>
        <w:bottom w:val="single" w:sz="8" w:space="0" w:color="009364" w:themeColor="accent2"/>
      </w:tblBorders>
    </w:tblPr>
    <w:tblStylePr w:type="firstRow">
      <w:pPr>
        <w:spacing w:before="0" w:after="0" w:line="240" w:lineRule="auto"/>
      </w:pPr>
      <w:rPr>
        <w:b/>
        <w:bCs/>
      </w:rPr>
      <w:tblPr/>
      <w:tcPr>
        <w:tcBorders>
          <w:top w:val="single" w:sz="8" w:space="0" w:color="009364" w:themeColor="accent2"/>
          <w:left w:val="nil"/>
          <w:bottom w:val="single" w:sz="8" w:space="0" w:color="009364" w:themeColor="accent2"/>
          <w:right w:val="nil"/>
          <w:insideH w:val="nil"/>
          <w:insideV w:val="nil"/>
        </w:tcBorders>
      </w:tcPr>
    </w:tblStylePr>
    <w:tblStylePr w:type="lastRow">
      <w:pPr>
        <w:spacing w:before="0" w:after="0" w:line="240" w:lineRule="auto"/>
      </w:pPr>
      <w:rPr>
        <w:b/>
        <w:bCs/>
      </w:rPr>
      <w:tblPr/>
      <w:tcPr>
        <w:tcBorders>
          <w:top w:val="single" w:sz="8" w:space="0" w:color="009364" w:themeColor="accent2"/>
          <w:left w:val="nil"/>
          <w:bottom w:val="single" w:sz="8" w:space="0" w:color="00936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FFE2" w:themeFill="accent2" w:themeFillTint="3F"/>
      </w:tcPr>
    </w:tblStylePr>
    <w:tblStylePr w:type="band1Horz">
      <w:tblPr/>
      <w:tcPr>
        <w:tcBorders>
          <w:left w:val="nil"/>
          <w:right w:val="nil"/>
          <w:insideH w:val="nil"/>
          <w:insideV w:val="nil"/>
        </w:tcBorders>
        <w:shd w:val="clear" w:color="auto" w:fill="A5FFE2" w:themeFill="accent2" w:themeFillTint="3F"/>
      </w:tcPr>
    </w:tblStylePr>
  </w:style>
  <w:style w:type="table" w:styleId="LightShading-Accent3">
    <w:name w:val="Light Shading Accent 3"/>
    <w:basedOn w:val="TableNormal"/>
    <w:uiPriority w:val="60"/>
    <w:semiHidden/>
    <w:rsid w:val="0058629F"/>
    <w:pPr>
      <w:spacing w:line="240" w:lineRule="auto"/>
    </w:pPr>
    <w:rPr>
      <w:color w:val="F1D112" w:themeColor="accent3" w:themeShade="BF"/>
    </w:rPr>
    <w:tblPr>
      <w:tblStyleRowBandSize w:val="1"/>
      <w:tblStyleColBandSize w:val="1"/>
      <w:tblBorders>
        <w:top w:val="single" w:sz="8" w:space="0" w:color="F6E265" w:themeColor="accent3"/>
        <w:bottom w:val="single" w:sz="8" w:space="0" w:color="F6E265" w:themeColor="accent3"/>
      </w:tblBorders>
    </w:tblPr>
    <w:tblStylePr w:type="firstRow">
      <w:pPr>
        <w:spacing w:before="0" w:after="0" w:line="240" w:lineRule="auto"/>
      </w:pPr>
      <w:rPr>
        <w:b/>
        <w:bCs/>
      </w:rPr>
      <w:tblPr/>
      <w:tcPr>
        <w:tcBorders>
          <w:top w:val="single" w:sz="8" w:space="0" w:color="F6E265" w:themeColor="accent3"/>
          <w:left w:val="nil"/>
          <w:bottom w:val="single" w:sz="8" w:space="0" w:color="F6E265" w:themeColor="accent3"/>
          <w:right w:val="nil"/>
          <w:insideH w:val="nil"/>
          <w:insideV w:val="nil"/>
        </w:tcBorders>
      </w:tcPr>
    </w:tblStylePr>
    <w:tblStylePr w:type="lastRow">
      <w:pPr>
        <w:spacing w:before="0" w:after="0" w:line="240" w:lineRule="auto"/>
      </w:pPr>
      <w:rPr>
        <w:b/>
        <w:bCs/>
      </w:rPr>
      <w:tblPr/>
      <w:tcPr>
        <w:tcBorders>
          <w:top w:val="single" w:sz="8" w:space="0" w:color="F6E265" w:themeColor="accent3"/>
          <w:left w:val="nil"/>
          <w:bottom w:val="single" w:sz="8" w:space="0" w:color="F6E26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7D8" w:themeFill="accent3" w:themeFillTint="3F"/>
      </w:tcPr>
    </w:tblStylePr>
    <w:tblStylePr w:type="band1Horz">
      <w:tblPr/>
      <w:tcPr>
        <w:tcBorders>
          <w:left w:val="nil"/>
          <w:right w:val="nil"/>
          <w:insideH w:val="nil"/>
          <w:insideV w:val="nil"/>
        </w:tcBorders>
        <w:shd w:val="clear" w:color="auto" w:fill="FCF7D8" w:themeFill="accent3" w:themeFillTint="3F"/>
      </w:tcPr>
    </w:tblStylePr>
  </w:style>
  <w:style w:type="table" w:styleId="LightShading-Accent4">
    <w:name w:val="Light Shading Accent 4"/>
    <w:basedOn w:val="TableNormal"/>
    <w:uiPriority w:val="60"/>
    <w:semiHidden/>
    <w:rsid w:val="0058629F"/>
    <w:pPr>
      <w:spacing w:line="240" w:lineRule="auto"/>
    </w:pPr>
    <w:rPr>
      <w:color w:val="FF9E19" w:themeColor="accent4" w:themeShade="BF"/>
    </w:rPr>
    <w:tblPr>
      <w:tblStyleRowBandSize w:val="1"/>
      <w:tblStyleColBandSize w:val="1"/>
      <w:tblBorders>
        <w:top w:val="single" w:sz="8" w:space="0" w:color="FFC677" w:themeColor="accent4"/>
        <w:bottom w:val="single" w:sz="8" w:space="0" w:color="FFC677" w:themeColor="accent4"/>
      </w:tblBorders>
    </w:tblPr>
    <w:tblStylePr w:type="firstRow">
      <w:pPr>
        <w:spacing w:before="0" w:after="0" w:line="240" w:lineRule="auto"/>
      </w:pPr>
      <w:rPr>
        <w:b/>
        <w:bCs/>
      </w:rPr>
      <w:tblPr/>
      <w:tcPr>
        <w:tcBorders>
          <w:top w:val="single" w:sz="8" w:space="0" w:color="FFC677" w:themeColor="accent4"/>
          <w:left w:val="nil"/>
          <w:bottom w:val="single" w:sz="8" w:space="0" w:color="FFC677" w:themeColor="accent4"/>
          <w:right w:val="nil"/>
          <w:insideH w:val="nil"/>
          <w:insideV w:val="nil"/>
        </w:tcBorders>
      </w:tcPr>
    </w:tblStylePr>
    <w:tblStylePr w:type="lastRow">
      <w:pPr>
        <w:spacing w:before="0" w:after="0" w:line="240" w:lineRule="auto"/>
      </w:pPr>
      <w:rPr>
        <w:b/>
        <w:bCs/>
      </w:rPr>
      <w:tblPr/>
      <w:tcPr>
        <w:tcBorders>
          <w:top w:val="single" w:sz="8" w:space="0" w:color="FFC677" w:themeColor="accent4"/>
          <w:left w:val="nil"/>
          <w:bottom w:val="single" w:sz="8" w:space="0" w:color="FFC6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DD" w:themeFill="accent4" w:themeFillTint="3F"/>
      </w:tcPr>
    </w:tblStylePr>
    <w:tblStylePr w:type="band1Horz">
      <w:tblPr/>
      <w:tcPr>
        <w:tcBorders>
          <w:left w:val="nil"/>
          <w:right w:val="nil"/>
          <w:insideH w:val="nil"/>
          <w:insideV w:val="nil"/>
        </w:tcBorders>
        <w:shd w:val="clear" w:color="auto" w:fill="FFF0DD" w:themeFill="accent4" w:themeFillTint="3F"/>
      </w:tcPr>
    </w:tblStylePr>
  </w:style>
  <w:style w:type="table" w:styleId="LightShading-Accent5">
    <w:name w:val="Light Shading Accent 5"/>
    <w:basedOn w:val="TableNormal"/>
    <w:uiPriority w:val="60"/>
    <w:semiHidden/>
    <w:rsid w:val="0058629F"/>
    <w:pPr>
      <w:spacing w:line="240" w:lineRule="auto"/>
    </w:pPr>
    <w:rPr>
      <w:color w:val="E54E00" w:themeColor="accent5" w:themeShade="BF"/>
    </w:rPr>
    <w:tblPr>
      <w:tblStyleRowBandSize w:val="1"/>
      <w:tblStyleColBandSize w:val="1"/>
      <w:tblBorders>
        <w:top w:val="single" w:sz="8" w:space="0" w:color="FF7A34" w:themeColor="accent5"/>
        <w:bottom w:val="single" w:sz="8" w:space="0" w:color="FF7A34" w:themeColor="accent5"/>
      </w:tblBorders>
    </w:tblPr>
    <w:tblStylePr w:type="firstRow">
      <w:pPr>
        <w:spacing w:before="0" w:after="0" w:line="240" w:lineRule="auto"/>
      </w:pPr>
      <w:rPr>
        <w:b/>
        <w:bCs/>
      </w:rPr>
      <w:tblPr/>
      <w:tcPr>
        <w:tcBorders>
          <w:top w:val="single" w:sz="8" w:space="0" w:color="FF7A34" w:themeColor="accent5"/>
          <w:left w:val="nil"/>
          <w:bottom w:val="single" w:sz="8" w:space="0" w:color="FF7A34" w:themeColor="accent5"/>
          <w:right w:val="nil"/>
          <w:insideH w:val="nil"/>
          <w:insideV w:val="nil"/>
        </w:tcBorders>
      </w:tcPr>
    </w:tblStylePr>
    <w:tblStylePr w:type="lastRow">
      <w:pPr>
        <w:spacing w:before="0" w:after="0" w:line="240" w:lineRule="auto"/>
      </w:pPr>
      <w:rPr>
        <w:b/>
        <w:bCs/>
      </w:rPr>
      <w:tblPr/>
      <w:tcPr>
        <w:tcBorders>
          <w:top w:val="single" w:sz="8" w:space="0" w:color="FF7A34" w:themeColor="accent5"/>
          <w:left w:val="nil"/>
          <w:bottom w:val="single" w:sz="8" w:space="0" w:color="FF7A3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DCC" w:themeFill="accent5" w:themeFillTint="3F"/>
      </w:tcPr>
    </w:tblStylePr>
    <w:tblStylePr w:type="band1Horz">
      <w:tblPr/>
      <w:tcPr>
        <w:tcBorders>
          <w:left w:val="nil"/>
          <w:right w:val="nil"/>
          <w:insideH w:val="nil"/>
          <w:insideV w:val="nil"/>
        </w:tcBorders>
        <w:shd w:val="clear" w:color="auto" w:fill="FFDDCC" w:themeFill="accent5" w:themeFillTint="3F"/>
      </w:tcPr>
    </w:tblStylePr>
  </w:style>
  <w:style w:type="table" w:styleId="LightShading-Accent6">
    <w:name w:val="Light Shading Accent 6"/>
    <w:basedOn w:val="TableNormal"/>
    <w:uiPriority w:val="60"/>
    <w:semiHidden/>
    <w:rsid w:val="0058629F"/>
    <w:pPr>
      <w:spacing w:line="240" w:lineRule="auto"/>
    </w:pPr>
    <w:rPr>
      <w:color w:val="D31020" w:themeColor="accent6" w:themeShade="BF"/>
    </w:rPr>
    <w:tblPr>
      <w:tblStyleRowBandSize w:val="1"/>
      <w:tblStyleColBandSize w:val="1"/>
      <w:tblBorders>
        <w:top w:val="single" w:sz="8" w:space="0" w:color="F0404F" w:themeColor="accent6"/>
        <w:bottom w:val="single" w:sz="8" w:space="0" w:color="F0404F" w:themeColor="accent6"/>
      </w:tblBorders>
    </w:tblPr>
    <w:tblStylePr w:type="firstRow">
      <w:pPr>
        <w:spacing w:before="0" w:after="0" w:line="240" w:lineRule="auto"/>
      </w:pPr>
      <w:rPr>
        <w:b/>
        <w:bCs/>
      </w:rPr>
      <w:tblPr/>
      <w:tcPr>
        <w:tcBorders>
          <w:top w:val="single" w:sz="8" w:space="0" w:color="F0404F" w:themeColor="accent6"/>
          <w:left w:val="nil"/>
          <w:bottom w:val="single" w:sz="8" w:space="0" w:color="F0404F" w:themeColor="accent6"/>
          <w:right w:val="nil"/>
          <w:insideH w:val="nil"/>
          <w:insideV w:val="nil"/>
        </w:tcBorders>
      </w:tcPr>
    </w:tblStylePr>
    <w:tblStylePr w:type="lastRow">
      <w:pPr>
        <w:spacing w:before="0" w:after="0" w:line="240" w:lineRule="auto"/>
      </w:pPr>
      <w:rPr>
        <w:b/>
        <w:bCs/>
      </w:rPr>
      <w:tblPr/>
      <w:tcPr>
        <w:tcBorders>
          <w:top w:val="single" w:sz="8" w:space="0" w:color="F0404F" w:themeColor="accent6"/>
          <w:left w:val="nil"/>
          <w:bottom w:val="single" w:sz="8" w:space="0" w:color="F0404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D3" w:themeFill="accent6" w:themeFillTint="3F"/>
      </w:tcPr>
    </w:tblStylePr>
    <w:tblStylePr w:type="band1Horz">
      <w:tblPr/>
      <w:tcPr>
        <w:tcBorders>
          <w:left w:val="nil"/>
          <w:right w:val="nil"/>
          <w:insideH w:val="nil"/>
          <w:insideV w:val="nil"/>
        </w:tcBorders>
        <w:shd w:val="clear" w:color="auto" w:fill="FBCFD3"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35C2B4" w:themeColor="accent1" w:themeTint="99"/>
        </w:tcBorders>
      </w:tcPr>
    </w:tblStylePr>
    <w:tblStylePr w:type="lastRow">
      <w:rPr>
        <w:b/>
        <w:bCs/>
      </w:rPr>
      <w:tblPr/>
      <w:tcPr>
        <w:tcBorders>
          <w:top w:val="single" w:sz="4" w:space="0" w:color="35C2B4" w:themeColor="accent1" w:themeTint="99"/>
        </w:tcBorders>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25FFB8" w:themeColor="accent2" w:themeTint="99"/>
        </w:tcBorders>
      </w:tcPr>
    </w:tblStylePr>
    <w:tblStylePr w:type="lastRow">
      <w:rPr>
        <w:b/>
        <w:bCs/>
      </w:rPr>
      <w:tblPr/>
      <w:tcPr>
        <w:tcBorders>
          <w:top w:val="single" w:sz="4" w:space="0" w:color="25FFB8" w:themeColor="accent2" w:themeTint="99"/>
        </w:tcBorders>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9EDA2" w:themeColor="accent3" w:themeTint="99"/>
        </w:tcBorders>
      </w:tcPr>
    </w:tblStylePr>
    <w:tblStylePr w:type="lastRow">
      <w:rPr>
        <w:b/>
        <w:bCs/>
      </w:rPr>
      <w:tblPr/>
      <w:tcPr>
        <w:tcBorders>
          <w:top w:val="single" w:sz="4" w:space="0" w:color="F9EDA2" w:themeColor="accent3" w:themeTint="99"/>
        </w:tcBorders>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FDCAD" w:themeColor="accent4" w:themeTint="99"/>
        </w:tcBorders>
      </w:tcPr>
    </w:tblStylePr>
    <w:tblStylePr w:type="lastRow">
      <w:rPr>
        <w:b/>
        <w:bCs/>
      </w:rPr>
      <w:tblPr/>
      <w:tcPr>
        <w:tcBorders>
          <w:top w:val="single" w:sz="4" w:space="0" w:color="FFDCAD" w:themeColor="accent4" w:themeTint="99"/>
        </w:tcBorders>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FAE85" w:themeColor="accent5" w:themeTint="99"/>
        </w:tcBorders>
      </w:tcPr>
    </w:tblStylePr>
    <w:tblStylePr w:type="lastRow">
      <w:rPr>
        <w:b/>
        <w:bCs/>
      </w:rPr>
      <w:tblPr/>
      <w:tcPr>
        <w:tcBorders>
          <w:top w:val="single" w:sz="4" w:space="0" w:color="FFAE85" w:themeColor="accent5" w:themeTint="99"/>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68C95" w:themeColor="accent6" w:themeTint="99"/>
        </w:tcBorders>
      </w:tcPr>
    </w:tblStylePr>
    <w:tblStylePr w:type="lastRow">
      <w:rPr>
        <w:b/>
        <w:bCs/>
      </w:rPr>
      <w:tblPr/>
      <w:tcPr>
        <w:tcBorders>
          <w:top w:val="single" w:sz="4" w:space="0" w:color="F68C95" w:themeColor="accent6" w:themeTint="99"/>
        </w:tcBorders>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35C2B4" w:themeColor="accent1" w:themeTint="99"/>
        <w:bottom w:val="single" w:sz="4" w:space="0" w:color="35C2B4" w:themeColor="accent1" w:themeTint="99"/>
        <w:insideH w:val="single" w:sz="4" w:space="0" w:color="35C2B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25FFB8" w:themeColor="accent2" w:themeTint="99"/>
        <w:bottom w:val="single" w:sz="4" w:space="0" w:color="25FFB8" w:themeColor="accent2" w:themeTint="99"/>
        <w:insideH w:val="single" w:sz="4" w:space="0" w:color="25FFB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F9EDA2" w:themeColor="accent3" w:themeTint="99"/>
        <w:bottom w:val="single" w:sz="4" w:space="0" w:color="F9EDA2" w:themeColor="accent3" w:themeTint="99"/>
        <w:insideH w:val="single" w:sz="4" w:space="0" w:color="F9EDA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FFDCAD" w:themeColor="accent4" w:themeTint="99"/>
        <w:bottom w:val="single" w:sz="4" w:space="0" w:color="FFDCAD" w:themeColor="accent4" w:themeTint="99"/>
        <w:insideH w:val="single" w:sz="4" w:space="0" w:color="FFDC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FFAE85" w:themeColor="accent5" w:themeTint="99"/>
        <w:bottom w:val="single" w:sz="4" w:space="0" w:color="FFAE85" w:themeColor="accent5" w:themeTint="99"/>
        <w:insideH w:val="single" w:sz="4" w:space="0" w:color="FFAE8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F68C95" w:themeColor="accent6" w:themeTint="99"/>
        <w:bottom w:val="single" w:sz="4" w:space="0" w:color="F68C95" w:themeColor="accent6" w:themeTint="99"/>
        <w:insideH w:val="single" w:sz="4" w:space="0" w:color="F68C9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103A36" w:themeColor="accent1"/>
        <w:left w:val="single" w:sz="4" w:space="0" w:color="103A36" w:themeColor="accent1"/>
        <w:bottom w:val="single" w:sz="4" w:space="0" w:color="103A36" w:themeColor="accent1"/>
        <w:right w:val="single" w:sz="4" w:space="0" w:color="103A36" w:themeColor="accent1"/>
      </w:tblBorders>
    </w:tblPr>
    <w:tblStylePr w:type="firstRow">
      <w:rPr>
        <w:b/>
        <w:bCs/>
        <w:color w:val="FFFFFF" w:themeColor="background1"/>
      </w:rPr>
      <w:tblPr/>
      <w:tcPr>
        <w:shd w:val="clear" w:color="auto" w:fill="103A36" w:themeFill="accent1"/>
      </w:tcPr>
    </w:tblStylePr>
    <w:tblStylePr w:type="lastRow">
      <w:rPr>
        <w:b/>
        <w:bCs/>
      </w:rPr>
      <w:tblPr/>
      <w:tcPr>
        <w:tcBorders>
          <w:top w:val="double" w:sz="4" w:space="0" w:color="103A3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3A36" w:themeColor="accent1"/>
          <w:right w:val="single" w:sz="4" w:space="0" w:color="103A36" w:themeColor="accent1"/>
        </w:tcBorders>
      </w:tcPr>
    </w:tblStylePr>
    <w:tblStylePr w:type="band1Horz">
      <w:tblPr/>
      <w:tcPr>
        <w:tcBorders>
          <w:top w:val="single" w:sz="4" w:space="0" w:color="103A36" w:themeColor="accent1"/>
          <w:bottom w:val="single" w:sz="4" w:space="0" w:color="103A3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3A36" w:themeColor="accent1"/>
          <w:left w:val="nil"/>
        </w:tcBorders>
      </w:tcPr>
    </w:tblStylePr>
    <w:tblStylePr w:type="swCell">
      <w:tblPr/>
      <w:tcPr>
        <w:tcBorders>
          <w:top w:val="double" w:sz="4" w:space="0" w:color="103A36"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009364" w:themeColor="accent2"/>
        <w:left w:val="single" w:sz="4" w:space="0" w:color="009364" w:themeColor="accent2"/>
        <w:bottom w:val="single" w:sz="4" w:space="0" w:color="009364" w:themeColor="accent2"/>
        <w:right w:val="single" w:sz="4" w:space="0" w:color="009364" w:themeColor="accent2"/>
      </w:tblBorders>
    </w:tblPr>
    <w:tblStylePr w:type="firstRow">
      <w:rPr>
        <w:b/>
        <w:bCs/>
        <w:color w:val="FFFFFF" w:themeColor="background1"/>
      </w:rPr>
      <w:tblPr/>
      <w:tcPr>
        <w:shd w:val="clear" w:color="auto" w:fill="009364" w:themeFill="accent2"/>
      </w:tcPr>
    </w:tblStylePr>
    <w:tblStylePr w:type="lastRow">
      <w:rPr>
        <w:b/>
        <w:bCs/>
      </w:rPr>
      <w:tblPr/>
      <w:tcPr>
        <w:tcBorders>
          <w:top w:val="double" w:sz="4" w:space="0" w:color="00936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364" w:themeColor="accent2"/>
          <w:right w:val="single" w:sz="4" w:space="0" w:color="009364" w:themeColor="accent2"/>
        </w:tcBorders>
      </w:tcPr>
    </w:tblStylePr>
    <w:tblStylePr w:type="band1Horz">
      <w:tblPr/>
      <w:tcPr>
        <w:tcBorders>
          <w:top w:val="single" w:sz="4" w:space="0" w:color="009364" w:themeColor="accent2"/>
          <w:bottom w:val="single" w:sz="4" w:space="0" w:color="00936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364" w:themeColor="accent2"/>
          <w:left w:val="nil"/>
        </w:tcBorders>
      </w:tcPr>
    </w:tblStylePr>
    <w:tblStylePr w:type="swCell">
      <w:tblPr/>
      <w:tcPr>
        <w:tcBorders>
          <w:top w:val="double" w:sz="4" w:space="0" w:color="009364"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F6E265" w:themeColor="accent3"/>
        <w:left w:val="single" w:sz="4" w:space="0" w:color="F6E265" w:themeColor="accent3"/>
        <w:bottom w:val="single" w:sz="4" w:space="0" w:color="F6E265" w:themeColor="accent3"/>
        <w:right w:val="single" w:sz="4" w:space="0" w:color="F6E265" w:themeColor="accent3"/>
      </w:tblBorders>
    </w:tblPr>
    <w:tblStylePr w:type="firstRow">
      <w:rPr>
        <w:b/>
        <w:bCs/>
        <w:color w:val="FFFFFF" w:themeColor="background1"/>
      </w:rPr>
      <w:tblPr/>
      <w:tcPr>
        <w:shd w:val="clear" w:color="auto" w:fill="F6E265" w:themeFill="accent3"/>
      </w:tcPr>
    </w:tblStylePr>
    <w:tblStylePr w:type="lastRow">
      <w:rPr>
        <w:b/>
        <w:bCs/>
      </w:rPr>
      <w:tblPr/>
      <w:tcPr>
        <w:tcBorders>
          <w:top w:val="double" w:sz="4" w:space="0" w:color="F6E26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E265" w:themeColor="accent3"/>
          <w:right w:val="single" w:sz="4" w:space="0" w:color="F6E265" w:themeColor="accent3"/>
        </w:tcBorders>
      </w:tcPr>
    </w:tblStylePr>
    <w:tblStylePr w:type="band1Horz">
      <w:tblPr/>
      <w:tcPr>
        <w:tcBorders>
          <w:top w:val="single" w:sz="4" w:space="0" w:color="F6E265" w:themeColor="accent3"/>
          <w:bottom w:val="single" w:sz="4" w:space="0" w:color="F6E26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E265" w:themeColor="accent3"/>
          <w:left w:val="nil"/>
        </w:tcBorders>
      </w:tcPr>
    </w:tblStylePr>
    <w:tblStylePr w:type="swCell">
      <w:tblPr/>
      <w:tcPr>
        <w:tcBorders>
          <w:top w:val="double" w:sz="4" w:space="0" w:color="F6E265"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FFC677" w:themeColor="accent4"/>
        <w:left w:val="single" w:sz="4" w:space="0" w:color="FFC677" w:themeColor="accent4"/>
        <w:bottom w:val="single" w:sz="4" w:space="0" w:color="FFC677" w:themeColor="accent4"/>
        <w:right w:val="single" w:sz="4" w:space="0" w:color="FFC677" w:themeColor="accent4"/>
      </w:tblBorders>
    </w:tblPr>
    <w:tblStylePr w:type="firstRow">
      <w:rPr>
        <w:b/>
        <w:bCs/>
        <w:color w:val="FFFFFF" w:themeColor="background1"/>
      </w:rPr>
      <w:tblPr/>
      <w:tcPr>
        <w:shd w:val="clear" w:color="auto" w:fill="FFC677" w:themeFill="accent4"/>
      </w:tcPr>
    </w:tblStylePr>
    <w:tblStylePr w:type="lastRow">
      <w:rPr>
        <w:b/>
        <w:bCs/>
      </w:rPr>
      <w:tblPr/>
      <w:tcPr>
        <w:tcBorders>
          <w:top w:val="double" w:sz="4" w:space="0" w:color="FFC6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77" w:themeColor="accent4"/>
          <w:right w:val="single" w:sz="4" w:space="0" w:color="FFC677" w:themeColor="accent4"/>
        </w:tcBorders>
      </w:tcPr>
    </w:tblStylePr>
    <w:tblStylePr w:type="band1Horz">
      <w:tblPr/>
      <w:tcPr>
        <w:tcBorders>
          <w:top w:val="single" w:sz="4" w:space="0" w:color="FFC677" w:themeColor="accent4"/>
          <w:bottom w:val="single" w:sz="4" w:space="0" w:color="FFC6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77" w:themeColor="accent4"/>
          <w:left w:val="nil"/>
        </w:tcBorders>
      </w:tcPr>
    </w:tblStylePr>
    <w:tblStylePr w:type="swCell">
      <w:tblPr/>
      <w:tcPr>
        <w:tcBorders>
          <w:top w:val="double" w:sz="4" w:space="0" w:color="FFC677"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FF7A34" w:themeColor="accent5"/>
        <w:left w:val="single" w:sz="4" w:space="0" w:color="FF7A34" w:themeColor="accent5"/>
        <w:bottom w:val="single" w:sz="4" w:space="0" w:color="FF7A34" w:themeColor="accent5"/>
        <w:right w:val="single" w:sz="4" w:space="0" w:color="FF7A34" w:themeColor="accent5"/>
      </w:tblBorders>
    </w:tblPr>
    <w:tblStylePr w:type="firstRow">
      <w:rPr>
        <w:b/>
        <w:bCs/>
        <w:color w:val="FFFFFF" w:themeColor="background1"/>
      </w:rPr>
      <w:tblPr/>
      <w:tcPr>
        <w:shd w:val="clear" w:color="auto" w:fill="FF7A34" w:themeFill="accent5"/>
      </w:tcPr>
    </w:tblStylePr>
    <w:tblStylePr w:type="lastRow">
      <w:rPr>
        <w:b/>
        <w:bCs/>
      </w:rPr>
      <w:tblPr/>
      <w:tcPr>
        <w:tcBorders>
          <w:top w:val="double" w:sz="4" w:space="0" w:color="FF7A3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A34" w:themeColor="accent5"/>
          <w:right w:val="single" w:sz="4" w:space="0" w:color="FF7A34" w:themeColor="accent5"/>
        </w:tcBorders>
      </w:tcPr>
    </w:tblStylePr>
    <w:tblStylePr w:type="band1Horz">
      <w:tblPr/>
      <w:tcPr>
        <w:tcBorders>
          <w:top w:val="single" w:sz="4" w:space="0" w:color="FF7A34" w:themeColor="accent5"/>
          <w:bottom w:val="single" w:sz="4" w:space="0" w:color="FF7A3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A34" w:themeColor="accent5"/>
          <w:left w:val="nil"/>
        </w:tcBorders>
      </w:tcPr>
    </w:tblStylePr>
    <w:tblStylePr w:type="swCell">
      <w:tblPr/>
      <w:tcPr>
        <w:tcBorders>
          <w:top w:val="double" w:sz="4" w:space="0" w:color="FF7A34"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F0404F" w:themeColor="accent6"/>
        <w:left w:val="single" w:sz="4" w:space="0" w:color="F0404F" w:themeColor="accent6"/>
        <w:bottom w:val="single" w:sz="4" w:space="0" w:color="F0404F" w:themeColor="accent6"/>
        <w:right w:val="single" w:sz="4" w:space="0" w:color="F0404F" w:themeColor="accent6"/>
      </w:tblBorders>
    </w:tblPr>
    <w:tblStylePr w:type="firstRow">
      <w:rPr>
        <w:b/>
        <w:bCs/>
        <w:color w:val="FFFFFF" w:themeColor="background1"/>
      </w:rPr>
      <w:tblPr/>
      <w:tcPr>
        <w:shd w:val="clear" w:color="auto" w:fill="F0404F" w:themeFill="accent6"/>
      </w:tcPr>
    </w:tblStylePr>
    <w:tblStylePr w:type="lastRow">
      <w:rPr>
        <w:b/>
        <w:bCs/>
      </w:rPr>
      <w:tblPr/>
      <w:tcPr>
        <w:tcBorders>
          <w:top w:val="double" w:sz="4" w:space="0" w:color="F0404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04F" w:themeColor="accent6"/>
          <w:right w:val="single" w:sz="4" w:space="0" w:color="F0404F" w:themeColor="accent6"/>
        </w:tcBorders>
      </w:tcPr>
    </w:tblStylePr>
    <w:tblStylePr w:type="band1Horz">
      <w:tblPr/>
      <w:tcPr>
        <w:tcBorders>
          <w:top w:val="single" w:sz="4" w:space="0" w:color="F0404F" w:themeColor="accent6"/>
          <w:bottom w:val="single" w:sz="4" w:space="0" w:color="F0404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04F" w:themeColor="accent6"/>
          <w:left w:val="nil"/>
        </w:tcBorders>
      </w:tcPr>
    </w:tblStylePr>
    <w:tblStylePr w:type="swCell">
      <w:tblPr/>
      <w:tcPr>
        <w:tcBorders>
          <w:top w:val="double" w:sz="4" w:space="0" w:color="F0404F"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35C2B4" w:themeColor="accent1" w:themeTint="99"/>
        <w:left w:val="single" w:sz="4" w:space="0" w:color="35C2B4" w:themeColor="accent1" w:themeTint="99"/>
        <w:bottom w:val="single" w:sz="4" w:space="0" w:color="35C2B4" w:themeColor="accent1" w:themeTint="99"/>
        <w:right w:val="single" w:sz="4" w:space="0" w:color="35C2B4" w:themeColor="accent1" w:themeTint="99"/>
        <w:insideH w:val="single" w:sz="4" w:space="0" w:color="35C2B4" w:themeColor="accent1" w:themeTint="99"/>
      </w:tblBorders>
    </w:tblPr>
    <w:tblStylePr w:type="firstRow">
      <w:rPr>
        <w:b/>
        <w:bCs/>
        <w:color w:val="FFFFFF" w:themeColor="background1"/>
      </w:rPr>
      <w:tblPr/>
      <w:tcPr>
        <w:tcBorders>
          <w:top w:val="single" w:sz="4" w:space="0" w:color="103A36" w:themeColor="accent1"/>
          <w:left w:val="single" w:sz="4" w:space="0" w:color="103A36" w:themeColor="accent1"/>
          <w:bottom w:val="single" w:sz="4" w:space="0" w:color="103A36" w:themeColor="accent1"/>
          <w:right w:val="single" w:sz="4" w:space="0" w:color="103A36" w:themeColor="accent1"/>
          <w:insideH w:val="nil"/>
        </w:tcBorders>
        <w:shd w:val="clear" w:color="auto" w:fill="103A36" w:themeFill="accent1"/>
      </w:tcPr>
    </w:tblStylePr>
    <w:tblStylePr w:type="lastRow">
      <w:rPr>
        <w:b/>
        <w:bCs/>
      </w:rPr>
      <w:tblPr/>
      <w:tcPr>
        <w:tcBorders>
          <w:top w:val="double" w:sz="4" w:space="0" w:color="35C2B4" w:themeColor="accent1" w:themeTint="99"/>
        </w:tcBorders>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25FFB8" w:themeColor="accent2" w:themeTint="99"/>
        <w:left w:val="single" w:sz="4" w:space="0" w:color="25FFB8" w:themeColor="accent2" w:themeTint="99"/>
        <w:bottom w:val="single" w:sz="4" w:space="0" w:color="25FFB8" w:themeColor="accent2" w:themeTint="99"/>
        <w:right w:val="single" w:sz="4" w:space="0" w:color="25FFB8" w:themeColor="accent2" w:themeTint="99"/>
        <w:insideH w:val="single" w:sz="4" w:space="0" w:color="25FFB8" w:themeColor="accent2" w:themeTint="99"/>
      </w:tblBorders>
    </w:tblPr>
    <w:tblStylePr w:type="firstRow">
      <w:rPr>
        <w:b/>
        <w:bCs/>
        <w:color w:val="FFFFFF" w:themeColor="background1"/>
      </w:rPr>
      <w:tblPr/>
      <w:tcPr>
        <w:tcBorders>
          <w:top w:val="single" w:sz="4" w:space="0" w:color="009364" w:themeColor="accent2"/>
          <w:left w:val="single" w:sz="4" w:space="0" w:color="009364" w:themeColor="accent2"/>
          <w:bottom w:val="single" w:sz="4" w:space="0" w:color="009364" w:themeColor="accent2"/>
          <w:right w:val="single" w:sz="4" w:space="0" w:color="009364" w:themeColor="accent2"/>
          <w:insideH w:val="nil"/>
        </w:tcBorders>
        <w:shd w:val="clear" w:color="auto" w:fill="009364" w:themeFill="accent2"/>
      </w:tcPr>
    </w:tblStylePr>
    <w:tblStylePr w:type="lastRow">
      <w:rPr>
        <w:b/>
        <w:bCs/>
      </w:rPr>
      <w:tblPr/>
      <w:tcPr>
        <w:tcBorders>
          <w:top w:val="double" w:sz="4" w:space="0" w:color="25FFB8" w:themeColor="accent2" w:themeTint="99"/>
        </w:tcBorders>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F9EDA2" w:themeColor="accent3" w:themeTint="99"/>
        <w:left w:val="single" w:sz="4" w:space="0" w:color="F9EDA2" w:themeColor="accent3" w:themeTint="99"/>
        <w:bottom w:val="single" w:sz="4" w:space="0" w:color="F9EDA2" w:themeColor="accent3" w:themeTint="99"/>
        <w:right w:val="single" w:sz="4" w:space="0" w:color="F9EDA2" w:themeColor="accent3" w:themeTint="99"/>
        <w:insideH w:val="single" w:sz="4" w:space="0" w:color="F9EDA2" w:themeColor="accent3" w:themeTint="99"/>
      </w:tblBorders>
    </w:tblPr>
    <w:tblStylePr w:type="firstRow">
      <w:rPr>
        <w:b/>
        <w:bCs/>
        <w:color w:val="FFFFFF" w:themeColor="background1"/>
      </w:rPr>
      <w:tblPr/>
      <w:tcPr>
        <w:tcBorders>
          <w:top w:val="single" w:sz="4" w:space="0" w:color="F6E265" w:themeColor="accent3"/>
          <w:left w:val="single" w:sz="4" w:space="0" w:color="F6E265" w:themeColor="accent3"/>
          <w:bottom w:val="single" w:sz="4" w:space="0" w:color="F6E265" w:themeColor="accent3"/>
          <w:right w:val="single" w:sz="4" w:space="0" w:color="F6E265" w:themeColor="accent3"/>
          <w:insideH w:val="nil"/>
        </w:tcBorders>
        <w:shd w:val="clear" w:color="auto" w:fill="F6E265" w:themeFill="accent3"/>
      </w:tcPr>
    </w:tblStylePr>
    <w:tblStylePr w:type="lastRow">
      <w:rPr>
        <w:b/>
        <w:bCs/>
      </w:rPr>
      <w:tblPr/>
      <w:tcPr>
        <w:tcBorders>
          <w:top w:val="double" w:sz="4" w:space="0" w:color="F9EDA2" w:themeColor="accent3" w:themeTint="99"/>
        </w:tcBorders>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FFDCAD" w:themeColor="accent4" w:themeTint="99"/>
        <w:left w:val="single" w:sz="4" w:space="0" w:color="FFDCAD" w:themeColor="accent4" w:themeTint="99"/>
        <w:bottom w:val="single" w:sz="4" w:space="0" w:color="FFDCAD" w:themeColor="accent4" w:themeTint="99"/>
        <w:right w:val="single" w:sz="4" w:space="0" w:color="FFDCAD" w:themeColor="accent4" w:themeTint="99"/>
        <w:insideH w:val="single" w:sz="4" w:space="0" w:color="FFDCAD" w:themeColor="accent4" w:themeTint="99"/>
      </w:tblBorders>
    </w:tblPr>
    <w:tblStylePr w:type="firstRow">
      <w:rPr>
        <w:b/>
        <w:bCs/>
        <w:color w:val="FFFFFF" w:themeColor="background1"/>
      </w:rPr>
      <w:tblPr/>
      <w:tcPr>
        <w:tcBorders>
          <w:top w:val="single" w:sz="4" w:space="0" w:color="FFC677" w:themeColor="accent4"/>
          <w:left w:val="single" w:sz="4" w:space="0" w:color="FFC677" w:themeColor="accent4"/>
          <w:bottom w:val="single" w:sz="4" w:space="0" w:color="FFC677" w:themeColor="accent4"/>
          <w:right w:val="single" w:sz="4" w:space="0" w:color="FFC677" w:themeColor="accent4"/>
          <w:insideH w:val="nil"/>
        </w:tcBorders>
        <w:shd w:val="clear" w:color="auto" w:fill="FFC677" w:themeFill="accent4"/>
      </w:tcPr>
    </w:tblStylePr>
    <w:tblStylePr w:type="lastRow">
      <w:rPr>
        <w:b/>
        <w:bCs/>
      </w:rPr>
      <w:tblPr/>
      <w:tcPr>
        <w:tcBorders>
          <w:top w:val="double" w:sz="4" w:space="0" w:color="FFDCAD" w:themeColor="accent4" w:themeTint="99"/>
        </w:tcBorders>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FFAE85" w:themeColor="accent5" w:themeTint="99"/>
        <w:left w:val="single" w:sz="4" w:space="0" w:color="FFAE85" w:themeColor="accent5" w:themeTint="99"/>
        <w:bottom w:val="single" w:sz="4" w:space="0" w:color="FFAE85" w:themeColor="accent5" w:themeTint="99"/>
        <w:right w:val="single" w:sz="4" w:space="0" w:color="FFAE85" w:themeColor="accent5" w:themeTint="99"/>
        <w:insideH w:val="single" w:sz="4" w:space="0" w:color="FFAE85" w:themeColor="accent5" w:themeTint="99"/>
      </w:tblBorders>
    </w:tblPr>
    <w:tblStylePr w:type="firstRow">
      <w:rPr>
        <w:b/>
        <w:bCs/>
        <w:color w:val="FFFFFF" w:themeColor="background1"/>
      </w:rPr>
      <w:tblPr/>
      <w:tcPr>
        <w:tcBorders>
          <w:top w:val="single" w:sz="4" w:space="0" w:color="FF7A34" w:themeColor="accent5"/>
          <w:left w:val="single" w:sz="4" w:space="0" w:color="FF7A34" w:themeColor="accent5"/>
          <w:bottom w:val="single" w:sz="4" w:space="0" w:color="FF7A34" w:themeColor="accent5"/>
          <w:right w:val="single" w:sz="4" w:space="0" w:color="FF7A34" w:themeColor="accent5"/>
          <w:insideH w:val="nil"/>
        </w:tcBorders>
        <w:shd w:val="clear" w:color="auto" w:fill="FF7A34" w:themeFill="accent5"/>
      </w:tcPr>
    </w:tblStylePr>
    <w:tblStylePr w:type="lastRow">
      <w:rPr>
        <w:b/>
        <w:bCs/>
      </w:rPr>
      <w:tblPr/>
      <w:tcPr>
        <w:tcBorders>
          <w:top w:val="double" w:sz="4" w:space="0" w:color="FFAE85" w:themeColor="accent5" w:themeTint="99"/>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F68C95" w:themeColor="accent6" w:themeTint="99"/>
        <w:left w:val="single" w:sz="4" w:space="0" w:color="F68C95" w:themeColor="accent6" w:themeTint="99"/>
        <w:bottom w:val="single" w:sz="4" w:space="0" w:color="F68C95" w:themeColor="accent6" w:themeTint="99"/>
        <w:right w:val="single" w:sz="4" w:space="0" w:color="F68C95" w:themeColor="accent6" w:themeTint="99"/>
        <w:insideH w:val="single" w:sz="4" w:space="0" w:color="F68C95" w:themeColor="accent6" w:themeTint="99"/>
      </w:tblBorders>
    </w:tblPr>
    <w:tblStylePr w:type="firstRow">
      <w:rPr>
        <w:b/>
        <w:bCs/>
        <w:color w:val="FFFFFF" w:themeColor="background1"/>
      </w:rPr>
      <w:tblPr/>
      <w:tcPr>
        <w:tcBorders>
          <w:top w:val="single" w:sz="4" w:space="0" w:color="F0404F" w:themeColor="accent6"/>
          <w:left w:val="single" w:sz="4" w:space="0" w:color="F0404F" w:themeColor="accent6"/>
          <w:bottom w:val="single" w:sz="4" w:space="0" w:color="F0404F" w:themeColor="accent6"/>
          <w:right w:val="single" w:sz="4" w:space="0" w:color="F0404F" w:themeColor="accent6"/>
          <w:insideH w:val="nil"/>
        </w:tcBorders>
        <w:shd w:val="clear" w:color="auto" w:fill="F0404F" w:themeFill="accent6"/>
      </w:tcPr>
    </w:tblStylePr>
    <w:tblStylePr w:type="lastRow">
      <w:rPr>
        <w:b/>
        <w:bCs/>
      </w:rPr>
      <w:tblPr/>
      <w:tcPr>
        <w:tcBorders>
          <w:top w:val="double" w:sz="4" w:space="0" w:color="F68C95" w:themeColor="accent6" w:themeTint="99"/>
        </w:tcBorders>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103A36" w:themeColor="accent1"/>
        <w:left w:val="single" w:sz="24" w:space="0" w:color="103A36" w:themeColor="accent1"/>
        <w:bottom w:val="single" w:sz="24" w:space="0" w:color="103A36" w:themeColor="accent1"/>
        <w:right w:val="single" w:sz="24" w:space="0" w:color="103A36" w:themeColor="accent1"/>
      </w:tblBorders>
    </w:tblPr>
    <w:tcPr>
      <w:shd w:val="clear" w:color="auto" w:fill="103A3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9364" w:themeColor="accent2"/>
        <w:left w:val="single" w:sz="24" w:space="0" w:color="009364" w:themeColor="accent2"/>
        <w:bottom w:val="single" w:sz="24" w:space="0" w:color="009364" w:themeColor="accent2"/>
        <w:right w:val="single" w:sz="24" w:space="0" w:color="009364" w:themeColor="accent2"/>
      </w:tblBorders>
    </w:tblPr>
    <w:tcPr>
      <w:shd w:val="clear" w:color="auto" w:fill="00936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F6E265" w:themeColor="accent3"/>
        <w:left w:val="single" w:sz="24" w:space="0" w:color="F6E265" w:themeColor="accent3"/>
        <w:bottom w:val="single" w:sz="24" w:space="0" w:color="F6E265" w:themeColor="accent3"/>
        <w:right w:val="single" w:sz="24" w:space="0" w:color="F6E265" w:themeColor="accent3"/>
      </w:tblBorders>
    </w:tblPr>
    <w:tcPr>
      <w:shd w:val="clear" w:color="auto" w:fill="F6E26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FFC677" w:themeColor="accent4"/>
        <w:left w:val="single" w:sz="24" w:space="0" w:color="FFC677" w:themeColor="accent4"/>
        <w:bottom w:val="single" w:sz="24" w:space="0" w:color="FFC677" w:themeColor="accent4"/>
        <w:right w:val="single" w:sz="24" w:space="0" w:color="FFC677" w:themeColor="accent4"/>
      </w:tblBorders>
    </w:tblPr>
    <w:tcPr>
      <w:shd w:val="clear" w:color="auto" w:fill="FFC6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FF7A34" w:themeColor="accent5"/>
        <w:left w:val="single" w:sz="24" w:space="0" w:color="FF7A34" w:themeColor="accent5"/>
        <w:bottom w:val="single" w:sz="24" w:space="0" w:color="FF7A34" w:themeColor="accent5"/>
        <w:right w:val="single" w:sz="24" w:space="0" w:color="FF7A34" w:themeColor="accent5"/>
      </w:tblBorders>
    </w:tblPr>
    <w:tcPr>
      <w:shd w:val="clear" w:color="auto" w:fill="FF7A3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F0404F" w:themeColor="accent6"/>
        <w:left w:val="single" w:sz="24" w:space="0" w:color="F0404F" w:themeColor="accent6"/>
        <w:bottom w:val="single" w:sz="24" w:space="0" w:color="F0404F" w:themeColor="accent6"/>
        <w:right w:val="single" w:sz="24" w:space="0" w:color="F0404F" w:themeColor="accent6"/>
      </w:tblBorders>
    </w:tblPr>
    <w:tcPr>
      <w:shd w:val="clear" w:color="auto" w:fill="F0404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0C2B28" w:themeColor="accent1" w:themeShade="BF"/>
    </w:rPr>
    <w:tblPr>
      <w:tblStyleRowBandSize w:val="1"/>
      <w:tblStyleColBandSize w:val="1"/>
      <w:tblBorders>
        <w:top w:val="single" w:sz="4" w:space="0" w:color="103A36" w:themeColor="accent1"/>
        <w:bottom w:val="single" w:sz="4" w:space="0" w:color="103A36" w:themeColor="accent1"/>
      </w:tblBorders>
    </w:tblPr>
    <w:tblStylePr w:type="firstRow">
      <w:rPr>
        <w:b/>
        <w:bCs/>
      </w:rPr>
      <w:tblPr/>
      <w:tcPr>
        <w:tcBorders>
          <w:bottom w:val="single" w:sz="4" w:space="0" w:color="103A36" w:themeColor="accent1"/>
        </w:tcBorders>
      </w:tcPr>
    </w:tblStylePr>
    <w:tblStylePr w:type="lastRow">
      <w:rPr>
        <w:b/>
        <w:bCs/>
      </w:rPr>
      <w:tblPr/>
      <w:tcPr>
        <w:tcBorders>
          <w:top w:val="double" w:sz="4" w:space="0" w:color="103A36" w:themeColor="accent1"/>
        </w:tcBorders>
      </w:tcPr>
    </w:tblStylePr>
    <w:tblStylePr w:type="firstCol">
      <w:rPr>
        <w:b/>
        <w:bCs/>
      </w:rPr>
    </w:tblStylePr>
    <w:tblStylePr w:type="lastCol">
      <w:rPr>
        <w:b/>
        <w:bCs/>
      </w:rPr>
    </w:tblStylePr>
    <w:tblStylePr w:type="band1Vert">
      <w:tblPr/>
      <w:tcPr>
        <w:shd w:val="clear" w:color="auto" w:fill="BAECE7" w:themeFill="accent1" w:themeFillTint="33"/>
      </w:tcPr>
    </w:tblStylePr>
    <w:tblStylePr w:type="band1Horz">
      <w:tblPr/>
      <w:tcPr>
        <w:shd w:val="clear" w:color="auto" w:fill="BAECE7"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006E4A" w:themeColor="accent2" w:themeShade="BF"/>
    </w:rPr>
    <w:tblPr>
      <w:tblStyleRowBandSize w:val="1"/>
      <w:tblStyleColBandSize w:val="1"/>
      <w:tblBorders>
        <w:top w:val="single" w:sz="4" w:space="0" w:color="009364" w:themeColor="accent2"/>
        <w:bottom w:val="single" w:sz="4" w:space="0" w:color="009364" w:themeColor="accent2"/>
      </w:tblBorders>
    </w:tblPr>
    <w:tblStylePr w:type="firstRow">
      <w:rPr>
        <w:b/>
        <w:bCs/>
      </w:rPr>
      <w:tblPr/>
      <w:tcPr>
        <w:tcBorders>
          <w:bottom w:val="single" w:sz="4" w:space="0" w:color="009364" w:themeColor="accent2"/>
        </w:tcBorders>
      </w:tcPr>
    </w:tblStylePr>
    <w:tblStylePr w:type="lastRow">
      <w:rPr>
        <w:b/>
        <w:bCs/>
      </w:rPr>
      <w:tblPr/>
      <w:tcPr>
        <w:tcBorders>
          <w:top w:val="double" w:sz="4" w:space="0" w:color="009364" w:themeColor="accent2"/>
        </w:tcBorders>
      </w:tcPr>
    </w:tblStylePr>
    <w:tblStylePr w:type="firstCol">
      <w:rPr>
        <w:b/>
        <w:bCs/>
      </w:rPr>
    </w:tblStylePr>
    <w:tblStylePr w:type="lastCol">
      <w:rPr>
        <w:b/>
        <w:bCs/>
      </w:rPr>
    </w:tblStylePr>
    <w:tblStylePr w:type="band1Vert">
      <w:tblPr/>
      <w:tcPr>
        <w:shd w:val="clear" w:color="auto" w:fill="B6FFE7" w:themeFill="accent2" w:themeFillTint="33"/>
      </w:tcPr>
    </w:tblStylePr>
    <w:tblStylePr w:type="band1Horz">
      <w:tblPr/>
      <w:tcPr>
        <w:shd w:val="clear" w:color="auto" w:fill="B6FFE7"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F1D112" w:themeColor="accent3" w:themeShade="BF"/>
    </w:rPr>
    <w:tblPr>
      <w:tblStyleRowBandSize w:val="1"/>
      <w:tblStyleColBandSize w:val="1"/>
      <w:tblBorders>
        <w:top w:val="single" w:sz="4" w:space="0" w:color="F6E265" w:themeColor="accent3"/>
        <w:bottom w:val="single" w:sz="4" w:space="0" w:color="F6E265" w:themeColor="accent3"/>
      </w:tblBorders>
    </w:tblPr>
    <w:tblStylePr w:type="firstRow">
      <w:rPr>
        <w:b/>
        <w:bCs/>
      </w:rPr>
      <w:tblPr/>
      <w:tcPr>
        <w:tcBorders>
          <w:bottom w:val="single" w:sz="4" w:space="0" w:color="F6E265" w:themeColor="accent3"/>
        </w:tcBorders>
      </w:tcPr>
    </w:tblStylePr>
    <w:tblStylePr w:type="lastRow">
      <w:rPr>
        <w:b/>
        <w:bCs/>
      </w:rPr>
      <w:tblPr/>
      <w:tcPr>
        <w:tcBorders>
          <w:top w:val="double" w:sz="4" w:space="0" w:color="F6E265" w:themeColor="accent3"/>
        </w:tcBorders>
      </w:tcPr>
    </w:tblStylePr>
    <w:tblStylePr w:type="firstCol">
      <w:rPr>
        <w:b/>
        <w:bCs/>
      </w:rPr>
    </w:tblStylePr>
    <w:tblStylePr w:type="lastCol">
      <w:rPr>
        <w:b/>
        <w:bCs/>
      </w:rPr>
    </w:tblStylePr>
    <w:tblStylePr w:type="band1Vert">
      <w:tblPr/>
      <w:tcPr>
        <w:shd w:val="clear" w:color="auto" w:fill="FDF9E0" w:themeFill="accent3" w:themeFillTint="33"/>
      </w:tcPr>
    </w:tblStylePr>
    <w:tblStylePr w:type="band1Horz">
      <w:tblPr/>
      <w:tcPr>
        <w:shd w:val="clear" w:color="auto" w:fill="FDF9E0"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FF9E19" w:themeColor="accent4" w:themeShade="BF"/>
    </w:rPr>
    <w:tblPr>
      <w:tblStyleRowBandSize w:val="1"/>
      <w:tblStyleColBandSize w:val="1"/>
      <w:tblBorders>
        <w:top w:val="single" w:sz="4" w:space="0" w:color="FFC677" w:themeColor="accent4"/>
        <w:bottom w:val="single" w:sz="4" w:space="0" w:color="FFC677" w:themeColor="accent4"/>
      </w:tblBorders>
    </w:tblPr>
    <w:tblStylePr w:type="firstRow">
      <w:rPr>
        <w:b/>
        <w:bCs/>
      </w:rPr>
      <w:tblPr/>
      <w:tcPr>
        <w:tcBorders>
          <w:bottom w:val="single" w:sz="4" w:space="0" w:color="FFC677" w:themeColor="accent4"/>
        </w:tcBorders>
      </w:tcPr>
    </w:tblStylePr>
    <w:tblStylePr w:type="lastRow">
      <w:rPr>
        <w:b/>
        <w:bCs/>
      </w:rPr>
      <w:tblPr/>
      <w:tcPr>
        <w:tcBorders>
          <w:top w:val="double" w:sz="4" w:space="0" w:color="FFC677" w:themeColor="accent4"/>
        </w:tcBorders>
      </w:tcPr>
    </w:tblStylePr>
    <w:tblStylePr w:type="firstCol">
      <w:rPr>
        <w:b/>
        <w:bCs/>
      </w:rPr>
    </w:tblStylePr>
    <w:tblStylePr w:type="lastCol">
      <w:rPr>
        <w:b/>
        <w:bCs/>
      </w:rPr>
    </w:tblStylePr>
    <w:tblStylePr w:type="band1Vert">
      <w:tblPr/>
      <w:tcPr>
        <w:shd w:val="clear" w:color="auto" w:fill="FFF3E3" w:themeFill="accent4" w:themeFillTint="33"/>
      </w:tcPr>
    </w:tblStylePr>
    <w:tblStylePr w:type="band1Horz">
      <w:tblPr/>
      <w:tcPr>
        <w:shd w:val="clear" w:color="auto" w:fill="FFF3E3"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E54E00" w:themeColor="accent5" w:themeShade="BF"/>
    </w:rPr>
    <w:tblPr>
      <w:tblStyleRowBandSize w:val="1"/>
      <w:tblStyleColBandSize w:val="1"/>
      <w:tblBorders>
        <w:top w:val="single" w:sz="4" w:space="0" w:color="FF7A34" w:themeColor="accent5"/>
        <w:bottom w:val="single" w:sz="4" w:space="0" w:color="FF7A34" w:themeColor="accent5"/>
      </w:tblBorders>
    </w:tblPr>
    <w:tblStylePr w:type="firstRow">
      <w:rPr>
        <w:b/>
        <w:bCs/>
      </w:rPr>
      <w:tblPr/>
      <w:tcPr>
        <w:tcBorders>
          <w:bottom w:val="single" w:sz="4" w:space="0" w:color="FF7A34" w:themeColor="accent5"/>
        </w:tcBorders>
      </w:tcPr>
    </w:tblStylePr>
    <w:tblStylePr w:type="lastRow">
      <w:rPr>
        <w:b/>
        <w:bCs/>
      </w:rPr>
      <w:tblPr/>
      <w:tcPr>
        <w:tcBorders>
          <w:top w:val="double" w:sz="4" w:space="0" w:color="FF7A34" w:themeColor="accent5"/>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D31020" w:themeColor="accent6" w:themeShade="BF"/>
    </w:rPr>
    <w:tblPr>
      <w:tblStyleRowBandSize w:val="1"/>
      <w:tblStyleColBandSize w:val="1"/>
      <w:tblBorders>
        <w:top w:val="single" w:sz="4" w:space="0" w:color="F0404F" w:themeColor="accent6"/>
        <w:bottom w:val="single" w:sz="4" w:space="0" w:color="F0404F" w:themeColor="accent6"/>
      </w:tblBorders>
    </w:tblPr>
    <w:tblStylePr w:type="firstRow">
      <w:rPr>
        <w:b/>
        <w:bCs/>
      </w:rPr>
      <w:tblPr/>
      <w:tcPr>
        <w:tcBorders>
          <w:bottom w:val="single" w:sz="4" w:space="0" w:color="F0404F" w:themeColor="accent6"/>
        </w:tcBorders>
      </w:tcPr>
    </w:tblStylePr>
    <w:tblStylePr w:type="lastRow">
      <w:rPr>
        <w:b/>
        <w:bCs/>
      </w:rPr>
      <w:tblPr/>
      <w:tcPr>
        <w:tcBorders>
          <w:top w:val="double" w:sz="4" w:space="0" w:color="F0404F" w:themeColor="accent6"/>
        </w:tcBorders>
      </w:tcPr>
    </w:tblStylePr>
    <w:tblStylePr w:type="firstCol">
      <w:rPr>
        <w:b/>
        <w:bCs/>
      </w:rPr>
    </w:tblStylePr>
    <w:tblStylePr w:type="lastCol">
      <w:rPr>
        <w:b/>
        <w:bCs/>
      </w:rPr>
    </w:tblStylePr>
    <w:tblStylePr w:type="band1Vert">
      <w:tblPr/>
      <w:tcPr>
        <w:shd w:val="clear" w:color="auto" w:fill="FCD8DB" w:themeFill="accent6" w:themeFillTint="33"/>
      </w:tcPr>
    </w:tblStylePr>
    <w:tblStylePr w:type="band1Horz">
      <w:tblPr/>
      <w:tcPr>
        <w:shd w:val="clear" w:color="auto" w:fill="FCD8DB"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0C2B2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3A3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3A3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3A3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3A36" w:themeColor="accent1"/>
        </w:tcBorders>
        <w:shd w:val="clear" w:color="auto" w:fill="FFFFFF" w:themeFill="background1"/>
      </w:tcPr>
    </w:tblStylePr>
    <w:tblStylePr w:type="band1Vert">
      <w:tblPr/>
      <w:tcPr>
        <w:shd w:val="clear" w:color="auto" w:fill="BAECE7" w:themeFill="accent1" w:themeFillTint="33"/>
      </w:tcPr>
    </w:tblStylePr>
    <w:tblStylePr w:type="band1Horz">
      <w:tblPr/>
      <w:tcPr>
        <w:shd w:val="clear" w:color="auto" w:fill="BAECE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006E4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36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36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36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364" w:themeColor="accent2"/>
        </w:tcBorders>
        <w:shd w:val="clear" w:color="auto" w:fill="FFFFFF" w:themeFill="background1"/>
      </w:tcPr>
    </w:tblStylePr>
    <w:tblStylePr w:type="band1Vert">
      <w:tblPr/>
      <w:tcPr>
        <w:shd w:val="clear" w:color="auto" w:fill="B6FFE7" w:themeFill="accent2" w:themeFillTint="33"/>
      </w:tcPr>
    </w:tblStylePr>
    <w:tblStylePr w:type="band1Horz">
      <w:tblPr/>
      <w:tcPr>
        <w:shd w:val="clear" w:color="auto" w:fill="B6FF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F1D11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E26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E26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E26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E265" w:themeColor="accent3"/>
        </w:tcBorders>
        <w:shd w:val="clear" w:color="auto" w:fill="FFFFFF" w:themeFill="background1"/>
      </w:tcPr>
    </w:tblStylePr>
    <w:tblStylePr w:type="band1Vert">
      <w:tblPr/>
      <w:tcPr>
        <w:shd w:val="clear" w:color="auto" w:fill="FDF9E0" w:themeFill="accent3" w:themeFillTint="33"/>
      </w:tcPr>
    </w:tblStylePr>
    <w:tblStylePr w:type="band1Horz">
      <w:tblPr/>
      <w:tcPr>
        <w:shd w:val="clear" w:color="auto" w:fill="FDF9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FF9E1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6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6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6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677" w:themeColor="accent4"/>
        </w:tcBorders>
        <w:shd w:val="clear" w:color="auto" w:fill="FFFFFF" w:themeFill="background1"/>
      </w:tcPr>
    </w:tblStylePr>
    <w:tblStylePr w:type="band1Vert">
      <w:tblPr/>
      <w:tcPr>
        <w:shd w:val="clear" w:color="auto" w:fill="FFF3E3" w:themeFill="accent4" w:themeFillTint="33"/>
      </w:tcPr>
    </w:tblStylePr>
    <w:tblStylePr w:type="band1Horz">
      <w:tblPr/>
      <w:tcPr>
        <w:shd w:val="clear" w:color="auto" w:fill="FFF3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E54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A3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A3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A3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A34" w:themeColor="accent5"/>
        </w:tcBorders>
        <w:shd w:val="clear" w:color="auto" w:fill="FFFFFF" w:themeFill="background1"/>
      </w:tcPr>
    </w:tblStylePr>
    <w:tblStylePr w:type="band1Vert">
      <w:tblPr/>
      <w:tcPr>
        <w:shd w:val="clear" w:color="auto" w:fill="FFE4D6" w:themeFill="accent5" w:themeFillTint="33"/>
      </w:tcPr>
    </w:tblStylePr>
    <w:tblStylePr w:type="band1Horz">
      <w:tblPr/>
      <w:tcPr>
        <w:shd w:val="clear" w:color="auto" w:fill="FFE4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D3102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404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404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404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404F" w:themeColor="accent6"/>
        </w:tcBorders>
        <w:shd w:val="clear" w:color="auto" w:fill="FFFFFF" w:themeFill="background1"/>
      </w:tcPr>
    </w:tblStylePr>
    <w:tblStylePr w:type="band1Vert">
      <w:tblPr/>
      <w:tcPr>
        <w:shd w:val="clear" w:color="auto" w:fill="FCD8DB" w:themeFill="accent6" w:themeFillTint="33"/>
      </w:tcPr>
    </w:tblStylePr>
    <w:tblStylePr w:type="band1Horz">
      <w:tblPr/>
      <w:tcPr>
        <w:shd w:val="clear" w:color="auto" w:fill="FCD8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278F85" w:themeColor="accent1" w:themeTint="BF"/>
        <w:left w:val="single" w:sz="8" w:space="0" w:color="278F85" w:themeColor="accent1" w:themeTint="BF"/>
        <w:bottom w:val="single" w:sz="8" w:space="0" w:color="278F85" w:themeColor="accent1" w:themeTint="BF"/>
        <w:right w:val="single" w:sz="8" w:space="0" w:color="278F85" w:themeColor="accent1" w:themeTint="BF"/>
        <w:insideH w:val="single" w:sz="8" w:space="0" w:color="278F85" w:themeColor="accent1" w:themeTint="BF"/>
        <w:insideV w:val="single" w:sz="8" w:space="0" w:color="278F85" w:themeColor="accent1" w:themeTint="BF"/>
      </w:tblBorders>
    </w:tblPr>
    <w:tcPr>
      <w:shd w:val="clear" w:color="auto" w:fill="AAE7E1" w:themeFill="accent1" w:themeFillTint="3F"/>
    </w:tcPr>
    <w:tblStylePr w:type="firstRow">
      <w:rPr>
        <w:b/>
        <w:bCs/>
      </w:rPr>
    </w:tblStylePr>
    <w:tblStylePr w:type="lastRow">
      <w:rPr>
        <w:b/>
        <w:bCs/>
      </w:rPr>
      <w:tblPr/>
      <w:tcPr>
        <w:tcBorders>
          <w:top w:val="single" w:sz="18" w:space="0" w:color="278F85" w:themeColor="accent1" w:themeTint="BF"/>
        </w:tcBorders>
      </w:tcPr>
    </w:tblStylePr>
    <w:tblStylePr w:type="firstCol">
      <w:rPr>
        <w:b/>
        <w:bCs/>
      </w:rPr>
    </w:tblStylePr>
    <w:tblStylePr w:type="lastCol">
      <w:rPr>
        <w:b/>
        <w:bCs/>
      </w:rPr>
    </w:tblStylePr>
    <w:tblStylePr w:type="band1Vert">
      <w:tblPr/>
      <w:tcPr>
        <w:shd w:val="clear" w:color="auto" w:fill="54D0C3" w:themeFill="accent1" w:themeFillTint="7F"/>
      </w:tcPr>
    </w:tblStylePr>
    <w:tblStylePr w:type="band1Horz">
      <w:tblPr/>
      <w:tcPr>
        <w:shd w:val="clear" w:color="auto" w:fill="54D0C3"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00EEA1" w:themeColor="accent2" w:themeTint="BF"/>
        <w:left w:val="single" w:sz="8" w:space="0" w:color="00EEA1" w:themeColor="accent2" w:themeTint="BF"/>
        <w:bottom w:val="single" w:sz="8" w:space="0" w:color="00EEA1" w:themeColor="accent2" w:themeTint="BF"/>
        <w:right w:val="single" w:sz="8" w:space="0" w:color="00EEA1" w:themeColor="accent2" w:themeTint="BF"/>
        <w:insideH w:val="single" w:sz="8" w:space="0" w:color="00EEA1" w:themeColor="accent2" w:themeTint="BF"/>
        <w:insideV w:val="single" w:sz="8" w:space="0" w:color="00EEA1" w:themeColor="accent2" w:themeTint="BF"/>
      </w:tblBorders>
    </w:tblPr>
    <w:tcPr>
      <w:shd w:val="clear" w:color="auto" w:fill="A5FFE2" w:themeFill="accent2" w:themeFillTint="3F"/>
    </w:tcPr>
    <w:tblStylePr w:type="firstRow">
      <w:rPr>
        <w:b/>
        <w:bCs/>
      </w:rPr>
    </w:tblStylePr>
    <w:tblStylePr w:type="lastRow">
      <w:rPr>
        <w:b/>
        <w:bCs/>
      </w:rPr>
      <w:tblPr/>
      <w:tcPr>
        <w:tcBorders>
          <w:top w:val="single" w:sz="18" w:space="0" w:color="00EEA1" w:themeColor="accent2" w:themeTint="BF"/>
        </w:tcBorders>
      </w:tcPr>
    </w:tblStylePr>
    <w:tblStylePr w:type="firstCol">
      <w:rPr>
        <w:b/>
        <w:bCs/>
      </w:rPr>
    </w:tblStylePr>
    <w:tblStylePr w:type="lastCol">
      <w:rPr>
        <w:b/>
        <w:bCs/>
      </w:rPr>
    </w:tblStylePr>
    <w:tblStylePr w:type="band1Vert">
      <w:tblPr/>
      <w:tcPr>
        <w:shd w:val="clear" w:color="auto" w:fill="4AFFC4" w:themeFill="accent2" w:themeFillTint="7F"/>
      </w:tcPr>
    </w:tblStylePr>
    <w:tblStylePr w:type="band1Horz">
      <w:tblPr/>
      <w:tcPr>
        <w:shd w:val="clear" w:color="auto" w:fill="4AFFC4"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F8E88B" w:themeColor="accent3" w:themeTint="BF"/>
        <w:left w:val="single" w:sz="8" w:space="0" w:color="F8E88B" w:themeColor="accent3" w:themeTint="BF"/>
        <w:bottom w:val="single" w:sz="8" w:space="0" w:color="F8E88B" w:themeColor="accent3" w:themeTint="BF"/>
        <w:right w:val="single" w:sz="8" w:space="0" w:color="F8E88B" w:themeColor="accent3" w:themeTint="BF"/>
        <w:insideH w:val="single" w:sz="8" w:space="0" w:color="F8E88B" w:themeColor="accent3" w:themeTint="BF"/>
        <w:insideV w:val="single" w:sz="8" w:space="0" w:color="F8E88B" w:themeColor="accent3" w:themeTint="BF"/>
      </w:tblBorders>
    </w:tblPr>
    <w:tcPr>
      <w:shd w:val="clear" w:color="auto" w:fill="FCF7D8" w:themeFill="accent3" w:themeFillTint="3F"/>
    </w:tcPr>
    <w:tblStylePr w:type="firstRow">
      <w:rPr>
        <w:b/>
        <w:bCs/>
      </w:rPr>
    </w:tblStylePr>
    <w:tblStylePr w:type="lastRow">
      <w:rPr>
        <w:b/>
        <w:bCs/>
      </w:rPr>
      <w:tblPr/>
      <w:tcPr>
        <w:tcBorders>
          <w:top w:val="single" w:sz="18" w:space="0" w:color="F8E88B" w:themeColor="accent3" w:themeTint="BF"/>
        </w:tcBorders>
      </w:tcPr>
    </w:tblStylePr>
    <w:tblStylePr w:type="firstCol">
      <w:rPr>
        <w:b/>
        <w:bCs/>
      </w:rPr>
    </w:tblStylePr>
    <w:tblStylePr w:type="lastCol">
      <w:rPr>
        <w:b/>
        <w:bCs/>
      </w:rPr>
    </w:tblStylePr>
    <w:tblStylePr w:type="band1Vert">
      <w:tblPr/>
      <w:tcPr>
        <w:shd w:val="clear" w:color="auto" w:fill="FAF0B2" w:themeFill="accent3" w:themeFillTint="7F"/>
      </w:tcPr>
    </w:tblStylePr>
    <w:tblStylePr w:type="band1Horz">
      <w:tblPr/>
      <w:tcPr>
        <w:shd w:val="clear" w:color="auto" w:fill="FAF0B2"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FFD499" w:themeColor="accent4" w:themeTint="BF"/>
        <w:left w:val="single" w:sz="8" w:space="0" w:color="FFD499" w:themeColor="accent4" w:themeTint="BF"/>
        <w:bottom w:val="single" w:sz="8" w:space="0" w:color="FFD499" w:themeColor="accent4" w:themeTint="BF"/>
        <w:right w:val="single" w:sz="8" w:space="0" w:color="FFD499" w:themeColor="accent4" w:themeTint="BF"/>
        <w:insideH w:val="single" w:sz="8" w:space="0" w:color="FFD499" w:themeColor="accent4" w:themeTint="BF"/>
        <w:insideV w:val="single" w:sz="8" w:space="0" w:color="FFD499" w:themeColor="accent4" w:themeTint="BF"/>
      </w:tblBorders>
    </w:tblPr>
    <w:tcPr>
      <w:shd w:val="clear" w:color="auto" w:fill="FFF0DD" w:themeFill="accent4" w:themeFillTint="3F"/>
    </w:tcPr>
    <w:tblStylePr w:type="firstRow">
      <w:rPr>
        <w:b/>
        <w:bCs/>
      </w:rPr>
    </w:tblStylePr>
    <w:tblStylePr w:type="lastRow">
      <w:rPr>
        <w:b/>
        <w:bCs/>
      </w:rPr>
      <w:tblPr/>
      <w:tcPr>
        <w:tcBorders>
          <w:top w:val="single" w:sz="18" w:space="0" w:color="FFD499" w:themeColor="accent4" w:themeTint="BF"/>
        </w:tcBorders>
      </w:tcPr>
    </w:tblStylePr>
    <w:tblStylePr w:type="firstCol">
      <w:rPr>
        <w:b/>
        <w:bCs/>
      </w:rPr>
    </w:tblStylePr>
    <w:tblStylePr w:type="lastCol">
      <w:rPr>
        <w:b/>
        <w:bCs/>
      </w:rPr>
    </w:tblStylePr>
    <w:tblStylePr w:type="band1Vert">
      <w:tblPr/>
      <w:tcPr>
        <w:shd w:val="clear" w:color="auto" w:fill="FFE2BB" w:themeFill="accent4" w:themeFillTint="7F"/>
      </w:tcPr>
    </w:tblStylePr>
    <w:tblStylePr w:type="band1Horz">
      <w:tblPr/>
      <w:tcPr>
        <w:shd w:val="clear" w:color="auto" w:fill="FFE2BB"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FF9A66" w:themeColor="accent5" w:themeTint="BF"/>
        <w:left w:val="single" w:sz="8" w:space="0" w:color="FF9A66" w:themeColor="accent5" w:themeTint="BF"/>
        <w:bottom w:val="single" w:sz="8" w:space="0" w:color="FF9A66" w:themeColor="accent5" w:themeTint="BF"/>
        <w:right w:val="single" w:sz="8" w:space="0" w:color="FF9A66" w:themeColor="accent5" w:themeTint="BF"/>
        <w:insideH w:val="single" w:sz="8" w:space="0" w:color="FF9A66" w:themeColor="accent5" w:themeTint="BF"/>
        <w:insideV w:val="single" w:sz="8" w:space="0" w:color="FF9A66" w:themeColor="accent5" w:themeTint="BF"/>
      </w:tblBorders>
    </w:tblPr>
    <w:tcPr>
      <w:shd w:val="clear" w:color="auto" w:fill="FFDDCC" w:themeFill="accent5" w:themeFillTint="3F"/>
    </w:tcPr>
    <w:tblStylePr w:type="firstRow">
      <w:rPr>
        <w:b/>
        <w:bCs/>
      </w:rPr>
    </w:tblStylePr>
    <w:tblStylePr w:type="lastRow">
      <w:rPr>
        <w:b/>
        <w:bCs/>
      </w:rPr>
      <w:tblPr/>
      <w:tcPr>
        <w:tcBorders>
          <w:top w:val="single" w:sz="18" w:space="0" w:color="FF9A66" w:themeColor="accent5" w:themeTint="BF"/>
        </w:tcBorders>
      </w:tcPr>
    </w:tblStylePr>
    <w:tblStylePr w:type="firstCol">
      <w:rPr>
        <w:b/>
        <w:bCs/>
      </w:rPr>
    </w:tblStylePr>
    <w:tblStylePr w:type="lastCol">
      <w:rPr>
        <w:b/>
        <w:bCs/>
      </w:rPr>
    </w:tblStylePr>
    <w:tblStylePr w:type="band1Vert">
      <w:tblPr/>
      <w:tcPr>
        <w:shd w:val="clear" w:color="auto" w:fill="FFBC99" w:themeFill="accent5" w:themeFillTint="7F"/>
      </w:tcPr>
    </w:tblStylePr>
    <w:tblStylePr w:type="band1Horz">
      <w:tblPr/>
      <w:tcPr>
        <w:shd w:val="clear" w:color="auto" w:fill="FFBC99"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F36F7A" w:themeColor="accent6" w:themeTint="BF"/>
        <w:left w:val="single" w:sz="8" w:space="0" w:color="F36F7A" w:themeColor="accent6" w:themeTint="BF"/>
        <w:bottom w:val="single" w:sz="8" w:space="0" w:color="F36F7A" w:themeColor="accent6" w:themeTint="BF"/>
        <w:right w:val="single" w:sz="8" w:space="0" w:color="F36F7A" w:themeColor="accent6" w:themeTint="BF"/>
        <w:insideH w:val="single" w:sz="8" w:space="0" w:color="F36F7A" w:themeColor="accent6" w:themeTint="BF"/>
        <w:insideV w:val="single" w:sz="8" w:space="0" w:color="F36F7A" w:themeColor="accent6" w:themeTint="BF"/>
      </w:tblBorders>
    </w:tblPr>
    <w:tcPr>
      <w:shd w:val="clear" w:color="auto" w:fill="FBCFD3" w:themeFill="accent6" w:themeFillTint="3F"/>
    </w:tcPr>
    <w:tblStylePr w:type="firstRow">
      <w:rPr>
        <w:b/>
        <w:bCs/>
      </w:rPr>
    </w:tblStylePr>
    <w:tblStylePr w:type="lastRow">
      <w:rPr>
        <w:b/>
        <w:bCs/>
      </w:rPr>
      <w:tblPr/>
      <w:tcPr>
        <w:tcBorders>
          <w:top w:val="single" w:sz="18" w:space="0" w:color="F36F7A" w:themeColor="accent6" w:themeTint="BF"/>
        </w:tcBorders>
      </w:tcPr>
    </w:tblStylePr>
    <w:tblStylePr w:type="firstCol">
      <w:rPr>
        <w:b/>
        <w:bCs/>
      </w:rPr>
    </w:tblStylePr>
    <w:tblStylePr w:type="lastCol">
      <w:rPr>
        <w:b/>
        <w:bCs/>
      </w:rPr>
    </w:tblStylePr>
    <w:tblStylePr w:type="band1Vert">
      <w:tblPr/>
      <w:tcPr>
        <w:shd w:val="clear" w:color="auto" w:fill="F79FA6" w:themeFill="accent6" w:themeFillTint="7F"/>
      </w:tcPr>
    </w:tblStylePr>
    <w:tblStylePr w:type="band1Horz">
      <w:tblPr/>
      <w:tcPr>
        <w:shd w:val="clear" w:color="auto" w:fill="F79FA6"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103A36" w:themeColor="accent1"/>
        <w:left w:val="single" w:sz="8" w:space="0" w:color="103A36" w:themeColor="accent1"/>
        <w:bottom w:val="single" w:sz="8" w:space="0" w:color="103A36" w:themeColor="accent1"/>
        <w:right w:val="single" w:sz="8" w:space="0" w:color="103A36" w:themeColor="accent1"/>
        <w:insideH w:val="single" w:sz="8" w:space="0" w:color="103A36" w:themeColor="accent1"/>
        <w:insideV w:val="single" w:sz="8" w:space="0" w:color="103A36" w:themeColor="accent1"/>
      </w:tblBorders>
    </w:tblPr>
    <w:tcPr>
      <w:shd w:val="clear" w:color="auto" w:fill="AAE7E1" w:themeFill="accent1" w:themeFillTint="3F"/>
    </w:tcPr>
    <w:tblStylePr w:type="firstRow">
      <w:rPr>
        <w:b/>
        <w:bCs/>
        <w:color w:val="000000" w:themeColor="text1"/>
      </w:rPr>
      <w:tblPr/>
      <w:tcPr>
        <w:shd w:val="clear" w:color="auto" w:fill="DDF5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CE7" w:themeFill="accent1" w:themeFillTint="33"/>
      </w:tcPr>
    </w:tblStylePr>
    <w:tblStylePr w:type="band1Vert">
      <w:tblPr/>
      <w:tcPr>
        <w:shd w:val="clear" w:color="auto" w:fill="54D0C3" w:themeFill="accent1" w:themeFillTint="7F"/>
      </w:tcPr>
    </w:tblStylePr>
    <w:tblStylePr w:type="band1Horz">
      <w:tblPr/>
      <w:tcPr>
        <w:tcBorders>
          <w:insideH w:val="single" w:sz="6" w:space="0" w:color="103A36" w:themeColor="accent1"/>
          <w:insideV w:val="single" w:sz="6" w:space="0" w:color="103A36" w:themeColor="accent1"/>
        </w:tcBorders>
        <w:shd w:val="clear" w:color="auto" w:fill="54D0C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9364" w:themeColor="accent2"/>
        <w:left w:val="single" w:sz="8" w:space="0" w:color="009364" w:themeColor="accent2"/>
        <w:bottom w:val="single" w:sz="8" w:space="0" w:color="009364" w:themeColor="accent2"/>
        <w:right w:val="single" w:sz="8" w:space="0" w:color="009364" w:themeColor="accent2"/>
        <w:insideH w:val="single" w:sz="8" w:space="0" w:color="009364" w:themeColor="accent2"/>
        <w:insideV w:val="single" w:sz="8" w:space="0" w:color="009364" w:themeColor="accent2"/>
      </w:tblBorders>
    </w:tblPr>
    <w:tcPr>
      <w:shd w:val="clear" w:color="auto" w:fill="A5FFE2" w:themeFill="accent2" w:themeFillTint="3F"/>
    </w:tcPr>
    <w:tblStylePr w:type="firstRow">
      <w:rPr>
        <w:b/>
        <w:bCs/>
        <w:color w:val="000000" w:themeColor="text1"/>
      </w:rPr>
      <w:tblPr/>
      <w:tcPr>
        <w:shd w:val="clear" w:color="auto" w:fill="DBFF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FFE7" w:themeFill="accent2" w:themeFillTint="33"/>
      </w:tcPr>
    </w:tblStylePr>
    <w:tblStylePr w:type="band1Vert">
      <w:tblPr/>
      <w:tcPr>
        <w:shd w:val="clear" w:color="auto" w:fill="4AFFC4" w:themeFill="accent2" w:themeFillTint="7F"/>
      </w:tcPr>
    </w:tblStylePr>
    <w:tblStylePr w:type="band1Horz">
      <w:tblPr/>
      <w:tcPr>
        <w:tcBorders>
          <w:insideH w:val="single" w:sz="6" w:space="0" w:color="009364" w:themeColor="accent2"/>
          <w:insideV w:val="single" w:sz="6" w:space="0" w:color="009364" w:themeColor="accent2"/>
        </w:tcBorders>
        <w:shd w:val="clear" w:color="auto" w:fill="4AFFC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6E265" w:themeColor="accent3"/>
        <w:left w:val="single" w:sz="8" w:space="0" w:color="F6E265" w:themeColor="accent3"/>
        <w:bottom w:val="single" w:sz="8" w:space="0" w:color="F6E265" w:themeColor="accent3"/>
        <w:right w:val="single" w:sz="8" w:space="0" w:color="F6E265" w:themeColor="accent3"/>
        <w:insideH w:val="single" w:sz="8" w:space="0" w:color="F6E265" w:themeColor="accent3"/>
        <w:insideV w:val="single" w:sz="8" w:space="0" w:color="F6E265" w:themeColor="accent3"/>
      </w:tblBorders>
    </w:tblPr>
    <w:tcPr>
      <w:shd w:val="clear" w:color="auto" w:fill="FCF7D8" w:themeFill="accent3" w:themeFillTint="3F"/>
    </w:tcPr>
    <w:tblStylePr w:type="firstRow">
      <w:rPr>
        <w:b/>
        <w:bCs/>
        <w:color w:val="000000" w:themeColor="text1"/>
      </w:rPr>
      <w:tblPr/>
      <w:tcPr>
        <w:shd w:val="clear" w:color="auto" w:fill="FEFC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9E0" w:themeFill="accent3" w:themeFillTint="33"/>
      </w:tcPr>
    </w:tblStylePr>
    <w:tblStylePr w:type="band1Vert">
      <w:tblPr/>
      <w:tcPr>
        <w:shd w:val="clear" w:color="auto" w:fill="FAF0B2" w:themeFill="accent3" w:themeFillTint="7F"/>
      </w:tcPr>
    </w:tblStylePr>
    <w:tblStylePr w:type="band1Horz">
      <w:tblPr/>
      <w:tcPr>
        <w:tcBorders>
          <w:insideH w:val="single" w:sz="6" w:space="0" w:color="F6E265" w:themeColor="accent3"/>
          <w:insideV w:val="single" w:sz="6" w:space="0" w:color="F6E265" w:themeColor="accent3"/>
        </w:tcBorders>
        <w:shd w:val="clear" w:color="auto" w:fill="FAF0B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C677" w:themeColor="accent4"/>
        <w:left w:val="single" w:sz="8" w:space="0" w:color="FFC677" w:themeColor="accent4"/>
        <w:bottom w:val="single" w:sz="8" w:space="0" w:color="FFC677" w:themeColor="accent4"/>
        <w:right w:val="single" w:sz="8" w:space="0" w:color="FFC677" w:themeColor="accent4"/>
        <w:insideH w:val="single" w:sz="8" w:space="0" w:color="FFC677" w:themeColor="accent4"/>
        <w:insideV w:val="single" w:sz="8" w:space="0" w:color="FFC677" w:themeColor="accent4"/>
      </w:tblBorders>
    </w:tblPr>
    <w:tcPr>
      <w:shd w:val="clear" w:color="auto" w:fill="FFF0DD" w:themeFill="accent4" w:themeFillTint="3F"/>
    </w:tcPr>
    <w:tblStylePr w:type="firstRow">
      <w:rPr>
        <w:b/>
        <w:bCs/>
        <w:color w:val="000000" w:themeColor="text1"/>
      </w:rPr>
      <w:tblPr/>
      <w:tcPr>
        <w:shd w:val="clear" w:color="auto" w:fill="FFF9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E3" w:themeFill="accent4" w:themeFillTint="33"/>
      </w:tcPr>
    </w:tblStylePr>
    <w:tblStylePr w:type="band1Vert">
      <w:tblPr/>
      <w:tcPr>
        <w:shd w:val="clear" w:color="auto" w:fill="FFE2BB" w:themeFill="accent4" w:themeFillTint="7F"/>
      </w:tcPr>
    </w:tblStylePr>
    <w:tblStylePr w:type="band1Horz">
      <w:tblPr/>
      <w:tcPr>
        <w:tcBorders>
          <w:insideH w:val="single" w:sz="6" w:space="0" w:color="FFC677" w:themeColor="accent4"/>
          <w:insideV w:val="single" w:sz="6" w:space="0" w:color="FFC677" w:themeColor="accent4"/>
        </w:tcBorders>
        <w:shd w:val="clear" w:color="auto" w:fill="FFE2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7A34" w:themeColor="accent5"/>
        <w:left w:val="single" w:sz="8" w:space="0" w:color="FF7A34" w:themeColor="accent5"/>
        <w:bottom w:val="single" w:sz="8" w:space="0" w:color="FF7A34" w:themeColor="accent5"/>
        <w:right w:val="single" w:sz="8" w:space="0" w:color="FF7A34" w:themeColor="accent5"/>
        <w:insideH w:val="single" w:sz="8" w:space="0" w:color="FF7A34" w:themeColor="accent5"/>
        <w:insideV w:val="single" w:sz="8" w:space="0" w:color="FF7A34" w:themeColor="accent5"/>
      </w:tblBorders>
    </w:tblPr>
    <w:tcPr>
      <w:shd w:val="clear" w:color="auto" w:fill="FFDDCC" w:themeFill="accent5" w:themeFillTint="3F"/>
    </w:tcPr>
    <w:tblStylePr w:type="firstRow">
      <w:rPr>
        <w:b/>
        <w:bCs/>
        <w:color w:val="000000" w:themeColor="text1"/>
      </w:rPr>
      <w:tblPr/>
      <w:tcPr>
        <w:shd w:val="clear" w:color="auto" w:fill="FFF1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4D6" w:themeFill="accent5" w:themeFillTint="33"/>
      </w:tcPr>
    </w:tblStylePr>
    <w:tblStylePr w:type="band1Vert">
      <w:tblPr/>
      <w:tcPr>
        <w:shd w:val="clear" w:color="auto" w:fill="FFBC99" w:themeFill="accent5" w:themeFillTint="7F"/>
      </w:tcPr>
    </w:tblStylePr>
    <w:tblStylePr w:type="band1Horz">
      <w:tblPr/>
      <w:tcPr>
        <w:tcBorders>
          <w:insideH w:val="single" w:sz="6" w:space="0" w:color="FF7A34" w:themeColor="accent5"/>
          <w:insideV w:val="single" w:sz="6" w:space="0" w:color="FF7A34" w:themeColor="accent5"/>
        </w:tcBorders>
        <w:shd w:val="clear" w:color="auto" w:fill="FFBC9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0404F" w:themeColor="accent6"/>
        <w:left w:val="single" w:sz="8" w:space="0" w:color="F0404F" w:themeColor="accent6"/>
        <w:bottom w:val="single" w:sz="8" w:space="0" w:color="F0404F" w:themeColor="accent6"/>
        <w:right w:val="single" w:sz="8" w:space="0" w:color="F0404F" w:themeColor="accent6"/>
        <w:insideH w:val="single" w:sz="8" w:space="0" w:color="F0404F" w:themeColor="accent6"/>
        <w:insideV w:val="single" w:sz="8" w:space="0" w:color="F0404F" w:themeColor="accent6"/>
      </w:tblBorders>
    </w:tblPr>
    <w:tcPr>
      <w:shd w:val="clear" w:color="auto" w:fill="FBCFD3" w:themeFill="accent6" w:themeFillTint="3F"/>
    </w:tcPr>
    <w:tblStylePr w:type="firstRow">
      <w:rPr>
        <w:b/>
        <w:bCs/>
        <w:color w:val="000000" w:themeColor="text1"/>
      </w:rPr>
      <w:tblPr/>
      <w:tcPr>
        <w:shd w:val="clear" w:color="auto" w:fill="FDEC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B" w:themeFill="accent6" w:themeFillTint="33"/>
      </w:tcPr>
    </w:tblStylePr>
    <w:tblStylePr w:type="band1Vert">
      <w:tblPr/>
      <w:tcPr>
        <w:shd w:val="clear" w:color="auto" w:fill="F79FA6" w:themeFill="accent6" w:themeFillTint="7F"/>
      </w:tcPr>
    </w:tblStylePr>
    <w:tblStylePr w:type="band1Horz">
      <w:tblPr/>
      <w:tcPr>
        <w:tcBorders>
          <w:insideH w:val="single" w:sz="6" w:space="0" w:color="F0404F" w:themeColor="accent6"/>
          <w:insideV w:val="single" w:sz="6" w:space="0" w:color="F0404F" w:themeColor="accent6"/>
        </w:tcBorders>
        <w:shd w:val="clear" w:color="auto" w:fill="F79F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7E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3A3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3A3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3A3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3A3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0C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0C3"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FF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36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36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36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36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AFFC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AFFC4"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7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26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26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26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26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0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0B2"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BB"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D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A3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A3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A3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A3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C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C99"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404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404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404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404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9F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9FA6"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10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103A36" w:themeColor="accent1"/>
        <w:bottom w:val="single" w:sz="8" w:space="0" w:color="103A36" w:themeColor="accent1"/>
      </w:tblBorders>
    </w:tblPr>
    <w:tblStylePr w:type="firstRow">
      <w:rPr>
        <w:rFonts w:asciiTheme="majorHAnsi" w:eastAsiaTheme="majorEastAsia" w:hAnsiTheme="majorHAnsi" w:cstheme="majorBidi"/>
      </w:rPr>
      <w:tblPr/>
      <w:tcPr>
        <w:tcBorders>
          <w:top w:val="nil"/>
          <w:bottom w:val="single" w:sz="8" w:space="0" w:color="103A36" w:themeColor="accent1"/>
        </w:tcBorders>
      </w:tcPr>
    </w:tblStylePr>
    <w:tblStylePr w:type="lastRow">
      <w:rPr>
        <w:b/>
        <w:bCs/>
        <w:color w:val="001032" w:themeColor="text2"/>
      </w:rPr>
      <w:tblPr/>
      <w:tcPr>
        <w:tcBorders>
          <w:top w:val="single" w:sz="8" w:space="0" w:color="103A36" w:themeColor="accent1"/>
          <w:bottom w:val="single" w:sz="8" w:space="0" w:color="103A36" w:themeColor="accent1"/>
        </w:tcBorders>
      </w:tcPr>
    </w:tblStylePr>
    <w:tblStylePr w:type="firstCol">
      <w:rPr>
        <w:b/>
        <w:bCs/>
      </w:rPr>
    </w:tblStylePr>
    <w:tblStylePr w:type="lastCol">
      <w:rPr>
        <w:b/>
        <w:bCs/>
      </w:rPr>
      <w:tblPr/>
      <w:tcPr>
        <w:tcBorders>
          <w:top w:val="single" w:sz="8" w:space="0" w:color="103A36" w:themeColor="accent1"/>
          <w:bottom w:val="single" w:sz="8" w:space="0" w:color="103A36" w:themeColor="accent1"/>
        </w:tcBorders>
      </w:tcPr>
    </w:tblStylePr>
    <w:tblStylePr w:type="band1Vert">
      <w:tblPr/>
      <w:tcPr>
        <w:shd w:val="clear" w:color="auto" w:fill="AAE7E1" w:themeFill="accent1" w:themeFillTint="3F"/>
      </w:tcPr>
    </w:tblStylePr>
    <w:tblStylePr w:type="band1Horz">
      <w:tblPr/>
      <w:tcPr>
        <w:shd w:val="clear" w:color="auto" w:fill="AAE7E1"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009364" w:themeColor="accent2"/>
        <w:bottom w:val="single" w:sz="8" w:space="0" w:color="009364" w:themeColor="accent2"/>
      </w:tblBorders>
    </w:tblPr>
    <w:tblStylePr w:type="firstRow">
      <w:rPr>
        <w:rFonts w:asciiTheme="majorHAnsi" w:eastAsiaTheme="majorEastAsia" w:hAnsiTheme="majorHAnsi" w:cstheme="majorBidi"/>
      </w:rPr>
      <w:tblPr/>
      <w:tcPr>
        <w:tcBorders>
          <w:top w:val="nil"/>
          <w:bottom w:val="single" w:sz="8" w:space="0" w:color="009364" w:themeColor="accent2"/>
        </w:tcBorders>
      </w:tcPr>
    </w:tblStylePr>
    <w:tblStylePr w:type="lastRow">
      <w:rPr>
        <w:b/>
        <w:bCs/>
        <w:color w:val="001032" w:themeColor="text2"/>
      </w:rPr>
      <w:tblPr/>
      <w:tcPr>
        <w:tcBorders>
          <w:top w:val="single" w:sz="8" w:space="0" w:color="009364" w:themeColor="accent2"/>
          <w:bottom w:val="single" w:sz="8" w:space="0" w:color="009364" w:themeColor="accent2"/>
        </w:tcBorders>
      </w:tcPr>
    </w:tblStylePr>
    <w:tblStylePr w:type="firstCol">
      <w:rPr>
        <w:b/>
        <w:bCs/>
      </w:rPr>
    </w:tblStylePr>
    <w:tblStylePr w:type="lastCol">
      <w:rPr>
        <w:b/>
        <w:bCs/>
      </w:rPr>
      <w:tblPr/>
      <w:tcPr>
        <w:tcBorders>
          <w:top w:val="single" w:sz="8" w:space="0" w:color="009364" w:themeColor="accent2"/>
          <w:bottom w:val="single" w:sz="8" w:space="0" w:color="009364" w:themeColor="accent2"/>
        </w:tcBorders>
      </w:tcPr>
    </w:tblStylePr>
    <w:tblStylePr w:type="band1Vert">
      <w:tblPr/>
      <w:tcPr>
        <w:shd w:val="clear" w:color="auto" w:fill="A5FFE2" w:themeFill="accent2" w:themeFillTint="3F"/>
      </w:tcPr>
    </w:tblStylePr>
    <w:tblStylePr w:type="band1Horz">
      <w:tblPr/>
      <w:tcPr>
        <w:shd w:val="clear" w:color="auto" w:fill="A5FFE2"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F6E265" w:themeColor="accent3"/>
        <w:bottom w:val="single" w:sz="8" w:space="0" w:color="F6E265" w:themeColor="accent3"/>
      </w:tblBorders>
    </w:tblPr>
    <w:tblStylePr w:type="firstRow">
      <w:rPr>
        <w:rFonts w:asciiTheme="majorHAnsi" w:eastAsiaTheme="majorEastAsia" w:hAnsiTheme="majorHAnsi" w:cstheme="majorBidi"/>
      </w:rPr>
      <w:tblPr/>
      <w:tcPr>
        <w:tcBorders>
          <w:top w:val="nil"/>
          <w:bottom w:val="single" w:sz="8" w:space="0" w:color="F6E265" w:themeColor="accent3"/>
        </w:tcBorders>
      </w:tcPr>
    </w:tblStylePr>
    <w:tblStylePr w:type="lastRow">
      <w:rPr>
        <w:b/>
        <w:bCs/>
        <w:color w:val="001032" w:themeColor="text2"/>
      </w:rPr>
      <w:tblPr/>
      <w:tcPr>
        <w:tcBorders>
          <w:top w:val="single" w:sz="8" w:space="0" w:color="F6E265" w:themeColor="accent3"/>
          <w:bottom w:val="single" w:sz="8" w:space="0" w:color="F6E265" w:themeColor="accent3"/>
        </w:tcBorders>
      </w:tcPr>
    </w:tblStylePr>
    <w:tblStylePr w:type="firstCol">
      <w:rPr>
        <w:b/>
        <w:bCs/>
      </w:rPr>
    </w:tblStylePr>
    <w:tblStylePr w:type="lastCol">
      <w:rPr>
        <w:b/>
        <w:bCs/>
      </w:rPr>
      <w:tblPr/>
      <w:tcPr>
        <w:tcBorders>
          <w:top w:val="single" w:sz="8" w:space="0" w:color="F6E265" w:themeColor="accent3"/>
          <w:bottom w:val="single" w:sz="8" w:space="0" w:color="F6E265" w:themeColor="accent3"/>
        </w:tcBorders>
      </w:tcPr>
    </w:tblStylePr>
    <w:tblStylePr w:type="band1Vert">
      <w:tblPr/>
      <w:tcPr>
        <w:shd w:val="clear" w:color="auto" w:fill="FCF7D8" w:themeFill="accent3" w:themeFillTint="3F"/>
      </w:tcPr>
    </w:tblStylePr>
    <w:tblStylePr w:type="band1Horz">
      <w:tblPr/>
      <w:tcPr>
        <w:shd w:val="clear" w:color="auto" w:fill="FCF7D8"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FFC677" w:themeColor="accent4"/>
        <w:bottom w:val="single" w:sz="8" w:space="0" w:color="FFC677" w:themeColor="accent4"/>
      </w:tblBorders>
    </w:tblPr>
    <w:tblStylePr w:type="firstRow">
      <w:rPr>
        <w:rFonts w:asciiTheme="majorHAnsi" w:eastAsiaTheme="majorEastAsia" w:hAnsiTheme="majorHAnsi" w:cstheme="majorBidi"/>
      </w:rPr>
      <w:tblPr/>
      <w:tcPr>
        <w:tcBorders>
          <w:top w:val="nil"/>
          <w:bottom w:val="single" w:sz="8" w:space="0" w:color="FFC677" w:themeColor="accent4"/>
        </w:tcBorders>
      </w:tcPr>
    </w:tblStylePr>
    <w:tblStylePr w:type="lastRow">
      <w:rPr>
        <w:b/>
        <w:bCs/>
        <w:color w:val="001032" w:themeColor="text2"/>
      </w:rPr>
      <w:tblPr/>
      <w:tcPr>
        <w:tcBorders>
          <w:top w:val="single" w:sz="8" w:space="0" w:color="FFC677" w:themeColor="accent4"/>
          <w:bottom w:val="single" w:sz="8" w:space="0" w:color="FFC677" w:themeColor="accent4"/>
        </w:tcBorders>
      </w:tcPr>
    </w:tblStylePr>
    <w:tblStylePr w:type="firstCol">
      <w:rPr>
        <w:b/>
        <w:bCs/>
      </w:rPr>
    </w:tblStylePr>
    <w:tblStylePr w:type="lastCol">
      <w:rPr>
        <w:b/>
        <w:bCs/>
      </w:rPr>
      <w:tblPr/>
      <w:tcPr>
        <w:tcBorders>
          <w:top w:val="single" w:sz="8" w:space="0" w:color="FFC677" w:themeColor="accent4"/>
          <w:bottom w:val="single" w:sz="8" w:space="0" w:color="FFC677" w:themeColor="accent4"/>
        </w:tcBorders>
      </w:tcPr>
    </w:tblStylePr>
    <w:tblStylePr w:type="band1Vert">
      <w:tblPr/>
      <w:tcPr>
        <w:shd w:val="clear" w:color="auto" w:fill="FFF0DD" w:themeFill="accent4" w:themeFillTint="3F"/>
      </w:tcPr>
    </w:tblStylePr>
    <w:tblStylePr w:type="band1Horz">
      <w:tblPr/>
      <w:tcPr>
        <w:shd w:val="clear" w:color="auto" w:fill="FFF0DD"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FF7A34" w:themeColor="accent5"/>
        <w:bottom w:val="single" w:sz="8" w:space="0" w:color="FF7A34" w:themeColor="accent5"/>
      </w:tblBorders>
    </w:tblPr>
    <w:tblStylePr w:type="firstRow">
      <w:rPr>
        <w:rFonts w:asciiTheme="majorHAnsi" w:eastAsiaTheme="majorEastAsia" w:hAnsiTheme="majorHAnsi" w:cstheme="majorBidi"/>
      </w:rPr>
      <w:tblPr/>
      <w:tcPr>
        <w:tcBorders>
          <w:top w:val="nil"/>
          <w:bottom w:val="single" w:sz="8" w:space="0" w:color="FF7A34" w:themeColor="accent5"/>
        </w:tcBorders>
      </w:tcPr>
    </w:tblStylePr>
    <w:tblStylePr w:type="lastRow">
      <w:rPr>
        <w:b/>
        <w:bCs/>
        <w:color w:val="001032" w:themeColor="text2"/>
      </w:rPr>
      <w:tblPr/>
      <w:tcPr>
        <w:tcBorders>
          <w:top w:val="single" w:sz="8" w:space="0" w:color="FF7A34" w:themeColor="accent5"/>
          <w:bottom w:val="single" w:sz="8" w:space="0" w:color="FF7A34" w:themeColor="accent5"/>
        </w:tcBorders>
      </w:tcPr>
    </w:tblStylePr>
    <w:tblStylePr w:type="firstCol">
      <w:rPr>
        <w:b/>
        <w:bCs/>
      </w:rPr>
    </w:tblStylePr>
    <w:tblStylePr w:type="lastCol">
      <w:rPr>
        <w:b/>
        <w:bCs/>
      </w:rPr>
      <w:tblPr/>
      <w:tcPr>
        <w:tcBorders>
          <w:top w:val="single" w:sz="8" w:space="0" w:color="FF7A34" w:themeColor="accent5"/>
          <w:bottom w:val="single" w:sz="8" w:space="0" w:color="FF7A34" w:themeColor="accent5"/>
        </w:tcBorders>
      </w:tcPr>
    </w:tblStylePr>
    <w:tblStylePr w:type="band1Vert">
      <w:tblPr/>
      <w:tcPr>
        <w:shd w:val="clear" w:color="auto" w:fill="FFDDCC" w:themeFill="accent5" w:themeFillTint="3F"/>
      </w:tcPr>
    </w:tblStylePr>
    <w:tblStylePr w:type="band1Horz">
      <w:tblPr/>
      <w:tcPr>
        <w:shd w:val="clear" w:color="auto" w:fill="FFDDCC"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F0404F" w:themeColor="accent6"/>
        <w:bottom w:val="single" w:sz="8" w:space="0" w:color="F0404F" w:themeColor="accent6"/>
      </w:tblBorders>
    </w:tblPr>
    <w:tblStylePr w:type="firstRow">
      <w:rPr>
        <w:rFonts w:asciiTheme="majorHAnsi" w:eastAsiaTheme="majorEastAsia" w:hAnsiTheme="majorHAnsi" w:cstheme="majorBidi"/>
      </w:rPr>
      <w:tblPr/>
      <w:tcPr>
        <w:tcBorders>
          <w:top w:val="nil"/>
          <w:bottom w:val="single" w:sz="8" w:space="0" w:color="F0404F" w:themeColor="accent6"/>
        </w:tcBorders>
      </w:tcPr>
    </w:tblStylePr>
    <w:tblStylePr w:type="lastRow">
      <w:rPr>
        <w:b/>
        <w:bCs/>
        <w:color w:val="001032" w:themeColor="text2"/>
      </w:rPr>
      <w:tblPr/>
      <w:tcPr>
        <w:tcBorders>
          <w:top w:val="single" w:sz="8" w:space="0" w:color="F0404F" w:themeColor="accent6"/>
          <w:bottom w:val="single" w:sz="8" w:space="0" w:color="F0404F" w:themeColor="accent6"/>
        </w:tcBorders>
      </w:tcPr>
    </w:tblStylePr>
    <w:tblStylePr w:type="firstCol">
      <w:rPr>
        <w:b/>
        <w:bCs/>
      </w:rPr>
    </w:tblStylePr>
    <w:tblStylePr w:type="lastCol">
      <w:rPr>
        <w:b/>
        <w:bCs/>
      </w:rPr>
      <w:tblPr/>
      <w:tcPr>
        <w:tcBorders>
          <w:top w:val="single" w:sz="8" w:space="0" w:color="F0404F" w:themeColor="accent6"/>
          <w:bottom w:val="single" w:sz="8" w:space="0" w:color="F0404F" w:themeColor="accent6"/>
        </w:tcBorders>
      </w:tcPr>
    </w:tblStylePr>
    <w:tblStylePr w:type="band1Vert">
      <w:tblPr/>
      <w:tcPr>
        <w:shd w:val="clear" w:color="auto" w:fill="FBCFD3" w:themeFill="accent6" w:themeFillTint="3F"/>
      </w:tcPr>
    </w:tblStylePr>
    <w:tblStylePr w:type="band1Horz">
      <w:tblPr/>
      <w:tcPr>
        <w:shd w:val="clear" w:color="auto" w:fill="FBCFD3"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103A36" w:themeColor="accent1"/>
        <w:left w:val="single" w:sz="8" w:space="0" w:color="103A36" w:themeColor="accent1"/>
        <w:bottom w:val="single" w:sz="8" w:space="0" w:color="103A36" w:themeColor="accent1"/>
        <w:right w:val="single" w:sz="8" w:space="0" w:color="103A36" w:themeColor="accent1"/>
      </w:tblBorders>
    </w:tblPr>
    <w:tblStylePr w:type="firstRow">
      <w:rPr>
        <w:sz w:val="24"/>
        <w:szCs w:val="24"/>
      </w:rPr>
      <w:tblPr/>
      <w:tcPr>
        <w:tcBorders>
          <w:top w:val="nil"/>
          <w:left w:val="nil"/>
          <w:bottom w:val="single" w:sz="24" w:space="0" w:color="103A36" w:themeColor="accent1"/>
          <w:right w:val="nil"/>
          <w:insideH w:val="nil"/>
          <w:insideV w:val="nil"/>
        </w:tcBorders>
        <w:shd w:val="clear" w:color="auto" w:fill="FFFFFF" w:themeFill="background1"/>
      </w:tcPr>
    </w:tblStylePr>
    <w:tblStylePr w:type="lastRow">
      <w:tblPr/>
      <w:tcPr>
        <w:tcBorders>
          <w:top w:val="single" w:sz="8" w:space="0" w:color="103A3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3A36" w:themeColor="accent1"/>
          <w:insideH w:val="nil"/>
          <w:insideV w:val="nil"/>
        </w:tcBorders>
        <w:shd w:val="clear" w:color="auto" w:fill="FFFFFF" w:themeFill="background1"/>
      </w:tcPr>
    </w:tblStylePr>
    <w:tblStylePr w:type="lastCol">
      <w:tblPr/>
      <w:tcPr>
        <w:tcBorders>
          <w:top w:val="nil"/>
          <w:left w:val="single" w:sz="8" w:space="0" w:color="103A3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7E1" w:themeFill="accent1" w:themeFillTint="3F"/>
      </w:tcPr>
    </w:tblStylePr>
    <w:tblStylePr w:type="band1Horz">
      <w:tblPr/>
      <w:tcPr>
        <w:tcBorders>
          <w:top w:val="nil"/>
          <w:bottom w:val="nil"/>
          <w:insideH w:val="nil"/>
          <w:insideV w:val="nil"/>
        </w:tcBorders>
        <w:shd w:val="clear" w:color="auto" w:fill="AAE7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9364" w:themeColor="accent2"/>
        <w:left w:val="single" w:sz="8" w:space="0" w:color="009364" w:themeColor="accent2"/>
        <w:bottom w:val="single" w:sz="8" w:space="0" w:color="009364" w:themeColor="accent2"/>
        <w:right w:val="single" w:sz="8" w:space="0" w:color="009364" w:themeColor="accent2"/>
      </w:tblBorders>
    </w:tblPr>
    <w:tblStylePr w:type="firstRow">
      <w:rPr>
        <w:sz w:val="24"/>
        <w:szCs w:val="24"/>
      </w:rPr>
      <w:tblPr/>
      <w:tcPr>
        <w:tcBorders>
          <w:top w:val="nil"/>
          <w:left w:val="nil"/>
          <w:bottom w:val="single" w:sz="24" w:space="0" w:color="009364" w:themeColor="accent2"/>
          <w:right w:val="nil"/>
          <w:insideH w:val="nil"/>
          <w:insideV w:val="nil"/>
        </w:tcBorders>
        <w:shd w:val="clear" w:color="auto" w:fill="FFFFFF" w:themeFill="background1"/>
      </w:tcPr>
    </w:tblStylePr>
    <w:tblStylePr w:type="lastRow">
      <w:tblPr/>
      <w:tcPr>
        <w:tcBorders>
          <w:top w:val="single" w:sz="8" w:space="0" w:color="00936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364" w:themeColor="accent2"/>
          <w:insideH w:val="nil"/>
          <w:insideV w:val="nil"/>
        </w:tcBorders>
        <w:shd w:val="clear" w:color="auto" w:fill="FFFFFF" w:themeFill="background1"/>
      </w:tcPr>
    </w:tblStylePr>
    <w:tblStylePr w:type="lastCol">
      <w:tblPr/>
      <w:tcPr>
        <w:tcBorders>
          <w:top w:val="nil"/>
          <w:left w:val="single" w:sz="8" w:space="0" w:color="00936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FFE2" w:themeFill="accent2" w:themeFillTint="3F"/>
      </w:tcPr>
    </w:tblStylePr>
    <w:tblStylePr w:type="band1Horz">
      <w:tblPr/>
      <w:tcPr>
        <w:tcBorders>
          <w:top w:val="nil"/>
          <w:bottom w:val="nil"/>
          <w:insideH w:val="nil"/>
          <w:insideV w:val="nil"/>
        </w:tcBorders>
        <w:shd w:val="clear" w:color="auto" w:fill="A5FF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6E265" w:themeColor="accent3"/>
        <w:left w:val="single" w:sz="8" w:space="0" w:color="F6E265" w:themeColor="accent3"/>
        <w:bottom w:val="single" w:sz="8" w:space="0" w:color="F6E265" w:themeColor="accent3"/>
        <w:right w:val="single" w:sz="8" w:space="0" w:color="F6E265" w:themeColor="accent3"/>
      </w:tblBorders>
    </w:tblPr>
    <w:tblStylePr w:type="firstRow">
      <w:rPr>
        <w:sz w:val="24"/>
        <w:szCs w:val="24"/>
      </w:rPr>
      <w:tblPr/>
      <w:tcPr>
        <w:tcBorders>
          <w:top w:val="nil"/>
          <w:left w:val="nil"/>
          <w:bottom w:val="single" w:sz="24" w:space="0" w:color="F6E265" w:themeColor="accent3"/>
          <w:right w:val="nil"/>
          <w:insideH w:val="nil"/>
          <w:insideV w:val="nil"/>
        </w:tcBorders>
        <w:shd w:val="clear" w:color="auto" w:fill="FFFFFF" w:themeFill="background1"/>
      </w:tcPr>
    </w:tblStylePr>
    <w:tblStylePr w:type="lastRow">
      <w:tblPr/>
      <w:tcPr>
        <w:tcBorders>
          <w:top w:val="single" w:sz="8" w:space="0" w:color="F6E26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265" w:themeColor="accent3"/>
          <w:insideH w:val="nil"/>
          <w:insideV w:val="nil"/>
        </w:tcBorders>
        <w:shd w:val="clear" w:color="auto" w:fill="FFFFFF" w:themeFill="background1"/>
      </w:tcPr>
    </w:tblStylePr>
    <w:tblStylePr w:type="lastCol">
      <w:tblPr/>
      <w:tcPr>
        <w:tcBorders>
          <w:top w:val="nil"/>
          <w:left w:val="single" w:sz="8" w:space="0" w:color="F6E26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7D8" w:themeFill="accent3" w:themeFillTint="3F"/>
      </w:tcPr>
    </w:tblStylePr>
    <w:tblStylePr w:type="band1Horz">
      <w:tblPr/>
      <w:tcPr>
        <w:tcBorders>
          <w:top w:val="nil"/>
          <w:bottom w:val="nil"/>
          <w:insideH w:val="nil"/>
          <w:insideV w:val="nil"/>
        </w:tcBorders>
        <w:shd w:val="clear" w:color="auto" w:fill="FCF7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C677" w:themeColor="accent4"/>
        <w:left w:val="single" w:sz="8" w:space="0" w:color="FFC677" w:themeColor="accent4"/>
        <w:bottom w:val="single" w:sz="8" w:space="0" w:color="FFC677" w:themeColor="accent4"/>
        <w:right w:val="single" w:sz="8" w:space="0" w:color="FFC677" w:themeColor="accent4"/>
      </w:tblBorders>
    </w:tblPr>
    <w:tblStylePr w:type="firstRow">
      <w:rPr>
        <w:sz w:val="24"/>
        <w:szCs w:val="24"/>
      </w:rPr>
      <w:tblPr/>
      <w:tcPr>
        <w:tcBorders>
          <w:top w:val="nil"/>
          <w:left w:val="nil"/>
          <w:bottom w:val="single" w:sz="24" w:space="0" w:color="FFC677" w:themeColor="accent4"/>
          <w:right w:val="nil"/>
          <w:insideH w:val="nil"/>
          <w:insideV w:val="nil"/>
        </w:tcBorders>
        <w:shd w:val="clear" w:color="auto" w:fill="FFFFFF" w:themeFill="background1"/>
      </w:tcPr>
    </w:tblStylePr>
    <w:tblStylePr w:type="lastRow">
      <w:tblPr/>
      <w:tcPr>
        <w:tcBorders>
          <w:top w:val="single" w:sz="8" w:space="0" w:color="FFC67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77" w:themeColor="accent4"/>
          <w:insideH w:val="nil"/>
          <w:insideV w:val="nil"/>
        </w:tcBorders>
        <w:shd w:val="clear" w:color="auto" w:fill="FFFFFF" w:themeFill="background1"/>
      </w:tcPr>
    </w:tblStylePr>
    <w:tblStylePr w:type="lastCol">
      <w:tblPr/>
      <w:tcPr>
        <w:tcBorders>
          <w:top w:val="nil"/>
          <w:left w:val="single" w:sz="8" w:space="0" w:color="FFC6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DD" w:themeFill="accent4" w:themeFillTint="3F"/>
      </w:tcPr>
    </w:tblStylePr>
    <w:tblStylePr w:type="band1Horz">
      <w:tblPr/>
      <w:tcPr>
        <w:tcBorders>
          <w:top w:val="nil"/>
          <w:bottom w:val="nil"/>
          <w:insideH w:val="nil"/>
          <w:insideV w:val="nil"/>
        </w:tcBorders>
        <w:shd w:val="clear" w:color="auto" w:fill="FFF0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7A34" w:themeColor="accent5"/>
        <w:left w:val="single" w:sz="8" w:space="0" w:color="FF7A34" w:themeColor="accent5"/>
        <w:bottom w:val="single" w:sz="8" w:space="0" w:color="FF7A34" w:themeColor="accent5"/>
        <w:right w:val="single" w:sz="8" w:space="0" w:color="FF7A34" w:themeColor="accent5"/>
      </w:tblBorders>
    </w:tblPr>
    <w:tblStylePr w:type="firstRow">
      <w:rPr>
        <w:sz w:val="24"/>
        <w:szCs w:val="24"/>
      </w:rPr>
      <w:tblPr/>
      <w:tcPr>
        <w:tcBorders>
          <w:top w:val="nil"/>
          <w:left w:val="nil"/>
          <w:bottom w:val="single" w:sz="24" w:space="0" w:color="FF7A34" w:themeColor="accent5"/>
          <w:right w:val="nil"/>
          <w:insideH w:val="nil"/>
          <w:insideV w:val="nil"/>
        </w:tcBorders>
        <w:shd w:val="clear" w:color="auto" w:fill="FFFFFF" w:themeFill="background1"/>
      </w:tcPr>
    </w:tblStylePr>
    <w:tblStylePr w:type="lastRow">
      <w:tblPr/>
      <w:tcPr>
        <w:tcBorders>
          <w:top w:val="single" w:sz="8" w:space="0" w:color="FF7A3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A34" w:themeColor="accent5"/>
          <w:insideH w:val="nil"/>
          <w:insideV w:val="nil"/>
        </w:tcBorders>
        <w:shd w:val="clear" w:color="auto" w:fill="FFFFFF" w:themeFill="background1"/>
      </w:tcPr>
    </w:tblStylePr>
    <w:tblStylePr w:type="lastCol">
      <w:tblPr/>
      <w:tcPr>
        <w:tcBorders>
          <w:top w:val="nil"/>
          <w:left w:val="single" w:sz="8" w:space="0" w:color="FF7A3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DCC" w:themeFill="accent5" w:themeFillTint="3F"/>
      </w:tcPr>
    </w:tblStylePr>
    <w:tblStylePr w:type="band1Horz">
      <w:tblPr/>
      <w:tcPr>
        <w:tcBorders>
          <w:top w:val="nil"/>
          <w:bottom w:val="nil"/>
          <w:insideH w:val="nil"/>
          <w:insideV w:val="nil"/>
        </w:tcBorders>
        <w:shd w:val="clear" w:color="auto" w:fill="FFDD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0404F" w:themeColor="accent6"/>
        <w:left w:val="single" w:sz="8" w:space="0" w:color="F0404F" w:themeColor="accent6"/>
        <w:bottom w:val="single" w:sz="8" w:space="0" w:color="F0404F" w:themeColor="accent6"/>
        <w:right w:val="single" w:sz="8" w:space="0" w:color="F0404F" w:themeColor="accent6"/>
      </w:tblBorders>
    </w:tblPr>
    <w:tblStylePr w:type="firstRow">
      <w:rPr>
        <w:sz w:val="24"/>
        <w:szCs w:val="24"/>
      </w:rPr>
      <w:tblPr/>
      <w:tcPr>
        <w:tcBorders>
          <w:top w:val="nil"/>
          <w:left w:val="nil"/>
          <w:bottom w:val="single" w:sz="24" w:space="0" w:color="F0404F" w:themeColor="accent6"/>
          <w:right w:val="nil"/>
          <w:insideH w:val="nil"/>
          <w:insideV w:val="nil"/>
        </w:tcBorders>
        <w:shd w:val="clear" w:color="auto" w:fill="FFFFFF" w:themeFill="background1"/>
      </w:tcPr>
    </w:tblStylePr>
    <w:tblStylePr w:type="lastRow">
      <w:tblPr/>
      <w:tcPr>
        <w:tcBorders>
          <w:top w:val="single" w:sz="8" w:space="0" w:color="F0404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404F" w:themeColor="accent6"/>
          <w:insideH w:val="nil"/>
          <w:insideV w:val="nil"/>
        </w:tcBorders>
        <w:shd w:val="clear" w:color="auto" w:fill="FFFFFF" w:themeFill="background1"/>
      </w:tcPr>
    </w:tblStylePr>
    <w:tblStylePr w:type="lastCol">
      <w:tblPr/>
      <w:tcPr>
        <w:tcBorders>
          <w:top w:val="nil"/>
          <w:left w:val="single" w:sz="8" w:space="0" w:color="F0404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D3" w:themeFill="accent6" w:themeFillTint="3F"/>
      </w:tcPr>
    </w:tblStylePr>
    <w:tblStylePr w:type="band1Horz">
      <w:tblPr/>
      <w:tcPr>
        <w:tcBorders>
          <w:top w:val="nil"/>
          <w:bottom w:val="nil"/>
          <w:insideH w:val="nil"/>
          <w:insideV w:val="nil"/>
        </w:tcBorders>
        <w:shd w:val="clear" w:color="auto" w:fill="FBCF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278F85" w:themeColor="accent1" w:themeTint="BF"/>
        <w:left w:val="single" w:sz="8" w:space="0" w:color="278F85" w:themeColor="accent1" w:themeTint="BF"/>
        <w:bottom w:val="single" w:sz="8" w:space="0" w:color="278F85" w:themeColor="accent1" w:themeTint="BF"/>
        <w:right w:val="single" w:sz="8" w:space="0" w:color="278F85" w:themeColor="accent1" w:themeTint="BF"/>
        <w:insideH w:val="single" w:sz="8" w:space="0" w:color="278F85" w:themeColor="accent1" w:themeTint="BF"/>
      </w:tblBorders>
    </w:tblPr>
    <w:tblStylePr w:type="firstRow">
      <w:pPr>
        <w:spacing w:before="0" w:after="0" w:line="240" w:lineRule="auto"/>
      </w:pPr>
      <w:rPr>
        <w:b/>
        <w:bCs/>
        <w:color w:val="FFFFFF" w:themeColor="background1"/>
      </w:rPr>
      <w:tblPr/>
      <w:tcPr>
        <w:tcBorders>
          <w:top w:val="single" w:sz="8" w:space="0" w:color="278F85" w:themeColor="accent1" w:themeTint="BF"/>
          <w:left w:val="single" w:sz="8" w:space="0" w:color="278F85" w:themeColor="accent1" w:themeTint="BF"/>
          <w:bottom w:val="single" w:sz="8" w:space="0" w:color="278F85" w:themeColor="accent1" w:themeTint="BF"/>
          <w:right w:val="single" w:sz="8" w:space="0" w:color="278F85" w:themeColor="accent1" w:themeTint="BF"/>
          <w:insideH w:val="nil"/>
          <w:insideV w:val="nil"/>
        </w:tcBorders>
        <w:shd w:val="clear" w:color="auto" w:fill="103A36" w:themeFill="accent1"/>
      </w:tcPr>
    </w:tblStylePr>
    <w:tblStylePr w:type="lastRow">
      <w:pPr>
        <w:spacing w:before="0" w:after="0" w:line="240" w:lineRule="auto"/>
      </w:pPr>
      <w:rPr>
        <w:b/>
        <w:bCs/>
      </w:rPr>
      <w:tblPr/>
      <w:tcPr>
        <w:tcBorders>
          <w:top w:val="double" w:sz="6" w:space="0" w:color="278F85" w:themeColor="accent1" w:themeTint="BF"/>
          <w:left w:val="single" w:sz="8" w:space="0" w:color="278F85" w:themeColor="accent1" w:themeTint="BF"/>
          <w:bottom w:val="single" w:sz="8" w:space="0" w:color="278F85" w:themeColor="accent1" w:themeTint="BF"/>
          <w:right w:val="single" w:sz="8" w:space="0" w:color="278F8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E7E1" w:themeFill="accent1" w:themeFillTint="3F"/>
      </w:tcPr>
    </w:tblStylePr>
    <w:tblStylePr w:type="band1Horz">
      <w:tblPr/>
      <w:tcPr>
        <w:tcBorders>
          <w:insideH w:val="nil"/>
          <w:insideV w:val="nil"/>
        </w:tcBorders>
        <w:shd w:val="clear" w:color="auto" w:fill="AAE7E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00EEA1" w:themeColor="accent2" w:themeTint="BF"/>
        <w:left w:val="single" w:sz="8" w:space="0" w:color="00EEA1" w:themeColor="accent2" w:themeTint="BF"/>
        <w:bottom w:val="single" w:sz="8" w:space="0" w:color="00EEA1" w:themeColor="accent2" w:themeTint="BF"/>
        <w:right w:val="single" w:sz="8" w:space="0" w:color="00EEA1" w:themeColor="accent2" w:themeTint="BF"/>
        <w:insideH w:val="single" w:sz="8" w:space="0" w:color="00EEA1" w:themeColor="accent2" w:themeTint="BF"/>
      </w:tblBorders>
    </w:tblPr>
    <w:tblStylePr w:type="firstRow">
      <w:pPr>
        <w:spacing w:before="0" w:after="0" w:line="240" w:lineRule="auto"/>
      </w:pPr>
      <w:rPr>
        <w:b/>
        <w:bCs/>
        <w:color w:val="FFFFFF" w:themeColor="background1"/>
      </w:rPr>
      <w:tblPr/>
      <w:tcPr>
        <w:tcBorders>
          <w:top w:val="single" w:sz="8" w:space="0" w:color="00EEA1" w:themeColor="accent2" w:themeTint="BF"/>
          <w:left w:val="single" w:sz="8" w:space="0" w:color="00EEA1" w:themeColor="accent2" w:themeTint="BF"/>
          <w:bottom w:val="single" w:sz="8" w:space="0" w:color="00EEA1" w:themeColor="accent2" w:themeTint="BF"/>
          <w:right w:val="single" w:sz="8" w:space="0" w:color="00EEA1" w:themeColor="accent2" w:themeTint="BF"/>
          <w:insideH w:val="nil"/>
          <w:insideV w:val="nil"/>
        </w:tcBorders>
        <w:shd w:val="clear" w:color="auto" w:fill="009364" w:themeFill="accent2"/>
      </w:tcPr>
    </w:tblStylePr>
    <w:tblStylePr w:type="lastRow">
      <w:pPr>
        <w:spacing w:before="0" w:after="0" w:line="240" w:lineRule="auto"/>
      </w:pPr>
      <w:rPr>
        <w:b/>
        <w:bCs/>
      </w:rPr>
      <w:tblPr/>
      <w:tcPr>
        <w:tcBorders>
          <w:top w:val="double" w:sz="6" w:space="0" w:color="00EEA1" w:themeColor="accent2" w:themeTint="BF"/>
          <w:left w:val="single" w:sz="8" w:space="0" w:color="00EEA1" w:themeColor="accent2" w:themeTint="BF"/>
          <w:bottom w:val="single" w:sz="8" w:space="0" w:color="00EEA1" w:themeColor="accent2" w:themeTint="BF"/>
          <w:right w:val="single" w:sz="8" w:space="0" w:color="00EEA1" w:themeColor="accent2" w:themeTint="BF"/>
          <w:insideH w:val="nil"/>
          <w:insideV w:val="nil"/>
        </w:tcBorders>
      </w:tcPr>
    </w:tblStylePr>
    <w:tblStylePr w:type="firstCol">
      <w:rPr>
        <w:b/>
        <w:bCs/>
      </w:rPr>
    </w:tblStylePr>
    <w:tblStylePr w:type="lastCol">
      <w:rPr>
        <w:b/>
        <w:bCs/>
      </w:rPr>
    </w:tblStylePr>
    <w:tblStylePr w:type="band1Vert">
      <w:tblPr/>
      <w:tcPr>
        <w:shd w:val="clear" w:color="auto" w:fill="A5FFE2" w:themeFill="accent2" w:themeFillTint="3F"/>
      </w:tcPr>
    </w:tblStylePr>
    <w:tblStylePr w:type="band1Horz">
      <w:tblPr/>
      <w:tcPr>
        <w:tcBorders>
          <w:insideH w:val="nil"/>
          <w:insideV w:val="nil"/>
        </w:tcBorders>
        <w:shd w:val="clear" w:color="auto" w:fill="A5FFE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F8E88B" w:themeColor="accent3" w:themeTint="BF"/>
        <w:left w:val="single" w:sz="8" w:space="0" w:color="F8E88B" w:themeColor="accent3" w:themeTint="BF"/>
        <w:bottom w:val="single" w:sz="8" w:space="0" w:color="F8E88B" w:themeColor="accent3" w:themeTint="BF"/>
        <w:right w:val="single" w:sz="8" w:space="0" w:color="F8E88B" w:themeColor="accent3" w:themeTint="BF"/>
        <w:insideH w:val="single" w:sz="8" w:space="0" w:color="F8E88B" w:themeColor="accent3" w:themeTint="BF"/>
      </w:tblBorders>
    </w:tblPr>
    <w:tblStylePr w:type="firstRow">
      <w:pPr>
        <w:spacing w:before="0" w:after="0" w:line="240" w:lineRule="auto"/>
      </w:pPr>
      <w:rPr>
        <w:b/>
        <w:bCs/>
        <w:color w:val="FFFFFF" w:themeColor="background1"/>
      </w:rPr>
      <w:tblPr/>
      <w:tcPr>
        <w:tcBorders>
          <w:top w:val="single" w:sz="8" w:space="0" w:color="F8E88B" w:themeColor="accent3" w:themeTint="BF"/>
          <w:left w:val="single" w:sz="8" w:space="0" w:color="F8E88B" w:themeColor="accent3" w:themeTint="BF"/>
          <w:bottom w:val="single" w:sz="8" w:space="0" w:color="F8E88B" w:themeColor="accent3" w:themeTint="BF"/>
          <w:right w:val="single" w:sz="8" w:space="0" w:color="F8E88B" w:themeColor="accent3" w:themeTint="BF"/>
          <w:insideH w:val="nil"/>
          <w:insideV w:val="nil"/>
        </w:tcBorders>
        <w:shd w:val="clear" w:color="auto" w:fill="F6E265" w:themeFill="accent3"/>
      </w:tcPr>
    </w:tblStylePr>
    <w:tblStylePr w:type="lastRow">
      <w:pPr>
        <w:spacing w:before="0" w:after="0" w:line="240" w:lineRule="auto"/>
      </w:pPr>
      <w:rPr>
        <w:b/>
        <w:bCs/>
      </w:rPr>
      <w:tblPr/>
      <w:tcPr>
        <w:tcBorders>
          <w:top w:val="double" w:sz="6" w:space="0" w:color="F8E88B" w:themeColor="accent3" w:themeTint="BF"/>
          <w:left w:val="single" w:sz="8" w:space="0" w:color="F8E88B" w:themeColor="accent3" w:themeTint="BF"/>
          <w:bottom w:val="single" w:sz="8" w:space="0" w:color="F8E88B" w:themeColor="accent3" w:themeTint="BF"/>
          <w:right w:val="single" w:sz="8" w:space="0" w:color="F8E88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7D8" w:themeFill="accent3" w:themeFillTint="3F"/>
      </w:tcPr>
    </w:tblStylePr>
    <w:tblStylePr w:type="band1Horz">
      <w:tblPr/>
      <w:tcPr>
        <w:tcBorders>
          <w:insideH w:val="nil"/>
          <w:insideV w:val="nil"/>
        </w:tcBorders>
        <w:shd w:val="clear" w:color="auto" w:fill="FCF7D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FFD499" w:themeColor="accent4" w:themeTint="BF"/>
        <w:left w:val="single" w:sz="8" w:space="0" w:color="FFD499" w:themeColor="accent4" w:themeTint="BF"/>
        <w:bottom w:val="single" w:sz="8" w:space="0" w:color="FFD499" w:themeColor="accent4" w:themeTint="BF"/>
        <w:right w:val="single" w:sz="8" w:space="0" w:color="FFD499" w:themeColor="accent4" w:themeTint="BF"/>
        <w:insideH w:val="single" w:sz="8" w:space="0" w:color="FFD499" w:themeColor="accent4" w:themeTint="BF"/>
      </w:tblBorders>
    </w:tblPr>
    <w:tblStylePr w:type="firstRow">
      <w:pPr>
        <w:spacing w:before="0" w:after="0" w:line="240" w:lineRule="auto"/>
      </w:pPr>
      <w:rPr>
        <w:b/>
        <w:bCs/>
        <w:color w:val="FFFFFF" w:themeColor="background1"/>
      </w:rPr>
      <w:tblPr/>
      <w:tcPr>
        <w:tcBorders>
          <w:top w:val="single" w:sz="8" w:space="0" w:color="FFD499" w:themeColor="accent4" w:themeTint="BF"/>
          <w:left w:val="single" w:sz="8" w:space="0" w:color="FFD499" w:themeColor="accent4" w:themeTint="BF"/>
          <w:bottom w:val="single" w:sz="8" w:space="0" w:color="FFD499" w:themeColor="accent4" w:themeTint="BF"/>
          <w:right w:val="single" w:sz="8" w:space="0" w:color="FFD499" w:themeColor="accent4" w:themeTint="BF"/>
          <w:insideH w:val="nil"/>
          <w:insideV w:val="nil"/>
        </w:tcBorders>
        <w:shd w:val="clear" w:color="auto" w:fill="FFC677" w:themeFill="accent4"/>
      </w:tcPr>
    </w:tblStylePr>
    <w:tblStylePr w:type="lastRow">
      <w:pPr>
        <w:spacing w:before="0" w:after="0" w:line="240" w:lineRule="auto"/>
      </w:pPr>
      <w:rPr>
        <w:b/>
        <w:bCs/>
      </w:rPr>
      <w:tblPr/>
      <w:tcPr>
        <w:tcBorders>
          <w:top w:val="double" w:sz="6" w:space="0" w:color="FFD499" w:themeColor="accent4" w:themeTint="BF"/>
          <w:left w:val="single" w:sz="8" w:space="0" w:color="FFD499" w:themeColor="accent4" w:themeTint="BF"/>
          <w:bottom w:val="single" w:sz="8" w:space="0" w:color="FFD499" w:themeColor="accent4" w:themeTint="BF"/>
          <w:right w:val="single" w:sz="8" w:space="0" w:color="FFD49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0DD" w:themeFill="accent4" w:themeFillTint="3F"/>
      </w:tcPr>
    </w:tblStylePr>
    <w:tblStylePr w:type="band1Horz">
      <w:tblPr/>
      <w:tcPr>
        <w:tcBorders>
          <w:insideH w:val="nil"/>
          <w:insideV w:val="nil"/>
        </w:tcBorders>
        <w:shd w:val="clear" w:color="auto" w:fill="FFF0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FF9A66" w:themeColor="accent5" w:themeTint="BF"/>
        <w:left w:val="single" w:sz="8" w:space="0" w:color="FF9A66" w:themeColor="accent5" w:themeTint="BF"/>
        <w:bottom w:val="single" w:sz="8" w:space="0" w:color="FF9A66" w:themeColor="accent5" w:themeTint="BF"/>
        <w:right w:val="single" w:sz="8" w:space="0" w:color="FF9A66" w:themeColor="accent5" w:themeTint="BF"/>
        <w:insideH w:val="single" w:sz="8" w:space="0" w:color="FF9A66" w:themeColor="accent5" w:themeTint="BF"/>
      </w:tblBorders>
    </w:tblPr>
    <w:tblStylePr w:type="firstRow">
      <w:pPr>
        <w:spacing w:before="0" w:after="0" w:line="240" w:lineRule="auto"/>
      </w:pPr>
      <w:rPr>
        <w:b/>
        <w:bCs/>
        <w:color w:val="FFFFFF" w:themeColor="background1"/>
      </w:rPr>
      <w:tblPr/>
      <w:tcPr>
        <w:tcBorders>
          <w:top w:val="single" w:sz="8" w:space="0" w:color="FF9A66" w:themeColor="accent5" w:themeTint="BF"/>
          <w:left w:val="single" w:sz="8" w:space="0" w:color="FF9A66" w:themeColor="accent5" w:themeTint="BF"/>
          <w:bottom w:val="single" w:sz="8" w:space="0" w:color="FF9A66" w:themeColor="accent5" w:themeTint="BF"/>
          <w:right w:val="single" w:sz="8" w:space="0" w:color="FF9A66" w:themeColor="accent5" w:themeTint="BF"/>
          <w:insideH w:val="nil"/>
          <w:insideV w:val="nil"/>
        </w:tcBorders>
        <w:shd w:val="clear" w:color="auto" w:fill="FF7A34" w:themeFill="accent5"/>
      </w:tcPr>
    </w:tblStylePr>
    <w:tblStylePr w:type="lastRow">
      <w:pPr>
        <w:spacing w:before="0" w:after="0" w:line="240" w:lineRule="auto"/>
      </w:pPr>
      <w:rPr>
        <w:b/>
        <w:bCs/>
      </w:rPr>
      <w:tblPr/>
      <w:tcPr>
        <w:tcBorders>
          <w:top w:val="double" w:sz="6" w:space="0" w:color="FF9A66" w:themeColor="accent5" w:themeTint="BF"/>
          <w:left w:val="single" w:sz="8" w:space="0" w:color="FF9A66" w:themeColor="accent5" w:themeTint="BF"/>
          <w:bottom w:val="single" w:sz="8" w:space="0" w:color="FF9A66" w:themeColor="accent5" w:themeTint="BF"/>
          <w:right w:val="single" w:sz="8" w:space="0" w:color="FF9A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DCC" w:themeFill="accent5" w:themeFillTint="3F"/>
      </w:tcPr>
    </w:tblStylePr>
    <w:tblStylePr w:type="band1Horz">
      <w:tblPr/>
      <w:tcPr>
        <w:tcBorders>
          <w:insideH w:val="nil"/>
          <w:insideV w:val="nil"/>
        </w:tcBorders>
        <w:shd w:val="clear" w:color="auto" w:fill="FFDD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F36F7A" w:themeColor="accent6" w:themeTint="BF"/>
        <w:left w:val="single" w:sz="8" w:space="0" w:color="F36F7A" w:themeColor="accent6" w:themeTint="BF"/>
        <w:bottom w:val="single" w:sz="8" w:space="0" w:color="F36F7A" w:themeColor="accent6" w:themeTint="BF"/>
        <w:right w:val="single" w:sz="8" w:space="0" w:color="F36F7A" w:themeColor="accent6" w:themeTint="BF"/>
        <w:insideH w:val="single" w:sz="8" w:space="0" w:color="F36F7A" w:themeColor="accent6" w:themeTint="BF"/>
      </w:tblBorders>
    </w:tblPr>
    <w:tblStylePr w:type="firstRow">
      <w:pPr>
        <w:spacing w:before="0" w:after="0" w:line="240" w:lineRule="auto"/>
      </w:pPr>
      <w:rPr>
        <w:b/>
        <w:bCs/>
        <w:color w:val="FFFFFF" w:themeColor="background1"/>
      </w:rPr>
      <w:tblPr/>
      <w:tcPr>
        <w:tcBorders>
          <w:top w:val="single" w:sz="8" w:space="0" w:color="F36F7A" w:themeColor="accent6" w:themeTint="BF"/>
          <w:left w:val="single" w:sz="8" w:space="0" w:color="F36F7A" w:themeColor="accent6" w:themeTint="BF"/>
          <w:bottom w:val="single" w:sz="8" w:space="0" w:color="F36F7A" w:themeColor="accent6" w:themeTint="BF"/>
          <w:right w:val="single" w:sz="8" w:space="0" w:color="F36F7A" w:themeColor="accent6" w:themeTint="BF"/>
          <w:insideH w:val="nil"/>
          <w:insideV w:val="nil"/>
        </w:tcBorders>
        <w:shd w:val="clear" w:color="auto" w:fill="F0404F" w:themeFill="accent6"/>
      </w:tcPr>
    </w:tblStylePr>
    <w:tblStylePr w:type="lastRow">
      <w:pPr>
        <w:spacing w:before="0" w:after="0" w:line="240" w:lineRule="auto"/>
      </w:pPr>
      <w:rPr>
        <w:b/>
        <w:bCs/>
      </w:rPr>
      <w:tblPr/>
      <w:tcPr>
        <w:tcBorders>
          <w:top w:val="double" w:sz="6" w:space="0" w:color="F36F7A" w:themeColor="accent6" w:themeTint="BF"/>
          <w:left w:val="single" w:sz="8" w:space="0" w:color="F36F7A" w:themeColor="accent6" w:themeTint="BF"/>
          <w:bottom w:val="single" w:sz="8" w:space="0" w:color="F36F7A" w:themeColor="accent6" w:themeTint="BF"/>
          <w:right w:val="single" w:sz="8" w:space="0" w:color="F36F7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D3" w:themeFill="accent6" w:themeFillTint="3F"/>
      </w:tcPr>
    </w:tblStylePr>
    <w:tblStylePr w:type="band1Horz">
      <w:tblPr/>
      <w:tcPr>
        <w:tcBorders>
          <w:insideH w:val="nil"/>
          <w:insideV w:val="nil"/>
        </w:tcBorders>
        <w:shd w:val="clear" w:color="auto" w:fill="FBCF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3A3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3A36" w:themeFill="accent1"/>
      </w:tcPr>
    </w:tblStylePr>
    <w:tblStylePr w:type="lastCol">
      <w:rPr>
        <w:b/>
        <w:bCs/>
        <w:color w:val="FFFFFF" w:themeColor="background1"/>
      </w:rPr>
      <w:tblPr/>
      <w:tcPr>
        <w:tcBorders>
          <w:left w:val="nil"/>
          <w:right w:val="nil"/>
          <w:insideH w:val="nil"/>
          <w:insideV w:val="nil"/>
        </w:tcBorders>
        <w:shd w:val="clear" w:color="auto" w:fill="103A3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36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364" w:themeFill="accent2"/>
      </w:tcPr>
    </w:tblStylePr>
    <w:tblStylePr w:type="lastCol">
      <w:rPr>
        <w:b/>
        <w:bCs/>
        <w:color w:val="FFFFFF" w:themeColor="background1"/>
      </w:rPr>
      <w:tblPr/>
      <w:tcPr>
        <w:tcBorders>
          <w:left w:val="nil"/>
          <w:right w:val="nil"/>
          <w:insideH w:val="nil"/>
          <w:insideV w:val="nil"/>
        </w:tcBorders>
        <w:shd w:val="clear" w:color="auto" w:fill="00936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26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265" w:themeFill="accent3"/>
      </w:tcPr>
    </w:tblStylePr>
    <w:tblStylePr w:type="lastCol">
      <w:rPr>
        <w:b/>
        <w:bCs/>
        <w:color w:val="FFFFFF" w:themeColor="background1"/>
      </w:rPr>
      <w:tblPr/>
      <w:tcPr>
        <w:tcBorders>
          <w:left w:val="nil"/>
          <w:right w:val="nil"/>
          <w:insideH w:val="nil"/>
          <w:insideV w:val="nil"/>
        </w:tcBorders>
        <w:shd w:val="clear" w:color="auto" w:fill="F6E26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77" w:themeFill="accent4"/>
      </w:tcPr>
    </w:tblStylePr>
    <w:tblStylePr w:type="lastCol">
      <w:rPr>
        <w:b/>
        <w:bCs/>
        <w:color w:val="FFFFFF" w:themeColor="background1"/>
      </w:rPr>
      <w:tblPr/>
      <w:tcPr>
        <w:tcBorders>
          <w:left w:val="nil"/>
          <w:right w:val="nil"/>
          <w:insideH w:val="nil"/>
          <w:insideV w:val="nil"/>
        </w:tcBorders>
        <w:shd w:val="clear" w:color="auto" w:fill="FFC6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A3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A34" w:themeFill="accent5"/>
      </w:tcPr>
    </w:tblStylePr>
    <w:tblStylePr w:type="lastCol">
      <w:rPr>
        <w:b/>
        <w:bCs/>
        <w:color w:val="FFFFFF" w:themeColor="background1"/>
      </w:rPr>
      <w:tblPr/>
      <w:tcPr>
        <w:tcBorders>
          <w:left w:val="nil"/>
          <w:right w:val="nil"/>
          <w:insideH w:val="nil"/>
          <w:insideV w:val="nil"/>
        </w:tcBorders>
        <w:shd w:val="clear" w:color="auto" w:fill="FF7A3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404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404F" w:themeFill="accent6"/>
      </w:tcPr>
    </w:tblStylePr>
    <w:tblStylePr w:type="lastCol">
      <w:rPr>
        <w:b/>
        <w:bCs/>
        <w:color w:val="FFFFFF" w:themeColor="background1"/>
      </w:rPr>
      <w:tblPr/>
      <w:tcPr>
        <w:tcBorders>
          <w:left w:val="nil"/>
          <w:right w:val="nil"/>
          <w:insideH w:val="nil"/>
          <w:insideV w:val="nil"/>
        </w:tcBorders>
        <w:shd w:val="clear" w:color="auto" w:fill="F0404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qFormat/>
    <w:rsid w:val="00811E79"/>
    <w:pPr>
      <w:spacing w:before="100" w:after="100" w:line="220" w:lineRule="atLeast"/>
    </w:pPr>
    <w:rPr>
      <w:sz w:val="16"/>
    </w:rPr>
  </w:style>
  <w:style w:type="character" w:customStyle="1" w:styleId="NoteHeadingChar">
    <w:name w:val="Note Heading Char"/>
    <w:basedOn w:val="DefaultParagraphFont"/>
    <w:link w:val="NoteHeading"/>
    <w:rsid w:val="00811E79"/>
    <w:rPr>
      <w:sz w:val="16"/>
    </w:r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rsid w:val="00D96685"/>
    <w:rPr>
      <w:sz w:val="16"/>
    </w:rPr>
  </w:style>
  <w:style w:type="character" w:customStyle="1" w:styleId="TOC1Char">
    <w:name w:val="TOC 1 Char"/>
    <w:basedOn w:val="DefaultParagraphFont"/>
    <w:link w:val="TOC1"/>
    <w:uiPriority w:val="39"/>
    <w:rsid w:val="007B6704"/>
    <w:rPr>
      <w:b/>
      <w:noProof/>
      <w:sz w:val="24"/>
    </w:rPr>
  </w:style>
  <w:style w:type="paragraph" w:styleId="EndnoteText">
    <w:name w:val="endnote text"/>
    <w:basedOn w:val="Normal"/>
    <w:link w:val="EndnoteTextChar"/>
    <w:semiHidden/>
    <w:unhideWhenUsed/>
    <w:rsid w:val="00D96685"/>
    <w:pPr>
      <w:spacing w:before="40" w:after="0" w:line="220" w:lineRule="atLeast"/>
    </w:pPr>
    <w:rPr>
      <w:sz w:val="16"/>
    </w:r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numbering" w:customStyle="1" w:styleId="LstBullets">
    <w:name w:val="Lst_Bullets"/>
    <w:uiPriority w:val="99"/>
    <w:rsid w:val="00B2011B"/>
    <w:pPr>
      <w:numPr>
        <w:numId w:val="7"/>
      </w:numPr>
    </w:pPr>
  </w:style>
  <w:style w:type="paragraph" w:styleId="List">
    <w:name w:val="List"/>
    <w:basedOn w:val="Normal"/>
    <w:rsid w:val="0011224F"/>
    <w:pPr>
      <w:numPr>
        <w:numId w:val="9"/>
      </w:numPr>
    </w:pPr>
  </w:style>
  <w:style w:type="paragraph" w:styleId="List2">
    <w:name w:val="List 2"/>
    <w:basedOn w:val="Normal"/>
    <w:rsid w:val="0011224F"/>
    <w:pPr>
      <w:numPr>
        <w:ilvl w:val="1"/>
        <w:numId w:val="9"/>
      </w:numPr>
    </w:pPr>
  </w:style>
  <w:style w:type="paragraph" w:customStyle="1" w:styleId="DisclaimerTextinFrame12pt">
    <w:name w:val="Disclaimer Text in Frame 12pt"/>
    <w:basedOn w:val="DisclaimerTextinFrame"/>
    <w:uiPriority w:val="31"/>
    <w:rsid w:val="00625F4C"/>
    <w:pPr>
      <w:framePr w:wrap="around"/>
      <w:spacing w:before="190"/>
    </w:pPr>
    <w:rPr>
      <w:sz w:val="24"/>
    </w:rPr>
  </w:style>
  <w:style w:type="character" w:styleId="UnresolvedMention">
    <w:name w:val="Unresolved Mention"/>
    <w:basedOn w:val="DefaultParagraphFont"/>
    <w:uiPriority w:val="99"/>
    <w:semiHidden/>
    <w:unhideWhenUsed/>
    <w:rsid w:val="00625F4C"/>
    <w:rPr>
      <w:color w:val="605E5C"/>
      <w:shd w:val="clear" w:color="auto" w:fill="E1DFDD"/>
    </w:rPr>
  </w:style>
  <w:style w:type="paragraph" w:customStyle="1" w:styleId="Source">
    <w:name w:val="Source"/>
    <w:basedOn w:val="Normal"/>
    <w:next w:val="Normal"/>
    <w:qFormat/>
    <w:rsid w:val="0028513C"/>
    <w:pPr>
      <w:numPr>
        <w:numId w:val="4"/>
      </w:numPr>
      <w:spacing w:before="120" w:after="360" w:line="220" w:lineRule="atLeast"/>
    </w:pPr>
    <w:rPr>
      <w:sz w:val="16"/>
    </w:rPr>
  </w:style>
  <w:style w:type="character" w:customStyle="1" w:styleId="EndnoteTextChar">
    <w:name w:val="Endnote Text Char"/>
    <w:basedOn w:val="DefaultParagraphFont"/>
    <w:link w:val="EndnoteText"/>
    <w:semiHidden/>
    <w:rsid w:val="00D96685"/>
    <w:rPr>
      <w:sz w:val="16"/>
    </w:rPr>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teHeading"/>
    <w:qFormat/>
    <w:rsid w:val="00811E79"/>
    <w:pPr>
      <w:numPr>
        <w:numId w:val="3"/>
      </w:numPr>
      <w:contextualSpacing/>
    </w:pPr>
  </w:style>
  <w:style w:type="paragraph" w:customStyle="1" w:styleId="Introduction">
    <w:name w:val="Introduction"/>
    <w:basedOn w:val="Normal"/>
    <w:qFormat/>
    <w:rsid w:val="000115DE"/>
    <w:pPr>
      <w:spacing w:line="320" w:lineRule="atLeast"/>
    </w:pPr>
    <w:rPr>
      <w:sz w:val="26"/>
    </w:rPr>
  </w:style>
  <w:style w:type="paragraph" w:styleId="Quote">
    <w:name w:val="Quote"/>
    <w:basedOn w:val="Normal"/>
    <w:next w:val="Normal"/>
    <w:link w:val="QuoteChar"/>
    <w:rsid w:val="0028513C"/>
    <w:pPr>
      <w:spacing w:before="240" w:after="240" w:line="320" w:lineRule="atLeast"/>
    </w:pPr>
    <w:rPr>
      <w:iCs/>
      <w:color w:val="00855B"/>
      <w:sz w:val="26"/>
    </w:rPr>
  </w:style>
  <w:style w:type="character" w:customStyle="1" w:styleId="QuoteChar">
    <w:name w:val="Quote Char"/>
    <w:basedOn w:val="DefaultParagraphFont"/>
    <w:link w:val="Quote"/>
    <w:rsid w:val="0028513C"/>
    <w:rPr>
      <w:iCs/>
      <w:color w:val="00855B"/>
      <w:sz w:val="26"/>
    </w:rPr>
  </w:style>
  <w:style w:type="table" w:styleId="TableGrid">
    <w:name w:val="Table Grid"/>
    <w:basedOn w:val="TableNormal"/>
    <w:rsid w:val="00397986"/>
    <w:pPr>
      <w:spacing w:before="110" w:after="11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Pr>
    <w:tblStylePr w:type="firstRow">
      <w:rPr>
        <w:b/>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FFFFFF" w:themeColor="background1"/>
          <w:tl2br w:val="nil"/>
          <w:tr2bl w:val="nil"/>
        </w:tcBorders>
        <w:shd w:val="clear" w:color="auto" w:fill="001032" w:themeFill="text2"/>
      </w:tcPr>
    </w:tblStylePr>
  </w:style>
  <w:style w:type="paragraph" w:styleId="ListNumber4">
    <w:name w:val="List Number 4"/>
    <w:basedOn w:val="ListNumber3"/>
    <w:unhideWhenUsed/>
    <w:rsid w:val="00AB6CB2"/>
    <w:pPr>
      <w:numPr>
        <w:ilvl w:val="3"/>
      </w:numPr>
    </w:pPr>
  </w:style>
  <w:style w:type="paragraph" w:styleId="ListBullet4">
    <w:name w:val="List Bullet 4"/>
    <w:basedOn w:val="ListBullet3"/>
    <w:unhideWhenUsed/>
    <w:rsid w:val="00B30BDC"/>
    <w:pPr>
      <w:numPr>
        <w:ilvl w:val="3"/>
      </w:numPr>
      <w:contextualSpacing/>
    </w:pPr>
  </w:style>
  <w:style w:type="paragraph" w:styleId="TOC3">
    <w:name w:val="toc 3"/>
    <w:basedOn w:val="Normal"/>
    <w:next w:val="Normal"/>
    <w:autoRedefine/>
    <w:uiPriority w:val="39"/>
    <w:rsid w:val="007B6704"/>
    <w:pPr>
      <w:tabs>
        <w:tab w:val="right" w:pos="9582"/>
      </w:tabs>
      <w:spacing w:before="240" w:after="240"/>
      <w:ind w:left="567" w:right="567"/>
    </w:pPr>
    <w:rPr>
      <w:sz w:val="24"/>
    </w:rPr>
  </w:style>
  <w:style w:type="paragraph" w:styleId="Date">
    <w:name w:val="Date"/>
    <w:basedOn w:val="Normal"/>
    <w:next w:val="Normal"/>
    <w:link w:val="DateChar"/>
    <w:uiPriority w:val="31"/>
    <w:unhideWhenUsed/>
    <w:rsid w:val="0005768A"/>
    <w:pPr>
      <w:spacing w:before="0" w:after="0" w:line="336" w:lineRule="atLeast"/>
    </w:pPr>
    <w:rPr>
      <w:sz w:val="28"/>
    </w:rPr>
  </w:style>
  <w:style w:type="character" w:customStyle="1" w:styleId="DateChar">
    <w:name w:val="Date Char"/>
    <w:basedOn w:val="DefaultParagraphFont"/>
    <w:link w:val="Date"/>
    <w:uiPriority w:val="31"/>
    <w:rsid w:val="000F09E7"/>
    <w:rPr>
      <w:sz w:val="28"/>
    </w:rPr>
  </w:style>
  <w:style w:type="paragraph" w:styleId="List3">
    <w:name w:val="List 3"/>
    <w:basedOn w:val="Normal"/>
    <w:rsid w:val="0011224F"/>
    <w:pPr>
      <w:numPr>
        <w:ilvl w:val="2"/>
        <w:numId w:val="9"/>
      </w:numPr>
    </w:pPr>
  </w:style>
  <w:style w:type="paragraph" w:customStyle="1" w:styleId="ListAlpha">
    <w:name w:val="List Alpha"/>
    <w:basedOn w:val="Normal"/>
    <w:rsid w:val="0021154B"/>
    <w:pPr>
      <w:numPr>
        <w:numId w:val="13"/>
      </w:numPr>
    </w:pPr>
  </w:style>
  <w:style w:type="numbering" w:customStyle="1" w:styleId="LstLegalNumbering">
    <w:name w:val="Lst_LegalNumbering"/>
    <w:uiPriority w:val="99"/>
    <w:rsid w:val="0011224F"/>
    <w:pPr>
      <w:numPr>
        <w:numId w:val="10"/>
      </w:numPr>
    </w:pPr>
  </w:style>
  <w:style w:type="numbering" w:customStyle="1" w:styleId="LstAlpha">
    <w:name w:val="Lst_Alpha"/>
    <w:uiPriority w:val="99"/>
    <w:rsid w:val="0021154B"/>
    <w:pPr>
      <w:numPr>
        <w:numId w:val="12"/>
      </w:numPr>
    </w:pPr>
  </w:style>
  <w:style w:type="numbering" w:customStyle="1" w:styleId="LstHeadings">
    <w:name w:val="Lst_Headings"/>
    <w:uiPriority w:val="99"/>
    <w:rsid w:val="00E72AE2"/>
    <w:pPr>
      <w:numPr>
        <w:numId w:val="14"/>
      </w:numPr>
    </w:pPr>
  </w:style>
  <w:style w:type="paragraph" w:customStyle="1" w:styleId="FooterLineBelow">
    <w:name w:val="Footer Line Below"/>
    <w:basedOn w:val="Footer"/>
    <w:uiPriority w:val="31"/>
    <w:rsid w:val="00026F37"/>
    <w:pPr>
      <w:pBdr>
        <w:bottom w:val="single" w:sz="4" w:space="1" w:color="000000" w:themeColor="text1"/>
      </w:pBdr>
      <w:spacing w:after="180"/>
    </w:pPr>
    <w:rPr>
      <w:bCs/>
      <w:noProof/>
    </w:rPr>
  </w:style>
  <w:style w:type="paragraph" w:styleId="List4">
    <w:name w:val="List 4"/>
    <w:basedOn w:val="Normal"/>
    <w:rsid w:val="0011224F"/>
    <w:pPr>
      <w:numPr>
        <w:ilvl w:val="3"/>
        <w:numId w:val="9"/>
      </w:numPr>
    </w:pPr>
  </w:style>
  <w:style w:type="paragraph" w:styleId="ListParagraph">
    <w:name w:val="List Paragraph"/>
    <w:aliases w:val="L,List Paragraph1,List Paragraph11,Recommendation,bullet point list,F5 List Paragraph,Dot pt,CV text,Table text,List Paragraph111,Medium Grid 1 - Accent 21,Numbered Paragraph,List Paragraph2,Bulleted Para,NFP GP Bulleted List,FooterText,b"/>
    <w:basedOn w:val="Normal"/>
    <w:link w:val="ListParagraphChar"/>
    <w:uiPriority w:val="34"/>
    <w:qFormat/>
    <w:rsid w:val="00E5021E"/>
    <w:pPr>
      <w:ind w:left="720"/>
      <w:contextualSpacing/>
    </w:pPr>
  </w:style>
  <w:style w:type="character" w:customStyle="1" w:styleId="ListParagraphChar">
    <w:name w:val="List Paragraph Char"/>
    <w:aliases w:val="L Char,List Paragraph1 Char,List Paragraph11 Char,Recommendation Char,bullet point list Char,F5 List Paragraph Char,Dot pt Char,CV text Char,Table text Char,List Paragraph111 Char,Medium Grid 1 - Accent 21 Char,List Paragraph2 Char"/>
    <w:basedOn w:val="DefaultParagraphFont"/>
    <w:link w:val="ListParagraph"/>
    <w:uiPriority w:val="34"/>
    <w:qFormat/>
    <w:locked/>
    <w:rsid w:val="004F1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creativecommons.org/licenses/by/4.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reativecommons.org/licenses/by/4.0/legalco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dfg.de/en/research-funding/funding-initiative/excellence-strategy" TargetMode="External"/><Relationship Id="rId3" Type="http://schemas.openxmlformats.org/officeDocument/2006/relationships/hyperlink" Target="file:///C:/Users/AR3223/Downloads/Australian%20Universities%20Accord%20-%20Final%20Report%20(2).pdf" TargetMode="External"/><Relationship Id="rId7" Type="http://schemas.openxmlformats.org/officeDocument/2006/relationships/hyperlink" Target="https://education.ec.europa.eu/education-levels/higher-education/inclusive-and-connected-higher-education/bologna-process" TargetMode="External"/><Relationship Id="rId2" Type="http://schemas.openxmlformats.org/officeDocument/2006/relationships/hyperlink" Target="https://www.industry.gov.au/sites/default/files/2026-03/ambitious-australia-strategic-examination-of-research-and-development-final-report.pdf" TargetMode="External"/><Relationship Id="rId1" Type="http://schemas.openxmlformats.org/officeDocument/2006/relationships/hyperlink" Target="https://www.industry.gov.au/sites/default/files/2026-03/ambitious-australia-strategic-examination-of-research-and-development-final-report.pdf" TargetMode="External"/><Relationship Id="rId6" Type="http://schemas.openxmlformats.org/officeDocument/2006/relationships/hyperlink" Target="https://dataportal.arc.gov.au/era/nationalreport/2018/" TargetMode="External"/><Relationship Id="rId5" Type="http://schemas.openxmlformats.org/officeDocument/2006/relationships/hyperlink" Target="https://www.abs.gov.au/statistics/classifications/australian-and-new-zealand-standard-research-classification-anzsrc/latest-release" TargetMode="External"/><Relationship Id="rId10" Type="http://schemas.openxmlformats.org/officeDocument/2006/relationships/hyperlink" Target="https://oia.pmc.gov.au/sites/default/files/posts/2021/04/independent_review_-_whats_in_a_name.pdf" TargetMode="External"/><Relationship Id="rId4" Type="http://schemas.openxmlformats.org/officeDocument/2006/relationships/hyperlink" Target="https://www.abs.gov.au/statistics/classifications/australian-standard-classification-education-asced/2001/overview/structure-and-format-asced/field-education" TargetMode="External"/><Relationship Id="rId9" Type="http://schemas.openxmlformats.org/officeDocument/2006/relationships/hyperlink" Target="https://carnegieclassifications.acenet.edu/" TargetMode="External"/></Relationships>
</file>

<file path=word/theme/theme1.xml><?xml version="1.0" encoding="utf-8"?>
<a:theme xmlns:a="http://schemas.openxmlformats.org/drawingml/2006/main" name="Office Theme">
  <a:themeElements>
    <a:clrScheme name="ATEC">
      <a:dk1>
        <a:srgbClr val="000000"/>
      </a:dk1>
      <a:lt1>
        <a:sysClr val="window" lastClr="FFFFFF"/>
      </a:lt1>
      <a:dk2>
        <a:srgbClr val="001032"/>
      </a:dk2>
      <a:lt2>
        <a:srgbClr val="E8E8E8"/>
      </a:lt2>
      <a:accent1>
        <a:srgbClr val="103A36"/>
      </a:accent1>
      <a:accent2>
        <a:srgbClr val="009364"/>
      </a:accent2>
      <a:accent3>
        <a:srgbClr val="F6E265"/>
      </a:accent3>
      <a:accent4>
        <a:srgbClr val="FFC677"/>
      </a:accent4>
      <a:accent5>
        <a:srgbClr val="FF7A34"/>
      </a:accent5>
      <a:accent6>
        <a:srgbClr val="F0404F"/>
      </a:accent6>
      <a:hlink>
        <a:srgbClr val="3C2CFF"/>
      </a:hlink>
      <a:folHlink>
        <a:srgbClr val="B0316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Order0 xmlns="4a9c6c2e-cc90-47c0-be42-0b97b97642c0" xsi:nil="true"/>
    <Content xmlns="4a9c6c2e-cc90-47c0-be42-0b97b97642c0" xsi:nil="true"/>
    <Note xmlns="4a9c6c2e-cc90-47c0-be42-0b97b97642c0" xsi:nil="true"/>
    <Comments xmlns="4a9c6c2e-cc90-47c0-be42-0b97b97642c0" xsi:nil="true"/>
    <Notes xmlns="4a9c6c2e-cc90-47c0-be42-0b97b97642c0" xsi:nil="true"/>
    <lcf76f155ced4ddcb4097134ff3c332f xmlns="4a9c6c2e-cc90-47c0-be42-0b97b97642c0">
      <Terms xmlns="http://schemas.microsoft.com/office/infopath/2007/PartnerControls"/>
    </lcf76f155ced4ddcb4097134ff3c332f>
    <TaxCatchAll xmlns="150ed607-d011-45d5-8216-b1990882b9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23" ma:contentTypeDescription="Create a new document." ma:contentTypeScope="" ma:versionID="64ffb6ef96324ca7a5e643836bb2166a">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b32072a646aab3d75340f4671220b852"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element ref="ns2:Order0"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element name="Order0" ma:index="26" nillable="true" ma:displayName="Order" ma:format="Dropdown" ma:internalName="Order0" ma:percentage="FALSE">
      <xsd:simpleType>
        <xsd:restriction base="dms:Number"/>
      </xsd:simpleType>
    </xsd:element>
    <xsd:element name="Note" ma:index="27" nillable="true" ma:displayName="Note" ma:description="Number of Agreed Tap"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A4976-002C-4534-8999-A17A602D91AD}">
  <ds:schemaRefs>
    <ds:schemaRef ds:uri="http://schemas.openxmlformats.org/officeDocument/2006/bibliography"/>
  </ds:schemaRefs>
</ds:datastoreItem>
</file>

<file path=customXml/itemProps3.xml><?xml version="1.0" encoding="utf-8"?>
<ds:datastoreItem xmlns:ds="http://schemas.openxmlformats.org/officeDocument/2006/customXml" ds:itemID="{24DE13F7-85DC-4EB1-9C73-42F62D81A9BF}">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customXml/itemProps4.xml><?xml version="1.0" encoding="utf-8"?>
<ds:datastoreItem xmlns:ds="http://schemas.openxmlformats.org/officeDocument/2006/customXml" ds:itemID="{87669052-7BA8-4487-9302-EE271A15AABC}">
  <ds:schemaRefs>
    <ds:schemaRef ds:uri="http://schemas.microsoft.com/sharepoint/v3/contenttype/forms"/>
  </ds:schemaRefs>
</ds:datastoreItem>
</file>

<file path=customXml/itemProps5.xml><?xml version="1.0" encoding="utf-8"?>
<ds:datastoreItem xmlns:ds="http://schemas.openxmlformats.org/officeDocument/2006/customXml" ds:itemID="{70C06531-067B-41F1-AD68-9D9481699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4077</Words>
  <Characters>23243</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Links>
    <vt:vector size="72" baseType="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2228346</vt:i4>
      </vt:variant>
      <vt:variant>
        <vt:i4>27</vt:i4>
      </vt:variant>
      <vt:variant>
        <vt:i4>0</vt:i4>
      </vt:variant>
      <vt:variant>
        <vt:i4>5</vt:i4>
      </vt:variant>
      <vt:variant>
        <vt:lpwstr>https://oia.pmc.gov.au/sites/default/files/posts/2021/04/independent_review_-_whats_in_a_name.pdf</vt:lpwstr>
      </vt:variant>
      <vt:variant>
        <vt:lpwstr/>
      </vt:variant>
      <vt:variant>
        <vt:i4>2228330</vt:i4>
      </vt:variant>
      <vt:variant>
        <vt:i4>24</vt:i4>
      </vt:variant>
      <vt:variant>
        <vt:i4>0</vt:i4>
      </vt:variant>
      <vt:variant>
        <vt:i4>5</vt:i4>
      </vt:variant>
      <vt:variant>
        <vt:lpwstr>https://carnegieclassifications.acenet.edu/</vt:lpwstr>
      </vt:variant>
      <vt:variant>
        <vt:lpwstr/>
      </vt:variant>
      <vt:variant>
        <vt:i4>1638412</vt:i4>
      </vt:variant>
      <vt:variant>
        <vt:i4>21</vt:i4>
      </vt:variant>
      <vt:variant>
        <vt:i4>0</vt:i4>
      </vt:variant>
      <vt:variant>
        <vt:i4>5</vt:i4>
      </vt:variant>
      <vt:variant>
        <vt:lpwstr>https://www.dfg.de/en/research-funding/funding-initiative/excellence-strategy</vt:lpwstr>
      </vt:variant>
      <vt:variant>
        <vt:lpwstr/>
      </vt:variant>
      <vt:variant>
        <vt:i4>852046</vt:i4>
      </vt:variant>
      <vt:variant>
        <vt:i4>18</vt:i4>
      </vt:variant>
      <vt:variant>
        <vt:i4>0</vt:i4>
      </vt:variant>
      <vt:variant>
        <vt:i4>5</vt:i4>
      </vt:variant>
      <vt:variant>
        <vt:lpwstr>https://education.ec.europa.eu/education-levels/higher-education/inclusive-and-connected-higher-education/bologna-process</vt:lpwstr>
      </vt:variant>
      <vt:variant>
        <vt:lpwstr/>
      </vt:variant>
      <vt:variant>
        <vt:i4>4063282</vt:i4>
      </vt:variant>
      <vt:variant>
        <vt:i4>15</vt:i4>
      </vt:variant>
      <vt:variant>
        <vt:i4>0</vt:i4>
      </vt:variant>
      <vt:variant>
        <vt:i4>5</vt:i4>
      </vt:variant>
      <vt:variant>
        <vt:lpwstr>https://dataportal.arc.gov.au/era/nationalreport/2018/</vt:lpwstr>
      </vt:variant>
      <vt:variant>
        <vt:lpwstr/>
      </vt:variant>
      <vt:variant>
        <vt:i4>7995512</vt:i4>
      </vt:variant>
      <vt:variant>
        <vt:i4>12</vt:i4>
      </vt:variant>
      <vt:variant>
        <vt:i4>0</vt:i4>
      </vt:variant>
      <vt:variant>
        <vt:i4>5</vt:i4>
      </vt:variant>
      <vt:variant>
        <vt:lpwstr>https://www.abs.gov.au/statistics/classifications/australian-and-new-zealand-standard-research-classification-anzsrc/latest-release</vt:lpwstr>
      </vt:variant>
      <vt:variant>
        <vt:lpwstr/>
      </vt:variant>
      <vt:variant>
        <vt:i4>1507420</vt:i4>
      </vt:variant>
      <vt:variant>
        <vt:i4>9</vt:i4>
      </vt:variant>
      <vt:variant>
        <vt:i4>0</vt:i4>
      </vt:variant>
      <vt:variant>
        <vt:i4>5</vt:i4>
      </vt:variant>
      <vt:variant>
        <vt:lpwstr>https://www.abs.gov.au/statistics/classifications/australian-standard-classification-education-asced/2001/overview/structure-and-format-asced/field-education</vt:lpwstr>
      </vt:variant>
      <vt:variant>
        <vt:lpwstr/>
      </vt:variant>
      <vt:variant>
        <vt:i4>6684799</vt:i4>
      </vt:variant>
      <vt:variant>
        <vt:i4>6</vt:i4>
      </vt:variant>
      <vt:variant>
        <vt:i4>0</vt:i4>
      </vt:variant>
      <vt:variant>
        <vt:i4>5</vt:i4>
      </vt:variant>
      <vt:variant>
        <vt:lpwstr>C:\Users\AR3223\Downloads\Australian Universities Accord - Final Report (2).pdf</vt:lpwstr>
      </vt:variant>
      <vt:variant>
        <vt:lpwstr/>
      </vt:variant>
      <vt:variant>
        <vt:i4>3145766</vt:i4>
      </vt:variant>
      <vt:variant>
        <vt:i4>3</vt:i4>
      </vt:variant>
      <vt:variant>
        <vt:i4>0</vt:i4>
      </vt:variant>
      <vt:variant>
        <vt:i4>5</vt:i4>
      </vt:variant>
      <vt:variant>
        <vt:lpwstr>https://www.industry.gov.au/sites/default/files/2026-03/ambitious-australia-strategic-examination-of-research-and-development-final-report.pdf</vt:lpwstr>
      </vt:variant>
      <vt:variant>
        <vt:lpwstr/>
      </vt:variant>
      <vt:variant>
        <vt:i4>3145766</vt:i4>
      </vt:variant>
      <vt:variant>
        <vt:i4>0</vt:i4>
      </vt:variant>
      <vt:variant>
        <vt:i4>0</vt:i4>
      </vt:variant>
      <vt:variant>
        <vt:i4>5</vt:i4>
      </vt:variant>
      <vt:variant>
        <vt:lpwstr>https://www.industry.gov.au/sites/default/files/2026-03/ambitious-australia-strategic-examination-of-research-and-development-final-report.pdf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2026-08-11T05:25:00Z</dcterms:created>
  <dcterms:modified xsi:type="dcterms:W3CDTF">2026-08-11T05:25:00Z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SetDate">
    <vt:lpwstr>2026-08-04T08:41:31Z</vt:lpwstr>
  </property>
  <property fmtid="{D5CDD505-2E9C-101B-9397-08002B2CF9AE}" pid="3" name="MediaServiceImageTags">
    <vt:lpwstr/>
  </property>
  <property fmtid="{D5CDD505-2E9C-101B-9397-08002B2CF9AE}" pid="4" name="ContentTypeId">
    <vt:lpwstr>0x010100E098083483EAF54BBE19C56BE4F7D597</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Enabled">
    <vt:lpwstr>true</vt:lpwstr>
  </property>
  <property fmtid="{D5CDD505-2E9C-101B-9397-08002B2CF9AE}" pid="7" name="MSIP_Label_79d889eb-932f-4752-8739-64d25806ef64_Tag">
    <vt:lpwstr>10, 0, 1, 1</vt:lpwstr>
  </property>
  <property fmtid="{D5CDD505-2E9C-101B-9397-08002B2CF9AE}" pid="8" name="MSIP_Label_79d889eb-932f-4752-8739-64d25806ef64_Method">
    <vt:lpwstr>Privileged</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39151247-e81e-4aaa-8816-22ad06bc07df</vt:lpwstr>
  </property>
  <property fmtid="{D5CDD505-2E9C-101B-9397-08002B2CF9AE}" pid="11" name="MSIP_Label_79d889eb-932f-4752-8739-64d25806ef64_ContentBits">
    <vt:lpwstr>0</vt:lpwstr>
  </property>
</Properties>
</file>