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BC2021" w:rsidR="00010F89" w:rsidP="00140804" w:rsidRDefault="00361695" w14:paraId="56463B8C" w14:textId="578B0C2C">
      <w:pPr>
        <w:tabs>
          <w:tab w:val="right" w:pos="10065"/>
        </w:tabs>
        <w:spacing w:after="960"/>
        <w:ind w:right="-284"/>
        <w:contextualSpacing/>
      </w:pPr>
      <w:r>
        <w:rPr>
          <w:noProof/>
        </w:rPr>
        <mc:AlternateContent>
          <mc:Choice Requires="wps">
            <w:drawing>
              <wp:anchor distT="0" distB="0" distL="114300" distR="114300" simplePos="0" relativeHeight="251658241" behindDoc="1" locked="1" layoutInCell="1" allowOverlap="1" wp14:anchorId="5BF7C57B" wp14:editId="4B5FF373">
                <wp:simplePos x="0" y="0"/>
                <wp:positionH relativeFrom="margin">
                  <wp:align>right</wp:align>
                </wp:positionH>
                <wp:positionV relativeFrom="page">
                  <wp:posOffset>622935</wp:posOffset>
                </wp:positionV>
                <wp:extent cx="1533600" cy="403200"/>
                <wp:effectExtent l="0" t="0" r="7620" b="0"/>
                <wp:wrapNone/>
                <wp:docPr id="1854459199"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33600" cy="403200"/>
                        </a:xfrm>
                        <a:prstGeom prst="roundRect">
                          <a:avLst>
                            <a:gd name="adj" fmla="val 50000"/>
                          </a:avLst>
                        </a:prstGeom>
                        <a:solidFill>
                          <a:schemeClr val="accent3"/>
                        </a:solidFill>
                        <a:ln w="6350">
                          <a:noFill/>
                        </a:ln>
                      </wps:spPr>
                      <wps:txbx>
                        <w:txbxContent>
                          <w:p w:rsidRPr="0005768A" w:rsidR="00361695" w:rsidP="00361695" w:rsidRDefault="00761DFA" w14:paraId="4252FE69" w14:textId="738244AE">
                            <w:pPr>
                              <w:pStyle w:val="Date"/>
                              <w:jc w:val="both"/>
                            </w:pPr>
                            <w:r>
                              <w:t xml:space="preserve">May </w:t>
                            </w:r>
                            <w:r w:rsidR="009B314E">
                              <w:t>2026</w:t>
                            </w:r>
                          </w:p>
                        </w:txbxContent>
                      </wps:txbx>
                      <wps:bodyPr rot="0" spcFirstLastPara="0" vertOverflow="overflow" horzOverflow="overflow" vert="horz" wrap="none" lIns="144000" tIns="28800" rIns="180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id="Text Box 7" style="position:absolute;margin-left:69.55pt;margin-top:49.05pt;width:120.75pt;height:31.75pt;z-index:-251658239;visibility:visible;mso-wrap-style:non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alt="&quot;&quot;" o:spid="_x0000_s1026" fillcolor="#f6e265 [3206]" stroked="f" strokeweight=".5pt" arcsize=".5" w14:anchorId="5BF7C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">
                <v:textbox style="mso-fit-shape-to-text:t" inset="4mm,.8mm,5mm,1mm">
                  <w:txbxContent>
                    <w:p w:rsidRPr="0005768A" w:rsidR="00361695" w:rsidP="00361695" w:rsidRDefault="00761DFA" w14:paraId="4252FE69" w14:textId="738244AE">
                      <w:pPr>
                        <w:pStyle w:val="Date"/>
                        <w:jc w:val="both"/>
                      </w:pPr>
                      <w:r>
                        <w:t xml:space="preserve">May </w:t>
                      </w:r>
                      <w:r w:rsidR="009B314E">
                        <w:t>2026</w:t>
                      </w:r>
                    </w:p>
                  </w:txbxContent>
                </v:textbox>
                <w10:wrap anchorx="margin" anchory="page"/>
                <w10:anchorlock/>
              </v:roundrect>
            </w:pict>
          </mc:Fallback>
        </mc:AlternateContent>
      </w:r>
      <w:r w:rsidR="00E13296">
        <w:rPr>
          <w:noProof/>
        </w:rPr>
        <w:drawing>
          <wp:inline distT="0" distB="0" distL="0" distR="0" wp14:anchorId="0C5EC9B5" wp14:editId="12BF46BC">
            <wp:extent cx="4227341" cy="738060"/>
            <wp:effectExtent l="0" t="0" r="1905" b="5080"/>
            <wp:docPr id="1499889889" name="Picture 1" descr="Australian Government&#10;ATEC&#10;Australian Tertiary Educatio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889889" name="Picture 1" descr="Australian Government&#10;ATEC&#10;Australian Tertiary Education Commiss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38730" cy="740049"/>
                    </a:xfrm>
                    <a:prstGeom prst="rect">
                      <a:avLst/>
                    </a:prstGeom>
                  </pic:spPr>
                </pic:pic>
              </a:graphicData>
            </a:graphic>
          </wp:inline>
        </w:drawing>
      </w:r>
      <w:r w:rsidRPr="00361695">
        <w:rPr>
          <w:noProof/>
        </w:rPr>
        <w:t xml:space="preserve"> </w:t>
      </w:r>
    </w:p>
    <w:p w:rsidR="00BC2021" w:rsidP="3D15E27C" w:rsidRDefault="7957E9C0" w14:paraId="5F674FAF" w14:textId="170D2CD6">
      <w:pPr>
        <w:pStyle w:val="Title"/>
        <w:rPr>
          <w:color w:val="FFFFFF" w:themeColor="background1"/>
        </w:rPr>
      </w:pPr>
      <w:r>
        <w:t>Interim Statement of Strategic Priorities</w:t>
      </w:r>
      <w:r w:rsidR="0005768A">
        <w:rPr>
          <w:noProof/>
        </w:rPr>
        <w:drawing>
          <wp:anchor distT="0" distB="0" distL="114300" distR="114300" simplePos="0" relativeHeight="251658240" behindDoc="1" locked="0" layoutInCell="1" allowOverlap="1" wp14:anchorId="37939160" wp14:editId="333CE4C5">
            <wp:simplePos x="0" y="0"/>
            <wp:positionH relativeFrom="page">
              <wp:align>left</wp:align>
            </wp:positionH>
            <wp:positionV relativeFrom="page">
              <wp:align>bottom</wp:align>
            </wp:positionV>
            <wp:extent cx="7560000" cy="6764400"/>
            <wp:effectExtent l="0" t="0" r="3175" b="0"/>
            <wp:wrapNone/>
            <wp:docPr id="20658163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816316" name="Picture 4">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6764400"/>
                    </a:xfrm>
                    <a:prstGeom prst="rect">
                      <a:avLst/>
                    </a:prstGeom>
                  </pic:spPr>
                </pic:pic>
              </a:graphicData>
            </a:graphic>
            <wp14:sizeRelH relativeFrom="margin">
              <wp14:pctWidth>0</wp14:pctWidth>
            </wp14:sizeRelH>
            <wp14:sizeRelV relativeFrom="margin">
              <wp14:pctHeight>0</wp14:pctHeight>
            </wp14:sizeRelV>
          </wp:anchor>
        </w:drawing>
      </w:r>
    </w:p>
    <w:p w:rsidRPr="00057C60" w:rsidR="00057C60" w:rsidP="00057C60" w:rsidRDefault="00057C60" w14:paraId="687309EC" w14:textId="77777777"/>
    <w:p w:rsidR="00980347" w:rsidP="00057C60" w:rsidRDefault="00980347" w14:paraId="2050868B" w14:textId="77777777">
      <w:pPr>
        <w:pStyle w:val="Title"/>
        <w:sectPr w:rsidR="00980347" w:rsidSect="00FE48F1">
          <w:headerReference w:type="default" r:id="rId14"/>
          <w:footerReference w:type="default" r:id="rId15"/>
          <w:pgSz w:w="11907" w:h="16839" w:orient="portrait" w:code="9"/>
          <w:pgMar w:top="726" w:right="907" w:bottom="1134" w:left="907" w:header="567" w:footer="805" w:gutter="0"/>
          <w:cols w:space="708"/>
          <w:titlePg/>
          <w:docGrid w:linePitch="360"/>
        </w:sectPr>
      </w:pPr>
    </w:p>
    <w:p w:rsidRPr="00625F4C" w:rsidR="00625F4C" w:rsidP="00625F4C" w:rsidRDefault="00625F4C" w14:paraId="7F65FFA6" w14:textId="77777777">
      <w:pPr>
        <w:pStyle w:val="DisclaimerTextinFrame"/>
        <w:framePr w:wrap="around"/>
        <w:spacing w:before="480" w:after="400"/>
      </w:pPr>
      <w:r>
        <w:rPr>
          <w:noProof/>
        </w:rPr>
        <w:lastRenderedPageBreak/>
        <w:drawing>
          <wp:inline distT="0" distB="0" distL="0" distR="0" wp14:anchorId="42212BB0" wp14:editId="0D95DBC7">
            <wp:extent cx="860367" cy="315884"/>
            <wp:effectExtent l="0" t="0" r="0" b="8255"/>
            <wp:docPr id="155335485" name="Picture 8" descr="Creative Comm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5485" name="Picture 8" descr="Creative Commons&#10;"/>
                    <pic:cNvPicPr/>
                  </pic:nvPicPr>
                  <pic:blipFill>
                    <a:blip r:embed="rId16">
                      <a:extLst>
                        <a:ext uri="{28A0092B-C50C-407E-A947-70E740481C1C}">
                          <a14:useLocalDpi xmlns:a14="http://schemas.microsoft.com/office/drawing/2010/main" val="0"/>
                        </a:ext>
                      </a:extLst>
                    </a:blip>
                    <a:stretch>
                      <a:fillRect/>
                    </a:stretch>
                  </pic:blipFill>
                  <pic:spPr>
                    <a:xfrm>
                      <a:off x="0" y="0"/>
                      <a:ext cx="860367" cy="315884"/>
                    </a:xfrm>
                    <a:prstGeom prst="rect">
                      <a:avLst/>
                    </a:prstGeom>
                  </pic:spPr>
                </pic:pic>
              </a:graphicData>
            </a:graphic>
          </wp:inline>
        </w:drawing>
      </w:r>
    </w:p>
    <w:p w:rsidRPr="00625F4C" w:rsidR="00625F4C" w:rsidP="00625F4C" w:rsidRDefault="00625F4C" w14:paraId="070D7739" w14:textId="2F109511">
      <w:pPr>
        <w:pStyle w:val="DisclaimerTextinFrame"/>
        <w:framePr w:wrap="around"/>
      </w:pPr>
      <w:r w:rsidRPr="00625F4C">
        <w:t xml:space="preserve">With the exception of the Commonwealth Coat of Arms, the </w:t>
      </w:r>
      <w:r w:rsidR="00E13296">
        <w:t>Australian Government</w:t>
      </w:r>
      <w:r w:rsidRPr="00625F4C">
        <w:t xml:space="preserve"> logo, any material protected by a trade mark and where otherwise noted all material presented in this document is provided under a Creative Commons Attribution 4.0 International (</w:t>
      </w:r>
      <w:hyperlink w:history="1" r:id="rId17">
        <w:r w:rsidRPr="00625F4C">
          <w:t>https://creativecommons.org/licenses/by/4.0/)</w:t>
        </w:r>
      </w:hyperlink>
      <w:r w:rsidRPr="00625F4C">
        <w:t xml:space="preserve"> licence.</w:t>
      </w:r>
    </w:p>
    <w:p w:rsidRPr="00625F4C" w:rsidR="00625F4C" w:rsidP="00625F4C" w:rsidRDefault="00625F4C" w14:paraId="2AA3792F" w14:textId="77777777">
      <w:pPr>
        <w:pStyle w:val="DisclaimerTextinFrame"/>
        <w:framePr w:wrap="around"/>
      </w:pPr>
      <w:r w:rsidRPr="00625F4C">
        <w:t>The details of the relevant licence conditions are available on the Creative Commons website (accessible using the links provided) as is the full legal code for the CC BY 4.0 International (</w:t>
      </w:r>
      <w:hyperlink w:history="1" r:id="rId18">
        <w:r w:rsidRPr="00625F4C">
          <w:t>https://creativecommons.org/licenses/by/4.0/legalcode</w:t>
        </w:r>
      </w:hyperlink>
      <w:r w:rsidRPr="00625F4C">
        <w:t>)</w:t>
      </w:r>
    </w:p>
    <w:p w:rsidR="00625F4C" w:rsidP="00625F4C" w:rsidRDefault="00625F4C" w14:paraId="5C6CD1BF" w14:textId="77777777"/>
    <w:p w:rsidR="00625F4C" w:rsidP="00625F4C" w:rsidRDefault="00625F4C" w14:paraId="55B765C6" w14:textId="77777777"/>
    <w:p w:rsidR="00625F4C" w:rsidP="00625F4C" w:rsidRDefault="00625F4C" w14:paraId="77C85184" w14:textId="77777777">
      <w:pPr>
        <w:sectPr w:rsidR="00625F4C" w:rsidSect="00FE48F1">
          <w:pgSz w:w="11907" w:h="16839" w:orient="portrait" w:code="9"/>
          <w:pgMar w:top="1077" w:right="1134" w:bottom="1134" w:left="1134" w:header="567" w:footer="805" w:gutter="0"/>
          <w:cols w:space="708"/>
          <w:titlePg/>
          <w:docGrid w:linePitch="360"/>
        </w:sectPr>
      </w:pPr>
    </w:p>
    <w:p w:rsidRPr="00E72AE2" w:rsidR="004E283A" w:rsidP="00001FD3" w:rsidRDefault="009E695E" w14:paraId="5464ADD0" w14:textId="024C962F">
      <w:pPr>
        <w:pStyle w:val="Heading1"/>
      </w:pPr>
      <w:r>
        <w:lastRenderedPageBreak/>
        <w:t>Preface</w:t>
      </w:r>
    </w:p>
    <w:p w:rsidR="008A7547" w:rsidP="008A7547" w:rsidRDefault="008A7547" w14:paraId="03F55A84" w14:textId="5DD817B1">
      <w:r>
        <w:t>In July 2025, the Australian Government established the interim Australian Tertiary Education Commission (ATEC) to enable the Commission’s work as system steward prior to the passage of its enabling legislation.</w:t>
      </w:r>
      <w:r w:rsidR="368E0879">
        <w:t xml:space="preserve"> With the passage and the commencement of legislation</w:t>
      </w:r>
      <w:r w:rsidR="78F08EE2">
        <w:t xml:space="preserve"> in early 2026</w:t>
      </w:r>
      <w:r w:rsidR="368E0879">
        <w:t xml:space="preserve">, </w:t>
      </w:r>
      <w:r w:rsidR="64558506">
        <w:t xml:space="preserve">the statutory ATEC is now beginning its </w:t>
      </w:r>
      <w:r w:rsidR="148005CB">
        <w:t>work.</w:t>
      </w:r>
      <w:r>
        <w:t xml:space="preserve"> The ATEC has developed th</w:t>
      </w:r>
      <w:r w:rsidR="00D52A9E">
        <w:t>is</w:t>
      </w:r>
      <w:r>
        <w:t xml:space="preserve"> interim Statement of Strategic Priorities (SSP) to provide an initial view of its areas of focus, and to guide the development of </w:t>
      </w:r>
      <w:r w:rsidR="00953CE3">
        <w:t xml:space="preserve">foundation </w:t>
      </w:r>
      <w:r>
        <w:t xml:space="preserve">mission based compacts </w:t>
      </w:r>
      <w:r w:rsidR="00440503">
        <w:t xml:space="preserve">for 2027 </w:t>
      </w:r>
      <w:r>
        <w:t>with eligible higher education providers. To assist providers, the ATEC will also release accompanying guidance material explaining how the priorities of this Statement could be translated into individual compacts in line with a provider’s mission and strategic objectives.</w:t>
      </w:r>
    </w:p>
    <w:p w:rsidR="00624CFA" w:rsidP="00624CFA" w:rsidRDefault="001A744E" w14:paraId="32FB8F2D" w14:textId="21090DD0">
      <w:r>
        <w:t>A connecting thread t</w:t>
      </w:r>
      <w:r w:rsidR="005A0FD8">
        <w:t xml:space="preserve">hroughout these priorities </w:t>
      </w:r>
      <w:r w:rsidR="0002601F">
        <w:t>is t</w:t>
      </w:r>
      <w:r w:rsidR="0050004D">
        <w:t xml:space="preserve">he </w:t>
      </w:r>
      <w:r w:rsidR="00963163">
        <w:t>goal of l</w:t>
      </w:r>
      <w:r w:rsidR="00624CFA">
        <w:t>ifting educational attainment and expanding lifelong learning opportunities</w:t>
      </w:r>
      <w:r w:rsidR="006D35F6">
        <w:t>, which</w:t>
      </w:r>
      <w:r w:rsidR="00624CFA">
        <w:t xml:space="preserve"> are central to meeting Australia’s long-term skills needs</w:t>
      </w:r>
      <w:r w:rsidR="00677B75">
        <w:t xml:space="preserve"> </w:t>
      </w:r>
      <w:r w:rsidR="009D1716">
        <w:t xml:space="preserve">and enabling </w:t>
      </w:r>
      <w:r w:rsidR="00974892">
        <w:t xml:space="preserve">the personal </w:t>
      </w:r>
      <w:r w:rsidR="00825A9B">
        <w:t xml:space="preserve">and societal </w:t>
      </w:r>
      <w:r w:rsidR="00974892">
        <w:t xml:space="preserve">benefits of </w:t>
      </w:r>
      <w:r w:rsidR="0002601F">
        <w:t xml:space="preserve">tertiary </w:t>
      </w:r>
      <w:r w:rsidR="00663245">
        <w:t>education</w:t>
      </w:r>
      <w:r w:rsidR="00624CFA">
        <w:t>. This aligns with the Government’s target of 80</w:t>
      </w:r>
      <w:r w:rsidR="00D321CE">
        <w:t>%</w:t>
      </w:r>
      <w:r w:rsidR="00624CFA">
        <w:t xml:space="preserve"> of the working-age population with a Certificate III or above by 2050, and the </w:t>
      </w:r>
      <w:r w:rsidR="00E21AFB">
        <w:t xml:space="preserve">vision of the </w:t>
      </w:r>
      <w:r w:rsidR="0001175F">
        <w:t xml:space="preserve">Australian </w:t>
      </w:r>
      <w:r w:rsidR="00E21AFB">
        <w:t>Universities Accord</w:t>
      </w:r>
      <w:r w:rsidR="00624CFA">
        <w:t xml:space="preserve"> for a tertiary system that supports learners to upskill and reskill across their lives. </w:t>
      </w:r>
    </w:p>
    <w:p w:rsidR="001366E3" w:rsidP="001366E3" w:rsidRDefault="001366E3" w14:paraId="3C3FEA32" w14:textId="5A920037">
      <w:r>
        <w:t xml:space="preserve">As the system grows to meet national skills and workforce needs, the </w:t>
      </w:r>
      <w:r w:rsidR="009D1716">
        <w:t>A</w:t>
      </w:r>
      <w:r>
        <w:t xml:space="preserve">ccord emphasises the importance that growth occurs in a planned and sustainable way. The ATEC will focus on stewarding growth in student numbers so it is consistent with the priorities outlined in this Statement, including funding arrangements that support quality provision and reduce the prevalence of marginally funded places. </w:t>
      </w:r>
    </w:p>
    <w:p w:rsidR="008A7547" w:rsidP="008A7547" w:rsidRDefault="008A7547" w14:paraId="769E3332" w14:textId="0E4805EE">
      <w:r>
        <w:t xml:space="preserve">In developing this interim SSP, the ATEC has considered the </w:t>
      </w:r>
      <w:r w:rsidR="009B0EFB">
        <w:t>National Tertiary Education Objective</w:t>
      </w:r>
      <w:r w:rsidR="00F26570">
        <w:t xml:space="preserve">, the objects of the </w:t>
      </w:r>
      <w:hyperlink w:history="1" r:id="rId19">
        <w:r w:rsidRPr="00A20D91" w:rsidR="3EFF96FF">
          <w:rPr>
            <w:rStyle w:val="Hyperlink"/>
            <w:i/>
            <w:iCs/>
          </w:rPr>
          <w:t>Un</w:t>
        </w:r>
        <w:r w:rsidRPr="00A20D91" w:rsidR="153D3B94">
          <w:rPr>
            <w:rStyle w:val="Hyperlink"/>
            <w:i/>
            <w:iCs/>
          </w:rPr>
          <w:t>iv</w:t>
        </w:r>
        <w:r w:rsidRPr="00A20D91" w:rsidR="3EFF96FF">
          <w:rPr>
            <w:rStyle w:val="Hyperlink"/>
            <w:i/>
            <w:iCs/>
          </w:rPr>
          <w:t>ersities Accord (Australian Tertiary Education Commission) Act 2026</w:t>
        </w:r>
      </w:hyperlink>
      <w:r w:rsidRPr="00A20D91" w:rsidR="7112A8DE">
        <w:rPr>
          <w:i/>
          <w:iCs/>
        </w:rPr>
        <w:t xml:space="preserve"> </w:t>
      </w:r>
      <w:r w:rsidR="00AA3D70">
        <w:t>(the ATEC Act)</w:t>
      </w:r>
      <w:r w:rsidR="009B0EFB">
        <w:t xml:space="preserve"> and the </w:t>
      </w:r>
      <w:r>
        <w:t xml:space="preserve">letter </w:t>
      </w:r>
      <w:r w:rsidR="009B0EFB">
        <w:t xml:space="preserve">of expectations issued to us </w:t>
      </w:r>
      <w:r>
        <w:t>by the Minister for Education, the Hon</w:t>
      </w:r>
      <w:r w:rsidR="00D321CE">
        <w:t> </w:t>
      </w:r>
      <w:r>
        <w:t>Jason</w:t>
      </w:r>
      <w:r w:rsidR="00D321CE">
        <w:t> </w:t>
      </w:r>
      <w:r>
        <w:t>Clare</w:t>
      </w:r>
      <w:r w:rsidR="00D321CE">
        <w:t> </w:t>
      </w:r>
      <w:r>
        <w:t xml:space="preserve">MP on </w:t>
      </w:r>
      <w:r w:rsidR="3289BA0D">
        <w:t>4</w:t>
      </w:r>
      <w:r w:rsidR="00D321CE">
        <w:t> </w:t>
      </w:r>
      <w:r w:rsidR="00C870EB">
        <w:t>March</w:t>
      </w:r>
      <w:r w:rsidR="00D321CE">
        <w:t> </w:t>
      </w:r>
      <w:r>
        <w:t xml:space="preserve">2026. The ATEC has also consulted with state and territory ministers responsible for higher education and </w:t>
      </w:r>
      <w:r w:rsidR="00707BAA">
        <w:t>vocational education and training (</w:t>
      </w:r>
      <w:r>
        <w:t>VET</w:t>
      </w:r>
      <w:r w:rsidR="00707BAA">
        <w:t>)</w:t>
      </w:r>
      <w:r>
        <w:t>, Jobs and Skills Australia and Universities Australia. The ATEC is grateful for the input it has received throughout the consultation process.</w:t>
      </w:r>
    </w:p>
    <w:p w:rsidR="00956D8F" w:rsidP="00956D8F" w:rsidRDefault="008A7547" w14:paraId="7FC87418" w14:textId="0B7CD8D5">
      <w:r>
        <w:t>Later in 2026,</w:t>
      </w:r>
      <w:r w:rsidR="00EB66D2">
        <w:t xml:space="preserve"> </w:t>
      </w:r>
      <w:r>
        <w:t>the ATEC intends to develop a more detailed SSP with broad community consultation as required by its legislation. The statutory SSP will inform stakeholders in the tertiary system and the general community about the ATEC’s view of current challenges and opportunities in the system, and guide</w:t>
      </w:r>
      <w:r w:rsidR="07ED97A2">
        <w:t xml:space="preserve"> </w:t>
      </w:r>
      <w:r>
        <w:t xml:space="preserve">negotiations for </w:t>
      </w:r>
      <w:r w:rsidR="557E6322">
        <w:t xml:space="preserve">future </w:t>
      </w:r>
      <w:r>
        <w:t>mission based compacts.</w:t>
      </w:r>
      <w:r w:rsidR="00956D8F">
        <w:t xml:space="preserve"> Subject to decisions of Government and </w:t>
      </w:r>
      <w:r w:rsidR="00707BAA">
        <w:t xml:space="preserve">the </w:t>
      </w:r>
      <w:r w:rsidR="00956D8F">
        <w:t>passage of legislation, future SSPs and compacts may incorporate additional priorities and performance domains, such as international education.</w:t>
      </w:r>
    </w:p>
    <w:p w:rsidR="006263B7" w:rsidP="008A7547" w:rsidRDefault="006263B7" w14:paraId="2A65DEB2" w14:textId="77777777"/>
    <w:p w:rsidR="006263B7" w:rsidP="008A7547" w:rsidRDefault="006263B7" w14:paraId="74FF5C87"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02"/>
        <w:gridCol w:w="2835"/>
        <w:gridCol w:w="3392"/>
      </w:tblGrid>
      <w:tr w:rsidRPr="00403073" w:rsidR="000D676A" w:rsidTr="00692EAB" w14:paraId="3A9CF555" w14:textId="77777777">
        <w:trPr>
          <w:cnfStyle w:val="100000000000" w:firstRow="1" w:lastRow="0" w:firstColumn="0" w:lastColumn="0" w:oddVBand="0" w:evenVBand="0" w:oddHBand="0" w:evenHBand="0" w:firstRowFirstColumn="0" w:firstRowLastColumn="0" w:lastRowFirstColumn="0" w:lastRowLastColumn="0"/>
        </w:trPr>
        <w:tc>
          <w:tcPr>
            <w:tcW w:w="3402" w:type="dxa"/>
            <w:tcBorders>
              <w:top w:val="none" w:color="auto" w:sz="0" w:space="0"/>
              <w:left w:val="none" w:color="auto" w:sz="0" w:space="0"/>
              <w:bottom w:val="none" w:color="auto" w:sz="0" w:space="0"/>
              <w:right w:val="none" w:color="auto" w:sz="0" w:space="0"/>
            </w:tcBorders>
            <w:shd w:val="clear" w:color="auto" w:fill="auto"/>
          </w:tcPr>
          <w:p w:rsidRPr="00A15CE8" w:rsidR="00F17AB1" w:rsidP="008D2656" w:rsidRDefault="00F17AB1" w14:paraId="38B45EAA" w14:textId="4795CE9B">
            <w:pPr>
              <w:ind w:left="-120"/>
              <w:rPr>
                <w:b w:val="0"/>
                <w:bCs/>
                <w:color w:val="000000" w:themeColor="text1"/>
              </w:rPr>
            </w:pPr>
            <w:r w:rsidRPr="00A15CE8">
              <w:rPr>
                <w:b w:val="0"/>
                <w:bCs/>
                <w:color w:val="000000" w:themeColor="text1"/>
              </w:rPr>
              <w:t>Professor Barney Glover AO</w:t>
            </w:r>
          </w:p>
        </w:tc>
        <w:tc>
          <w:tcPr>
            <w:tcW w:w="2835" w:type="dxa"/>
            <w:tcBorders>
              <w:top w:val="none" w:color="auto" w:sz="0" w:space="0"/>
              <w:left w:val="none" w:color="auto" w:sz="0" w:space="0"/>
              <w:bottom w:val="none" w:color="auto" w:sz="0" w:space="0"/>
              <w:right w:val="none" w:color="auto" w:sz="0" w:space="0"/>
            </w:tcBorders>
            <w:shd w:val="clear" w:color="auto" w:fill="auto"/>
          </w:tcPr>
          <w:p w:rsidRPr="00A15CE8" w:rsidR="00F17AB1" w:rsidP="00403073" w:rsidRDefault="00F17AB1" w14:paraId="7AA0637D" w14:textId="65401239">
            <w:pPr>
              <w:rPr>
                <w:b w:val="0"/>
                <w:bCs/>
                <w:color w:val="000000" w:themeColor="text1"/>
              </w:rPr>
            </w:pPr>
            <w:r w:rsidRPr="00A15CE8">
              <w:rPr>
                <w:b w:val="0"/>
                <w:bCs/>
                <w:color w:val="000000" w:themeColor="text1"/>
              </w:rPr>
              <w:t xml:space="preserve">The Hon Fiona </w:t>
            </w:r>
            <w:r w:rsidRPr="00A15CE8" w:rsidR="003624CE">
              <w:rPr>
                <w:b w:val="0"/>
                <w:bCs/>
                <w:color w:val="000000" w:themeColor="text1"/>
              </w:rPr>
              <w:t>N</w:t>
            </w:r>
            <w:r w:rsidRPr="00A15CE8">
              <w:rPr>
                <w:b w:val="0"/>
                <w:bCs/>
                <w:color w:val="000000" w:themeColor="text1"/>
              </w:rPr>
              <w:t>ash</w:t>
            </w:r>
          </w:p>
        </w:tc>
        <w:tc>
          <w:tcPr>
            <w:tcW w:w="3392" w:type="dxa"/>
            <w:tcBorders>
              <w:top w:val="none" w:color="auto" w:sz="0" w:space="0"/>
              <w:left w:val="none" w:color="auto" w:sz="0" w:space="0"/>
              <w:bottom w:val="none" w:color="auto" w:sz="0" w:space="0"/>
              <w:right w:val="none" w:color="auto" w:sz="0" w:space="0"/>
            </w:tcBorders>
            <w:shd w:val="clear" w:color="auto" w:fill="auto"/>
          </w:tcPr>
          <w:p w:rsidRPr="00403073" w:rsidR="00F17AB1" w:rsidP="00403073" w:rsidRDefault="003624CE" w14:paraId="7615BA67" w14:textId="7E7AFE72">
            <w:pPr>
              <w:rPr>
                <w:b w:val="0"/>
                <w:bCs/>
                <w:color w:val="000000" w:themeColor="text1"/>
              </w:rPr>
            </w:pPr>
            <w:r w:rsidRPr="00A15CE8">
              <w:rPr>
                <w:b w:val="0"/>
                <w:bCs/>
                <w:color w:val="000000" w:themeColor="text1"/>
              </w:rPr>
              <w:t>Professor Tom Calma AO</w:t>
            </w:r>
          </w:p>
        </w:tc>
      </w:tr>
      <w:tr w:rsidR="00A15CE8" w:rsidTr="00692EAB" w14:paraId="55CBF245" w14:textId="77777777">
        <w:tc>
          <w:tcPr>
            <w:tcW w:w="3402" w:type="dxa"/>
          </w:tcPr>
          <w:p w:rsidR="00F17AB1" w:rsidP="008D2656" w:rsidRDefault="00BF3B31" w14:paraId="327C97B8" w14:textId="5307476E">
            <w:pPr>
              <w:ind w:left="-120"/>
            </w:pPr>
            <w:r>
              <w:t>Interim Chief Commissioner</w:t>
            </w:r>
          </w:p>
        </w:tc>
        <w:tc>
          <w:tcPr>
            <w:tcW w:w="2835" w:type="dxa"/>
          </w:tcPr>
          <w:p w:rsidR="00F17AB1" w:rsidP="008A7547" w:rsidRDefault="00BF3B31" w14:paraId="70D53F83" w14:textId="76AC710C">
            <w:r>
              <w:t>Interim Commissioner</w:t>
            </w:r>
          </w:p>
        </w:tc>
        <w:tc>
          <w:tcPr>
            <w:tcW w:w="3392" w:type="dxa"/>
          </w:tcPr>
          <w:p w:rsidR="00F17AB1" w:rsidP="008A7547" w:rsidRDefault="00BF3B31" w14:paraId="3FF28458" w14:textId="448F65B0">
            <w:r>
              <w:t>Interim First Nations Commissioner</w:t>
            </w:r>
          </w:p>
        </w:tc>
      </w:tr>
    </w:tbl>
    <w:p w:rsidR="00D96685" w:rsidP="008A7547" w:rsidRDefault="00D96685" w14:paraId="1E6FF26D" w14:textId="77777777"/>
    <w:p w:rsidR="00B30BDC" w:rsidP="00D96685" w:rsidRDefault="00B30BDC" w14:paraId="47B3EFC7" w14:textId="77777777">
      <w:r>
        <w:br w:type="page"/>
      </w:r>
    </w:p>
    <w:p w:rsidR="00B30BDC" w:rsidP="00143017" w:rsidRDefault="00526A1E" w14:paraId="7E9E6685" w14:textId="1945435F">
      <w:pPr>
        <w:pStyle w:val="Heading1"/>
      </w:pPr>
      <w:r>
        <w:lastRenderedPageBreak/>
        <w:t xml:space="preserve">ATEC </w:t>
      </w:r>
      <w:r w:rsidR="00143017">
        <w:t>Prioritie</w:t>
      </w:r>
      <w:r w:rsidR="00556026">
        <w:t>s</w:t>
      </w:r>
    </w:p>
    <w:p w:rsidR="00743319" w:rsidP="477BE9EE" w:rsidRDefault="00743319" w14:paraId="2E7E93A1" w14:textId="6A372A9D">
      <w:r>
        <w:t xml:space="preserve">The ATEC has identified the following </w:t>
      </w:r>
      <w:r w:rsidR="005D2E31">
        <w:t xml:space="preserve">six broad </w:t>
      </w:r>
      <w:r>
        <w:t xml:space="preserve">priorities that </w:t>
      </w:r>
      <w:r w:rsidR="00556026">
        <w:t>are</w:t>
      </w:r>
      <w:r>
        <w:t xml:space="preserve"> areas of focus for its work in 2026.</w:t>
      </w:r>
      <w:r w:rsidR="32621A43">
        <w:t xml:space="preserve"> The priorities align with the </w:t>
      </w:r>
      <w:r w:rsidR="7C256096">
        <w:t xml:space="preserve">six </w:t>
      </w:r>
      <w:r w:rsidR="32621A43">
        <w:t xml:space="preserve">performance domains </w:t>
      </w:r>
      <w:r w:rsidR="4673887C">
        <w:t xml:space="preserve">that </w:t>
      </w:r>
      <w:r w:rsidR="00E73D2E">
        <w:t xml:space="preserve">will </w:t>
      </w:r>
      <w:r w:rsidR="4673887C">
        <w:t xml:space="preserve">provide a framework for provider activities and assessment in the </w:t>
      </w:r>
      <w:r w:rsidR="64C88120">
        <w:t xml:space="preserve">foundation </w:t>
      </w:r>
      <w:r w:rsidR="01390073">
        <w:t>mission based compacts</w:t>
      </w:r>
      <w:r w:rsidR="00526A1E">
        <w:t xml:space="preserve"> for 2027</w:t>
      </w:r>
      <w:r w:rsidR="4751EA4E">
        <w:t>.</w:t>
      </w:r>
    </w:p>
    <w:p w:rsidR="0084286D" w:rsidP="00A20D91" w:rsidRDefault="0084286D" w14:paraId="2066C4B9" w14:textId="640C8D68">
      <w:pPr>
        <w:pStyle w:val="Heading2"/>
        <w:numPr>
          <w:ilvl w:val="0"/>
          <w:numId w:val="29"/>
        </w:numPr>
        <w:ind w:left="357" w:hanging="357"/>
      </w:pPr>
      <w:r>
        <w:t>National, state/territory and regional priorities</w:t>
      </w:r>
    </w:p>
    <w:p w:rsidR="000200FC" w:rsidP="00195CFF" w:rsidRDefault="310FF5BA" w14:paraId="25D28E59" w14:textId="78A6C4E0">
      <w:r>
        <w:t>Australia</w:t>
      </w:r>
      <w:r w:rsidR="00C3CFC7">
        <w:t xml:space="preserve"> is fortunate </w:t>
      </w:r>
      <w:r w:rsidR="4AB5DF44">
        <w:t xml:space="preserve">in possessing </w:t>
      </w:r>
      <w:r w:rsidR="16927B50">
        <w:t xml:space="preserve">higher and vocational </w:t>
      </w:r>
      <w:r w:rsidR="3A7A1ED2">
        <w:t>education institutions that build long</w:t>
      </w:r>
      <w:r w:rsidR="5CF738EE">
        <w:t xml:space="preserve">-term capability </w:t>
      </w:r>
      <w:r w:rsidR="188C44A4">
        <w:t>for the nation</w:t>
      </w:r>
      <w:r w:rsidR="3CFE940E">
        <w:t>,</w:t>
      </w:r>
      <w:r w:rsidR="188C44A4">
        <w:t xml:space="preserve"> their local communities</w:t>
      </w:r>
      <w:r w:rsidR="27815557">
        <w:t xml:space="preserve"> and their students</w:t>
      </w:r>
      <w:r w:rsidR="6F05C581">
        <w:t xml:space="preserve">. </w:t>
      </w:r>
      <w:r w:rsidR="796FC4FC">
        <w:t>T</w:t>
      </w:r>
      <w:r w:rsidR="5294C27B">
        <w:t xml:space="preserve">ogether with state and territory </w:t>
      </w:r>
      <w:r w:rsidR="572CDF4E">
        <w:t xml:space="preserve">governments, the ATEC will work with these institutions </w:t>
      </w:r>
      <w:r w:rsidR="796FC4FC">
        <w:t xml:space="preserve">to </w:t>
      </w:r>
      <w:r w:rsidR="17FF7236">
        <w:t xml:space="preserve">ensure </w:t>
      </w:r>
      <w:r w:rsidR="41B7FF4D">
        <w:t xml:space="preserve">they </w:t>
      </w:r>
      <w:r w:rsidR="3D69D9F7">
        <w:t xml:space="preserve">reach their full potential </w:t>
      </w:r>
      <w:r w:rsidR="02221DBA">
        <w:t>in contributing to</w:t>
      </w:r>
      <w:r w:rsidR="00141FA8">
        <w:t>wards</w:t>
      </w:r>
      <w:r w:rsidR="02221DBA">
        <w:t xml:space="preserve"> the National Tertiary Education Objectiv</w:t>
      </w:r>
      <w:r w:rsidR="2F872857">
        <w:t xml:space="preserve">e (NTEO). </w:t>
      </w:r>
      <w:r w:rsidR="40F04F62">
        <w:t xml:space="preserve">The NTEO encompasses </w:t>
      </w:r>
      <w:r w:rsidR="30014F8C">
        <w:t xml:space="preserve">the promotion </w:t>
      </w:r>
      <w:r w:rsidR="09709B7E">
        <w:t xml:space="preserve">through tertiary education </w:t>
      </w:r>
      <w:r w:rsidR="30014F8C">
        <w:t>of a strong, equitable and resilient democracy</w:t>
      </w:r>
      <w:r w:rsidR="73FBC17A">
        <w:t xml:space="preserve"> together with </w:t>
      </w:r>
      <w:r w:rsidR="6BE9778F">
        <w:t xml:space="preserve">national, economic and </w:t>
      </w:r>
      <w:r w:rsidR="73FBC17A">
        <w:t>social development and environmental sustainability.</w:t>
      </w:r>
      <w:r w:rsidR="049DEC5D">
        <w:t xml:space="preserve"> </w:t>
      </w:r>
    </w:p>
    <w:p w:rsidR="00DB3EDA" w:rsidP="4D92C552" w:rsidRDefault="29458E3E" w14:paraId="1B56A5A8" w14:textId="616AC364">
      <w:r w:rsidRPr="7764CB60">
        <w:t xml:space="preserve">Importantly within this context and as outlined explicitly in the </w:t>
      </w:r>
      <w:r w:rsidRPr="00A20D91" w:rsidR="00AA3D70">
        <w:t>ATEC Act</w:t>
      </w:r>
      <w:r w:rsidRPr="7764CB60">
        <w:t xml:space="preserve">, the ATEC recognises the </w:t>
      </w:r>
      <w:r w:rsidR="00F55054">
        <w:br/>
      </w:r>
      <w:r w:rsidRPr="7764CB60">
        <w:t xml:space="preserve">public-focused mission of higher education, the importance of academic freedom and the crucial role of higher education in developing knowledge and critical inquiry for the benefit of society. </w:t>
      </w:r>
      <w:r w:rsidRPr="7764CB60" w:rsidR="7EA10766">
        <w:t>Equally important</w:t>
      </w:r>
      <w:r w:rsidRPr="7764CB60">
        <w:t xml:space="preserve"> in this regard is a focus on </w:t>
      </w:r>
      <w:r w:rsidRPr="7764CB60" w:rsidR="56768628">
        <w:t>I</w:t>
      </w:r>
      <w:r w:rsidRPr="7764CB60">
        <w:t>ndigenous knowledges, culture and languages. These are fundamental and enduring national priorities.</w:t>
      </w:r>
    </w:p>
    <w:p w:rsidR="00195CFF" w:rsidP="00195CFF" w:rsidRDefault="005B38E9" w14:paraId="7EC0943C" w14:textId="19D9D6BB">
      <w:r>
        <w:t xml:space="preserve">The contribution of </w:t>
      </w:r>
      <w:r w:rsidR="00D443E1">
        <w:t>tertiary education providers to meeting</w:t>
      </w:r>
      <w:r w:rsidR="0084286D">
        <w:t xml:space="preserve"> Australia’s current and future skills needs is a key</w:t>
      </w:r>
      <w:r w:rsidR="00DF562A">
        <w:t xml:space="preserve"> aspect of the NTEO and a </w:t>
      </w:r>
      <w:r w:rsidR="002B4E1F">
        <w:t xml:space="preserve">national </w:t>
      </w:r>
      <w:r w:rsidR="00DF562A">
        <w:t>priority for the ATEC</w:t>
      </w:r>
      <w:r w:rsidR="0084286D">
        <w:t>.</w:t>
      </w:r>
      <w:r w:rsidR="0044168F">
        <w:t xml:space="preserve"> </w:t>
      </w:r>
      <w:r w:rsidR="00642625">
        <w:t>Analysis by Jobs and Skills Australia shows that strong labour</w:t>
      </w:r>
      <w:r w:rsidR="00642625">
        <w:rPr>
          <w:rFonts w:ascii="Cambria Math" w:hAnsi="Cambria Math" w:cs="Cambria Math"/>
        </w:rPr>
        <w:t>‑</w:t>
      </w:r>
      <w:r w:rsidR="00642625">
        <w:t xml:space="preserve">market demand is concentrated in service industries, </w:t>
      </w:r>
      <w:r w:rsidR="000410EB">
        <w:t xml:space="preserve">while </w:t>
      </w:r>
      <w:r w:rsidR="00E21989">
        <w:t xml:space="preserve">evolving </w:t>
      </w:r>
      <w:r w:rsidR="00CE47F0">
        <w:t xml:space="preserve">economic, geostrategic and environmental </w:t>
      </w:r>
      <w:r w:rsidR="00132643">
        <w:t>conditions</w:t>
      </w:r>
      <w:r w:rsidR="009A469F">
        <w:t xml:space="preserve"> </w:t>
      </w:r>
      <w:r w:rsidR="00BB7B3C">
        <w:t>a</w:t>
      </w:r>
      <w:r w:rsidR="00105627">
        <w:t xml:space="preserve">lso influence </w:t>
      </w:r>
      <w:r w:rsidR="00377B0F">
        <w:t>skills priorities</w:t>
      </w:r>
      <w:r w:rsidR="005449D3">
        <w:t xml:space="preserve">. </w:t>
      </w:r>
    </w:p>
    <w:p w:rsidR="005449D3" w:rsidP="00195CFF" w:rsidRDefault="003F0DBA" w14:paraId="5690B5CB" w14:textId="05AC892F">
      <w:r>
        <w:t xml:space="preserve">The </w:t>
      </w:r>
      <w:r w:rsidR="0043768B">
        <w:t xml:space="preserve">ATEC considers </w:t>
      </w:r>
      <w:r>
        <w:t xml:space="preserve">skills and workforce needs in the following </w:t>
      </w:r>
      <w:r w:rsidR="4EA078C0">
        <w:t>field</w:t>
      </w:r>
      <w:r>
        <w:t>s</w:t>
      </w:r>
      <w:r w:rsidR="00207B90">
        <w:t xml:space="preserve"> as a priority</w:t>
      </w:r>
      <w:r>
        <w:t>:</w:t>
      </w:r>
    </w:p>
    <w:p w:rsidR="0008246E" w:rsidP="008D006A" w:rsidRDefault="00C43FCE" w14:paraId="22A8B386" w14:textId="54017D76">
      <w:pPr>
        <w:pStyle w:val="ListParagraph"/>
        <w:numPr>
          <w:ilvl w:val="0"/>
          <w:numId w:val="19"/>
        </w:numPr>
      </w:pPr>
      <w:r>
        <w:t>h</w:t>
      </w:r>
      <w:r w:rsidR="00F72E85">
        <w:t>ealth</w:t>
      </w:r>
      <w:r w:rsidR="00BA1458">
        <w:t xml:space="preserve">, </w:t>
      </w:r>
      <w:r>
        <w:t>aged care</w:t>
      </w:r>
      <w:r w:rsidR="0086239E">
        <w:t xml:space="preserve"> and </w:t>
      </w:r>
      <w:r w:rsidR="00C3759B">
        <w:t>disability</w:t>
      </w:r>
      <w:r w:rsidR="008864ED">
        <w:t xml:space="preserve"> support</w:t>
      </w:r>
    </w:p>
    <w:p w:rsidR="004B1ACD" w:rsidP="008D006A" w:rsidRDefault="004B1ACD" w14:paraId="5F13078D" w14:textId="7E93B8D1">
      <w:pPr>
        <w:pStyle w:val="ListParagraph"/>
        <w:numPr>
          <w:ilvl w:val="0"/>
          <w:numId w:val="19"/>
        </w:numPr>
      </w:pPr>
      <w:r>
        <w:t>education</w:t>
      </w:r>
      <w:r w:rsidR="0086239E">
        <w:t>, including early childhood education and care</w:t>
      </w:r>
    </w:p>
    <w:p w:rsidR="0008246E" w:rsidP="008D006A" w:rsidRDefault="002E5C97" w14:paraId="61AE0866" w14:textId="6A411FB4">
      <w:pPr>
        <w:pStyle w:val="ListParagraph"/>
        <w:numPr>
          <w:ilvl w:val="0"/>
          <w:numId w:val="19"/>
        </w:numPr>
      </w:pPr>
      <w:r w:rsidRPr="002E5C97">
        <w:t>sovereign</w:t>
      </w:r>
      <w:r w:rsidR="00FA108D">
        <w:t xml:space="preserve"> capability and food </w:t>
      </w:r>
      <w:r w:rsidR="00955B70">
        <w:t>security, including advanced man</w:t>
      </w:r>
      <w:r w:rsidR="00642625">
        <w:t>ufacturing and critical minerals</w:t>
      </w:r>
    </w:p>
    <w:p w:rsidR="003A66BA" w:rsidP="008D006A" w:rsidRDefault="00EB1E59" w14:paraId="4F3AB290" w14:textId="77777777">
      <w:pPr>
        <w:pStyle w:val="ListParagraph"/>
        <w:numPr>
          <w:ilvl w:val="0"/>
          <w:numId w:val="19"/>
        </w:numPr>
      </w:pPr>
      <w:r>
        <w:t>digital and technology</w:t>
      </w:r>
    </w:p>
    <w:p w:rsidR="00264038" w:rsidP="00264038" w:rsidRDefault="00EB1E59" w14:paraId="377FD68B" w14:textId="3814B04D">
      <w:pPr>
        <w:pStyle w:val="ListParagraph"/>
        <w:numPr>
          <w:ilvl w:val="0"/>
          <w:numId w:val="19"/>
        </w:numPr>
      </w:pPr>
      <w:r>
        <w:t xml:space="preserve">housing </w:t>
      </w:r>
      <w:r w:rsidR="00955B70">
        <w:t>and construction</w:t>
      </w:r>
    </w:p>
    <w:p w:rsidR="00264038" w:rsidP="00264038" w:rsidRDefault="00264038" w14:paraId="14107C7F" w14:textId="0F44EF25">
      <w:pPr>
        <w:pStyle w:val="ListParagraph"/>
        <w:numPr>
          <w:ilvl w:val="0"/>
          <w:numId w:val="19"/>
        </w:numPr>
      </w:pPr>
      <w:r>
        <w:t>climate change and Net Zero transformation</w:t>
      </w:r>
      <w:r w:rsidR="00F02BF5">
        <w:t>.</w:t>
      </w:r>
    </w:p>
    <w:p w:rsidRPr="00A71BAC" w:rsidR="00A950FA" w:rsidP="00A950FA" w:rsidRDefault="00311756" w14:paraId="562CD5AF" w14:textId="77777777">
      <w:r>
        <w:t xml:space="preserve">Many of these priorities </w:t>
      </w:r>
      <w:r w:rsidR="00483D6C">
        <w:t xml:space="preserve">also feature in the National Skills Plan developed </w:t>
      </w:r>
      <w:r w:rsidR="00B63550">
        <w:t xml:space="preserve">under the </w:t>
      </w:r>
      <w:r w:rsidR="00AC646E">
        <w:t>National Skills Agreement</w:t>
      </w:r>
      <w:r w:rsidR="00B63550">
        <w:t>.</w:t>
      </w:r>
      <w:r w:rsidR="004C5F0B">
        <w:rPr>
          <w:rStyle w:val="FootnoteReference"/>
        </w:rPr>
        <w:footnoteReference w:id="2"/>
      </w:r>
      <w:r w:rsidR="00214421">
        <w:t xml:space="preserve"> </w:t>
      </w:r>
      <w:r w:rsidR="004C0794">
        <w:t xml:space="preserve">Higher </w:t>
      </w:r>
      <w:r w:rsidR="006473AB">
        <w:t>educatio</w:t>
      </w:r>
      <w:r w:rsidR="00986C2C">
        <w:t xml:space="preserve">n </w:t>
      </w:r>
      <w:r w:rsidR="00D74B68">
        <w:t xml:space="preserve">providers </w:t>
      </w:r>
      <w:r w:rsidR="11A22CDC">
        <w:t>will by their nature develop different but complementary responses to vocational education providers in addressing these needs</w:t>
      </w:r>
      <w:r w:rsidR="00A53751">
        <w:t xml:space="preserve">, </w:t>
      </w:r>
      <w:r w:rsidR="638D7514">
        <w:t>and</w:t>
      </w:r>
      <w:r w:rsidR="00A53751">
        <w:t xml:space="preserve"> </w:t>
      </w:r>
      <w:r w:rsidR="00651E0A">
        <w:t xml:space="preserve">both are </w:t>
      </w:r>
      <w:r w:rsidR="00D74B68">
        <w:t>crucial</w:t>
      </w:r>
      <w:r w:rsidR="002A4A8C">
        <w:t xml:space="preserve"> in </w:t>
      </w:r>
      <w:r w:rsidR="00E270BE">
        <w:t xml:space="preserve">meeting </w:t>
      </w:r>
      <w:r w:rsidR="00456971">
        <w:t xml:space="preserve">current and future </w:t>
      </w:r>
      <w:r w:rsidR="00443CB0">
        <w:t>skills challenges.</w:t>
      </w:r>
      <w:r w:rsidR="002E5DCF">
        <w:t xml:space="preserve"> Where applicable, providers should consider </w:t>
      </w:r>
      <w:r w:rsidR="00F1797A">
        <w:t xml:space="preserve">national </w:t>
      </w:r>
      <w:r w:rsidR="0016601D">
        <w:t xml:space="preserve">skills and workforce </w:t>
      </w:r>
      <w:r w:rsidR="002E5DCF">
        <w:t>priorities as part of their mission based compacts and requests for additional growth in 2027.</w:t>
      </w:r>
    </w:p>
    <w:p w:rsidR="0084286D" w:rsidP="00DA0167" w:rsidRDefault="00FF6FA8" w14:paraId="1F6C7169" w14:textId="05313127">
      <w:r>
        <w:t xml:space="preserve">The rapid development </w:t>
      </w:r>
      <w:r w:rsidR="009267E3">
        <w:t xml:space="preserve">of artificial intelligence </w:t>
      </w:r>
      <w:r w:rsidR="00B974B5">
        <w:t xml:space="preserve">offers </w:t>
      </w:r>
      <w:r w:rsidR="008845EE">
        <w:t xml:space="preserve">immense </w:t>
      </w:r>
      <w:r w:rsidR="00B974B5">
        <w:t xml:space="preserve">opportunities but </w:t>
      </w:r>
      <w:r w:rsidR="00AE42A8">
        <w:t xml:space="preserve">also </w:t>
      </w:r>
      <w:r w:rsidR="008845EE">
        <w:t xml:space="preserve">poses </w:t>
      </w:r>
      <w:r w:rsidR="00B974B5">
        <w:t>profound challenge</w:t>
      </w:r>
      <w:r w:rsidR="008D3234">
        <w:t xml:space="preserve">s to </w:t>
      </w:r>
      <w:r w:rsidR="001C022B">
        <w:t xml:space="preserve">current models of </w:t>
      </w:r>
      <w:r w:rsidR="00266872">
        <w:t>tertiary</w:t>
      </w:r>
      <w:r w:rsidR="001C022B">
        <w:t xml:space="preserve"> education teaching, learning and research.</w:t>
      </w:r>
      <w:r w:rsidR="00E86096">
        <w:t xml:space="preserve"> </w:t>
      </w:r>
      <w:r w:rsidR="00A134FF">
        <w:t xml:space="preserve">Ensuring graduates are equipped with </w:t>
      </w:r>
      <w:r w:rsidR="00176DAB">
        <w:t xml:space="preserve">the </w:t>
      </w:r>
      <w:r w:rsidR="00A134FF">
        <w:t>digital, human</w:t>
      </w:r>
      <w:r w:rsidR="00F04174">
        <w:t>-</w:t>
      </w:r>
      <w:r w:rsidR="00A134FF">
        <w:t>centric and applied skills required for a changing economy</w:t>
      </w:r>
      <w:r w:rsidR="00C91656">
        <w:t xml:space="preserve"> </w:t>
      </w:r>
      <w:r w:rsidR="00176DAB">
        <w:t xml:space="preserve">and society </w:t>
      </w:r>
      <w:r w:rsidR="0084041A">
        <w:t xml:space="preserve">is </w:t>
      </w:r>
      <w:r w:rsidR="00D57618">
        <w:t>critical, regardless of field</w:t>
      </w:r>
      <w:r w:rsidR="0084041A">
        <w:t xml:space="preserve">. </w:t>
      </w:r>
      <w:r w:rsidR="003943DE">
        <w:t xml:space="preserve">As the influence of </w:t>
      </w:r>
      <w:r w:rsidR="0059487F">
        <w:t xml:space="preserve">AI </w:t>
      </w:r>
      <w:r w:rsidR="0056670D">
        <w:t>continues to expand</w:t>
      </w:r>
      <w:r w:rsidR="0059487F">
        <w:t xml:space="preserve">, </w:t>
      </w:r>
      <w:r w:rsidR="0084286D">
        <w:t xml:space="preserve">the humanities, social sciences and the arts </w:t>
      </w:r>
      <w:r w:rsidR="003943DE">
        <w:t>will continue to play</w:t>
      </w:r>
      <w:r w:rsidR="0084286D">
        <w:t xml:space="preserve"> an important role in shaping ethical judgement, critical thinking and social</w:t>
      </w:r>
      <w:r w:rsidR="00406D0E">
        <w:t> </w:t>
      </w:r>
      <w:r w:rsidR="0084286D">
        <w:t>understanding.</w:t>
      </w:r>
    </w:p>
    <w:p w:rsidRPr="00A71BAC" w:rsidR="003B6B27" w:rsidP="003B6B27" w:rsidRDefault="00F83807" w14:paraId="49F6D9CE" w14:textId="612FAC9A">
      <w:r>
        <w:t xml:space="preserve">Tertiary education providers are important contributors to their local, regional and state economies through direct employment, workforce training, innovation, regional development and community engagement. Providers eligible for mission based compacts with the ATEC will be able to identify priorities for their local and regional areas and their institution </w:t>
      </w:r>
      <w:r w:rsidR="00551B57">
        <w:t>within</w:t>
      </w:r>
      <w:r>
        <w:t xml:space="preserve"> their compact. Following consultation, priorities for states and territories are listed in the Appendix. </w:t>
      </w:r>
      <w:r w:rsidR="003B6B27">
        <w:t xml:space="preserve">As with national skills priorities, providers should consider relevant state </w:t>
      </w:r>
      <w:r w:rsidR="003B6B27">
        <w:lastRenderedPageBreak/>
        <w:t>and territory skills priorities as part of their mission based compacts and requests for additional growth in</w:t>
      </w:r>
      <w:r w:rsidR="00406D0E">
        <w:t> </w:t>
      </w:r>
      <w:r w:rsidR="003B6B27">
        <w:t>2027.</w:t>
      </w:r>
      <w:r w:rsidR="002713C8">
        <w:t xml:space="preserve"> </w:t>
      </w:r>
    </w:p>
    <w:p w:rsidR="0084286D" w:rsidP="00A20D91" w:rsidRDefault="4D729150" w14:paraId="14FBFC4F" w14:textId="472A208A">
      <w:pPr>
        <w:pStyle w:val="Heading2"/>
        <w:numPr>
          <w:ilvl w:val="0"/>
          <w:numId w:val="29"/>
        </w:numPr>
        <w:ind w:left="357" w:hanging="357"/>
      </w:pPr>
      <w:r>
        <w:t>First Nations</w:t>
      </w:r>
    </w:p>
    <w:p w:rsidR="0084286D" w:rsidP="477BE9EE" w:rsidRDefault="4D729150" w14:paraId="772A6D17" w14:textId="3C6AEBBA">
      <w:r>
        <w:t xml:space="preserve">The </w:t>
      </w:r>
      <w:r w:rsidR="00A07952">
        <w:t>Australian Universities Accord</w:t>
      </w:r>
      <w:r>
        <w:t xml:space="preserve"> identified a significant opportunity – and obligation – to strengthen First Nations access to, participation in, and success in higher education. Central to this reform agenda is a whole-of-system commitment to improved outcomes across the student lifecycle, underpinned by embedding Indigenous</w:t>
      </w:r>
      <w:r w:rsidR="00D321CE">
        <w:t> </w:t>
      </w:r>
      <w:r>
        <w:t>Knowledge</w:t>
      </w:r>
      <w:r w:rsidR="00CA7EF8">
        <w:t>s</w:t>
      </w:r>
      <w:r>
        <w:t xml:space="preserve">, leadership and self-determination within tertiary education. </w:t>
      </w:r>
    </w:p>
    <w:p w:rsidR="0084286D" w:rsidP="477BE9EE" w:rsidRDefault="4D729150" w14:paraId="33F4072D" w14:textId="77777777">
      <w:r>
        <w:t xml:space="preserve">Achieving sustained improvement in First Nations outcomes requires that First Nations peoples are recognised not only as participants in the system, but as leaders and decision-makers in the governance, strategy and accountability frameworks that shape how the system operates. First Nations leadership is therefore foundational to effective system stewardship and reform. </w:t>
      </w:r>
    </w:p>
    <w:p w:rsidR="0084286D" w:rsidP="477BE9EE" w:rsidRDefault="4D729150" w14:paraId="4C1317FA" w14:textId="5C6138C5">
      <w:r>
        <w:t>The ATEC recognises the central role of First Nations peoples in shaping related policies and decisions in higher education. Through the work of its interim First Nations Commissioner and the establishment of a First</w:t>
      </w:r>
      <w:r w:rsidR="00D321CE">
        <w:t> </w:t>
      </w:r>
      <w:r>
        <w:t xml:space="preserve">Nations Working Group, the ATEC will embed First Nations leadership at the heart of system-level deliberations. This will inform the setting of expectations for providers, system oversight, and the monitoring of performance in relation to First Nations access, participation and attainment. </w:t>
      </w:r>
    </w:p>
    <w:p w:rsidR="0084286D" w:rsidP="477BE9EE" w:rsidRDefault="4D729150" w14:paraId="6DAFD6C2" w14:textId="18CBB29D">
      <w:r>
        <w:t xml:space="preserve">Consistent with the Accord, higher education providers will be </w:t>
      </w:r>
      <w:r w:rsidR="005344D9">
        <w:t xml:space="preserve">expected </w:t>
      </w:r>
      <w:r>
        <w:t>to demonstrate sustained improvement in First Nations outcomes, supported by evidence of genuine First Nations leadership and self</w:t>
      </w:r>
      <w:r w:rsidR="00D321CE">
        <w:noBreakHyphen/>
      </w:r>
      <w:r>
        <w:t xml:space="preserve">determination </w:t>
      </w:r>
      <w:r w:rsidR="00CA7EF8">
        <w:t>by</w:t>
      </w:r>
      <w:r>
        <w:t xml:space="preserve"> institutional governance, </w:t>
      </w:r>
      <w:r w:rsidR="00CA7EF8">
        <w:t xml:space="preserve">and within </w:t>
      </w:r>
      <w:r>
        <w:t xml:space="preserve">strategic planning, resource allocation and delivery. </w:t>
      </w:r>
    </w:p>
    <w:p w:rsidR="0084286D" w:rsidP="477BE9EE" w:rsidRDefault="4D729150" w14:paraId="67DCB756" w14:textId="77777777">
      <w:r>
        <w:t xml:space="preserve">Through this approach, the ATEC will support meaningful and enduring system-wide change, ensuring that First Nations leadership drives improved outcomes for First Nations learners and contributes to a more equitable and effective tertiary education system. </w:t>
      </w:r>
    </w:p>
    <w:p w:rsidR="0084286D" w:rsidP="00A20D91" w:rsidRDefault="4D729150" w14:paraId="4AC69658" w14:textId="038C4B16">
      <w:pPr>
        <w:pStyle w:val="Heading2"/>
        <w:numPr>
          <w:ilvl w:val="0"/>
          <w:numId w:val="29"/>
        </w:numPr>
        <w:ind w:left="357" w:hanging="357"/>
      </w:pPr>
      <w:r>
        <w:t xml:space="preserve">Equity </w:t>
      </w:r>
    </w:p>
    <w:p w:rsidR="0084286D" w:rsidP="477BE9EE" w:rsidRDefault="4D729150" w14:paraId="2BE41F78" w14:textId="311503A8">
      <w:r>
        <w:t>Increasing the access, participation and attainment of under-represented groups and priority cohorts in tertiary education is not only a matter of social justice but an economic necessity. The Accord found that increased participation of under-represented groups will be crucial in meeting the Government’s 80</w:t>
      </w:r>
      <w:r w:rsidR="00D321CE">
        <w:t>%</w:t>
      </w:r>
      <w:r>
        <w:t xml:space="preserve"> tertiary attainment target by</w:t>
      </w:r>
      <w:r w:rsidR="00D321CE">
        <w:t> </w:t>
      </w:r>
      <w:r>
        <w:t>2050. The Government began the implementation of Needs-based Funding in 2026 to support providers in enrolling and retaining students from under-represented backgrounds.</w:t>
      </w:r>
      <w:r w:rsidR="6D000A10">
        <w:t xml:space="preserve"> The Government has also expanded Regional and </w:t>
      </w:r>
      <w:r w:rsidR="00871B58">
        <w:t>Suburban</w:t>
      </w:r>
      <w:r w:rsidR="6D000A10">
        <w:t xml:space="preserve"> University Study Hubs to help improve access to higher</w:t>
      </w:r>
      <w:r w:rsidR="00D321CE">
        <w:t> </w:t>
      </w:r>
      <w:r w:rsidR="6D000A10">
        <w:t xml:space="preserve">education. </w:t>
      </w:r>
    </w:p>
    <w:p w:rsidR="0084286D" w:rsidP="477BE9EE" w:rsidRDefault="4D729150" w14:paraId="317E0629" w14:textId="7A123061">
      <w:pPr>
        <w:rPr>
          <w:rFonts w:eastAsia="Aptos"/>
        </w:rPr>
      </w:pPr>
      <w:r w:rsidRPr="477BE9EE">
        <w:rPr>
          <w:rFonts w:eastAsia="Aptos"/>
        </w:rPr>
        <w:t xml:space="preserve">In 2026, the ATEC </w:t>
      </w:r>
      <w:r w:rsidR="000B4769">
        <w:rPr>
          <w:rFonts w:eastAsia="Aptos"/>
        </w:rPr>
        <w:t>is focusing</w:t>
      </w:r>
      <w:r w:rsidRPr="477BE9EE">
        <w:rPr>
          <w:rFonts w:eastAsia="Aptos"/>
        </w:rPr>
        <w:t xml:space="preserve"> on how higher education system settings and funding supports participation and success for students from under-represented groups and priority cohorts, including First Nations students, students from regional, rural and remote backgrounds, students from low socio-economic backgrounds and students with disability. This is in line with the Accord’s emphasis on equity, access and student success as core measures of system performance.</w:t>
      </w:r>
    </w:p>
    <w:p w:rsidR="0084286D" w:rsidP="477BE9EE" w:rsidRDefault="4D729150" w14:paraId="3EE57833" w14:textId="0E3A0AFE">
      <w:pPr>
        <w:rPr>
          <w:rFonts w:eastAsia="Aptos"/>
        </w:rPr>
      </w:pPr>
      <w:r w:rsidRPr="477BE9EE">
        <w:rPr>
          <w:rFonts w:eastAsia="Aptos"/>
        </w:rPr>
        <w:t xml:space="preserve">To grow the participation of </w:t>
      </w:r>
      <w:r>
        <w:t>under-represented groups</w:t>
      </w:r>
      <w:r w:rsidRPr="477BE9EE">
        <w:rPr>
          <w:rFonts w:eastAsia="Aptos"/>
        </w:rPr>
        <w:t xml:space="preserve">, and move in the longer term towards population parity, universities will </w:t>
      </w:r>
      <w:r w:rsidR="00C73119">
        <w:rPr>
          <w:rFonts w:eastAsia="Aptos"/>
        </w:rPr>
        <w:t>be expected</w:t>
      </w:r>
      <w:r w:rsidRPr="477BE9EE" w:rsidR="00C73119">
        <w:rPr>
          <w:rFonts w:eastAsia="Aptos"/>
        </w:rPr>
        <w:t xml:space="preserve"> </w:t>
      </w:r>
      <w:r w:rsidRPr="477BE9EE">
        <w:rPr>
          <w:rFonts w:eastAsia="Aptos"/>
        </w:rPr>
        <w:t xml:space="preserve">to expand outreach, strengthen alternative and community-based pathways, </w:t>
      </w:r>
      <w:r w:rsidR="00136E17">
        <w:rPr>
          <w:rFonts w:eastAsia="Aptos"/>
        </w:rPr>
        <w:t>collaborate and share best practice</w:t>
      </w:r>
      <w:r w:rsidR="00EA742F">
        <w:rPr>
          <w:rFonts w:eastAsia="Aptos"/>
        </w:rPr>
        <w:t xml:space="preserve">, </w:t>
      </w:r>
      <w:r w:rsidRPr="477BE9EE">
        <w:rPr>
          <w:rFonts w:eastAsia="Aptos"/>
        </w:rPr>
        <w:t>and continue a focus on their preparatory programs. Closer links with VET</w:t>
      </w:r>
      <w:r w:rsidR="00B712FB">
        <w:rPr>
          <w:rFonts w:eastAsia="Aptos"/>
        </w:rPr>
        <w:t xml:space="preserve"> </w:t>
      </w:r>
      <w:r w:rsidRPr="477BE9EE">
        <w:rPr>
          <w:rFonts w:eastAsia="Aptos"/>
        </w:rPr>
        <w:t>are also an important enabler of participation. The ATEC will expect providers to define clear actions and outcomes for their equity initiatives to enhance system-wide accountability.</w:t>
      </w:r>
    </w:p>
    <w:p w:rsidR="0084286D" w:rsidP="00A20D91" w:rsidRDefault="326237D7" w14:paraId="3326A802" w14:textId="73E72D51">
      <w:pPr>
        <w:pStyle w:val="Heading2"/>
        <w:numPr>
          <w:ilvl w:val="0"/>
          <w:numId w:val="29"/>
        </w:numPr>
        <w:ind w:left="357" w:hanging="357"/>
      </w:pPr>
      <w:r>
        <w:t>Quality teaching</w:t>
      </w:r>
    </w:p>
    <w:p w:rsidR="0084286D" w:rsidP="477BE9EE" w:rsidRDefault="326237D7" w14:paraId="7F1005AA" w14:textId="4E05EE7D">
      <w:pPr>
        <w:rPr>
          <w:rFonts w:eastAsia="Aptos"/>
        </w:rPr>
      </w:pPr>
      <w:r w:rsidRPr="477BE9EE">
        <w:rPr>
          <w:rFonts w:eastAsia="Aptos"/>
        </w:rPr>
        <w:t xml:space="preserve">Raising the quality and recognition of higher education teaching is central to sustaining the value of higher education and promoting the success of students who need additional support. The </w:t>
      </w:r>
      <w:r w:rsidR="00CC6F3B">
        <w:rPr>
          <w:rFonts w:eastAsia="Aptos"/>
        </w:rPr>
        <w:t xml:space="preserve">Accord </w:t>
      </w:r>
      <w:r w:rsidRPr="477BE9EE">
        <w:rPr>
          <w:rFonts w:eastAsia="Aptos"/>
        </w:rPr>
        <w:t xml:space="preserve">Final Report found that teaching is under growing pressure from increasing student diversity and support needs and the </w:t>
      </w:r>
      <w:r w:rsidRPr="477BE9EE">
        <w:rPr>
          <w:rFonts w:eastAsia="Aptos"/>
        </w:rPr>
        <w:lastRenderedPageBreak/>
        <w:t>rapid pace of technological change, including the expansion of online learning and the emergence of artificial intelligence.</w:t>
      </w:r>
      <w:r w:rsidR="00C7103A">
        <w:rPr>
          <w:rFonts w:eastAsia="Aptos"/>
        </w:rPr>
        <w:t xml:space="preserve"> </w:t>
      </w:r>
      <w:r w:rsidR="00A7336C">
        <w:rPr>
          <w:rFonts w:eastAsia="Aptos"/>
        </w:rPr>
        <w:t xml:space="preserve">An overreliance on casual </w:t>
      </w:r>
      <w:r w:rsidR="00A926F0">
        <w:rPr>
          <w:rFonts w:eastAsia="Aptos"/>
        </w:rPr>
        <w:t>and fixed</w:t>
      </w:r>
      <w:r w:rsidR="005A7C8C">
        <w:rPr>
          <w:rFonts w:eastAsia="Aptos"/>
        </w:rPr>
        <w:t xml:space="preserve"> term working arrangements for teaching staff also poses </w:t>
      </w:r>
      <w:r w:rsidR="005030A8">
        <w:rPr>
          <w:rFonts w:eastAsia="Aptos"/>
        </w:rPr>
        <w:t>risks</w:t>
      </w:r>
      <w:r w:rsidR="005A7C8C">
        <w:rPr>
          <w:rFonts w:eastAsia="Aptos"/>
        </w:rPr>
        <w:t xml:space="preserve"> </w:t>
      </w:r>
      <w:r w:rsidR="00526170">
        <w:rPr>
          <w:rFonts w:eastAsia="Aptos"/>
        </w:rPr>
        <w:t xml:space="preserve">for </w:t>
      </w:r>
      <w:r w:rsidR="00974105">
        <w:rPr>
          <w:rFonts w:eastAsia="Aptos"/>
        </w:rPr>
        <w:t>the quality of teaching</w:t>
      </w:r>
      <w:r w:rsidR="008E0587">
        <w:rPr>
          <w:rFonts w:eastAsia="Aptos"/>
        </w:rPr>
        <w:t xml:space="preserve"> and </w:t>
      </w:r>
      <w:r w:rsidR="00AA2D15">
        <w:rPr>
          <w:rFonts w:eastAsia="Aptos"/>
        </w:rPr>
        <w:t>the student experience.</w:t>
      </w:r>
    </w:p>
    <w:p w:rsidR="0084286D" w:rsidP="477BE9EE" w:rsidRDefault="326237D7" w14:paraId="275C9A7D" w14:textId="0F43B514">
      <w:r w:rsidRPr="477BE9EE">
        <w:rPr>
          <w:rFonts w:eastAsia="Aptos"/>
        </w:rPr>
        <w:t xml:space="preserve">Generic skills, such as communication, teamwork, creativity and problem solving will become increasingly important in curriculum design, both for the personal development of students and </w:t>
      </w:r>
      <w:r>
        <w:t>to meet evolving employer expectations for higher education graduates. Collaboration in teaching and learning, both within the sector and with external stakeholders has the potential to deliver shared infrastructure, expanded regional provision, co</w:t>
      </w:r>
      <w:r w:rsidRPr="477BE9EE">
        <w:rPr>
          <w:rFonts w:ascii="Cambria Math" w:hAnsi="Cambria Math" w:cs="Cambria Math"/>
        </w:rPr>
        <w:t>‑</w:t>
      </w:r>
      <w:r>
        <w:t>designed curricula and quicker responses to emerging skills needs.</w:t>
      </w:r>
    </w:p>
    <w:p w:rsidR="0084286D" w:rsidP="477BE9EE" w:rsidRDefault="326237D7" w14:paraId="05EDB690" w14:textId="024DA3AB">
      <w:pPr>
        <w:rPr>
          <w:rFonts w:eastAsia="Aptos"/>
        </w:rPr>
      </w:pPr>
      <w:r w:rsidRPr="477BE9EE">
        <w:rPr>
          <w:rFonts w:eastAsia="Aptos"/>
        </w:rPr>
        <w:t>In December 2025 and February 2026, the ATEC held two Enhancing Professional Practice in Higher Education workshops looking at how to increase professionalism in learning and teaching across the higher education sector. In 2026, t</w:t>
      </w:r>
      <w:r>
        <w:t xml:space="preserve">he ATEC </w:t>
      </w:r>
      <w:r w:rsidR="00BB494B">
        <w:t>is</w:t>
      </w:r>
      <w:r>
        <w:t xml:space="preserve"> consider</w:t>
      </w:r>
      <w:r w:rsidR="00BB494B">
        <w:t>ing</w:t>
      </w:r>
      <w:r>
        <w:t xml:space="preserve"> potential reform pathways to promote high quality, student</w:t>
      </w:r>
      <w:r w:rsidR="00D321CE">
        <w:noBreakHyphen/>
      </w:r>
      <w:r>
        <w:t xml:space="preserve">centred teaching that supports Australia’s long term economic and social goals. </w:t>
      </w:r>
      <w:r w:rsidR="00AC1D93">
        <w:t>In developing their mission based compacts, p</w:t>
      </w:r>
      <w:r w:rsidR="00D960D1">
        <w:t>rovide</w:t>
      </w:r>
      <w:r w:rsidR="34EEAAB3">
        <w:t>r</w:t>
      </w:r>
      <w:r w:rsidR="00D960D1">
        <w:t xml:space="preserve">s are expected to be working </w:t>
      </w:r>
      <w:r w:rsidR="00072972">
        <w:t>towards</w:t>
      </w:r>
      <w:r w:rsidR="00D960D1">
        <w:t xml:space="preserve"> improving </w:t>
      </w:r>
      <w:r w:rsidR="00AC4F58">
        <w:t xml:space="preserve">the </w:t>
      </w:r>
      <w:r w:rsidR="00D960D1">
        <w:t xml:space="preserve">professional recognition of quality teaching </w:t>
      </w:r>
      <w:r w:rsidR="07C87382">
        <w:t xml:space="preserve">within </w:t>
      </w:r>
      <w:r w:rsidR="00D960D1">
        <w:t>their institution</w:t>
      </w:r>
      <w:r w:rsidR="00806AD9">
        <w:t>s.</w:t>
      </w:r>
    </w:p>
    <w:p w:rsidR="0084286D" w:rsidP="00A20D91" w:rsidRDefault="0084286D" w14:paraId="61E72037" w14:textId="42EA0FA5">
      <w:pPr>
        <w:pStyle w:val="Heading2"/>
        <w:numPr>
          <w:ilvl w:val="0"/>
          <w:numId w:val="29"/>
        </w:numPr>
        <w:ind w:left="357" w:hanging="357"/>
      </w:pPr>
      <w:r>
        <w:t xml:space="preserve">A joined-up tertiary system </w:t>
      </w:r>
    </w:p>
    <w:p w:rsidR="0084286D" w:rsidP="00E23E29" w:rsidRDefault="0084286D" w14:paraId="7ACBCD52" w14:textId="5D2AAF7A">
      <w:r>
        <w:t xml:space="preserve">Strengthening collaboration and coordination between VET and higher education is a central structural reform identified by the Accord as necessary to meet Australia’s long-term skills, equity and productivity goals. The Accord found that a more unified, coherent tertiary system is essential to promote student mobility </w:t>
      </w:r>
      <w:r w:rsidR="00AD228B">
        <w:t xml:space="preserve">in both directions </w:t>
      </w:r>
      <w:r>
        <w:t>between VET and higher education, support lifelong learning, and ensure that both sectors reach their full potential to meet national skills needs.</w:t>
      </w:r>
    </w:p>
    <w:p w:rsidR="0084286D" w:rsidP="00E23E29" w:rsidRDefault="0084286D" w14:paraId="7790BFD7" w14:textId="778C941C">
      <w:r>
        <w:t>The ATEC, together with Jobs and Skills Australia, the Department of Education, the Department of Employment and Workplace Relations and other stakeholders is advancing work in 2026 to improve system alignment and coordination. This includes the development of a Tertiary Roadmap, supported by a Tertiary System Advisory Council, to provide a shared, long-term framework for reform across the tertiary education</w:t>
      </w:r>
      <w:r w:rsidR="00406D0E">
        <w:t> </w:t>
      </w:r>
      <w:r>
        <w:t>system.</w:t>
      </w:r>
    </w:p>
    <w:p w:rsidR="00852320" w:rsidP="00EF6A1E" w:rsidRDefault="0084286D" w14:paraId="65006F1D" w14:textId="069CBAA4">
      <w:r>
        <w:t xml:space="preserve">Ensuring that students can move easily </w:t>
      </w:r>
      <w:r w:rsidR="00F20C33">
        <w:t xml:space="preserve">in both directions </w:t>
      </w:r>
      <w:r>
        <w:t>between VET and higher education with appropriate credit for pre-existing knowledge and skills is a key enabler of a joined-up system. In</w:t>
      </w:r>
      <w:r w:rsidR="00D321CE">
        <w:t> </w:t>
      </w:r>
      <w:r>
        <w:t>2026, the ATEC is developing a national credit recognition framework to establish a more transparent and student</w:t>
      </w:r>
      <w:r w:rsidR="00D321CE">
        <w:noBreakHyphen/>
      </w:r>
      <w:r>
        <w:t>centred approach to recognising prior learning. The framework aims to address the consistency of how credit is granted, improve the clarity of information available to students, and ensure decisions are timely, evidence-based and aligned with national skills needs.</w:t>
      </w:r>
      <w:r w:rsidR="266DF7A5">
        <w:t xml:space="preserve"> </w:t>
      </w:r>
    </w:p>
    <w:p w:rsidR="004B0C02" w:rsidP="00EF6A1E" w:rsidRDefault="00852320" w14:paraId="11FB6C1B" w14:textId="32DF6792">
      <w:r>
        <w:t>Some providers already have arrangements in place that support a more joined up tertiary education system, including dual sector providers that offer both VET and higher education courses, and institutions with existing cross-sector partnerships involving credit or qualification design.</w:t>
      </w:r>
      <w:r w:rsidR="0084335D">
        <w:t xml:space="preserve"> </w:t>
      </w:r>
      <w:r w:rsidR="009C7D2C">
        <w:t>As</w:t>
      </w:r>
      <w:r w:rsidR="00D549C5">
        <w:t xml:space="preserve"> providers work towards a</w:t>
      </w:r>
      <w:r w:rsidR="006F0A86">
        <w:t xml:space="preserve"> more joined up system</w:t>
      </w:r>
      <w:r w:rsidR="00D549C5">
        <w:t xml:space="preserve">, </w:t>
      </w:r>
      <w:r w:rsidR="00043A2B">
        <w:t>maximis</w:t>
      </w:r>
      <w:r w:rsidR="00CB0447">
        <w:t xml:space="preserve">ing credit recognition </w:t>
      </w:r>
      <w:r w:rsidR="006830E7">
        <w:t xml:space="preserve">for students </w:t>
      </w:r>
      <w:r w:rsidR="008C1DFB">
        <w:t>will be</w:t>
      </w:r>
      <w:r w:rsidR="00855AB2">
        <w:t xml:space="preserve"> </w:t>
      </w:r>
      <w:r w:rsidR="00B019C1">
        <w:t xml:space="preserve">a </w:t>
      </w:r>
      <w:r w:rsidR="003E12EA">
        <w:t xml:space="preserve">key </w:t>
      </w:r>
      <w:r w:rsidR="00FA08E0">
        <w:t>focu</w:t>
      </w:r>
      <w:r w:rsidR="007378CE">
        <w:t>s</w:t>
      </w:r>
      <w:r w:rsidR="0095484B">
        <w:t xml:space="preserve"> </w:t>
      </w:r>
      <w:r w:rsidR="002907D2">
        <w:t>for mission based compa</w:t>
      </w:r>
      <w:r w:rsidR="008E19CC">
        <w:t>cts</w:t>
      </w:r>
      <w:r w:rsidR="00D562A0">
        <w:t xml:space="preserve"> where </w:t>
      </w:r>
      <w:r w:rsidR="00112B48">
        <w:t xml:space="preserve">it is </w:t>
      </w:r>
      <w:r w:rsidR="00D562A0">
        <w:t xml:space="preserve">consistent with </w:t>
      </w:r>
      <w:r w:rsidR="007433F1">
        <w:t>provider</w:t>
      </w:r>
      <w:r w:rsidR="00A407C2">
        <w:t xml:space="preserve"> missions</w:t>
      </w:r>
      <w:r w:rsidR="00112B48">
        <w:t>.</w:t>
      </w:r>
      <w:r w:rsidR="008E19CC">
        <w:t xml:space="preserve"> </w:t>
      </w:r>
    </w:p>
    <w:p w:rsidRPr="00177C34" w:rsidR="0084286D" w:rsidP="00A20D91" w:rsidRDefault="74FD5C28" w14:paraId="30B1E3F0" w14:textId="43EB603C">
      <w:pPr>
        <w:pStyle w:val="ListParagraph"/>
        <w:numPr>
          <w:ilvl w:val="0"/>
          <w:numId w:val="29"/>
        </w:numPr>
        <w:spacing w:before="360"/>
        <w:ind w:left="357" w:hanging="357"/>
        <w:rPr>
          <w:rFonts w:ascii="Arial" w:hAnsi="Arial" w:eastAsia="Arial" w:cs="Arial"/>
          <w:b/>
          <w:color w:val="001032" w:themeColor="text2"/>
          <w:sz w:val="32"/>
          <w:szCs w:val="32"/>
        </w:rPr>
      </w:pPr>
      <w:r w:rsidRPr="00177C34">
        <w:rPr>
          <w:rFonts w:ascii="Arial" w:hAnsi="Arial" w:eastAsia="Arial" w:cs="Arial"/>
          <w:b/>
          <w:color w:val="001032" w:themeColor="text2"/>
          <w:sz w:val="32"/>
          <w:szCs w:val="32"/>
        </w:rPr>
        <w:t>Research</w:t>
      </w:r>
    </w:p>
    <w:p w:rsidR="0084286D" w:rsidRDefault="74FD5C28" w14:paraId="79A35BE4" w14:textId="08749EE8">
      <w:pPr>
        <w:rPr>
          <w:rFonts w:ascii="Arial" w:hAnsi="Arial" w:eastAsia="Arial" w:cs="Arial"/>
        </w:rPr>
      </w:pPr>
      <w:r w:rsidRPr="477BE9EE">
        <w:rPr>
          <w:rFonts w:ascii="Arial" w:hAnsi="Arial" w:eastAsia="Arial" w:cs="Arial"/>
        </w:rPr>
        <w:t>Research is a vital function of universities, delivering public value through the creation of new knowledge and underpinning Australia’s long term economic, social and environmental progress. The Accord reaffirmed the central role of university research and research training in sustaining national capability and supporting innovation in the economy. In recognition of this role, the ATEC’s legislation includes the delivery of internationally competitive research and research training as one of its objects</w:t>
      </w:r>
      <w:r w:rsidRPr="477BE9EE" w:rsidR="361C39F0">
        <w:rPr>
          <w:rFonts w:ascii="Arial" w:hAnsi="Arial" w:eastAsia="Arial" w:cs="Arial"/>
        </w:rPr>
        <w:t>, and the Commission may provide advice and recommendations to the Minister for Education on research and research training.</w:t>
      </w:r>
    </w:p>
    <w:p w:rsidR="0084286D" w:rsidRDefault="3A8D9267" w14:paraId="2D65BCB3" w14:textId="5545D827">
      <w:pPr>
        <w:rPr>
          <w:rFonts w:ascii="Arial" w:hAnsi="Arial" w:eastAsia="Arial" w:cs="Arial"/>
        </w:rPr>
      </w:pPr>
      <w:r w:rsidRPr="7D592196">
        <w:rPr>
          <w:rFonts w:ascii="Arial" w:hAnsi="Arial" w:eastAsia="Arial" w:cs="Arial"/>
        </w:rPr>
        <w:t xml:space="preserve">Consistent with the Accord’s emphasis on coherence across the tertiary, research and innovation systems, the ATEC </w:t>
      </w:r>
      <w:r w:rsidR="00EB0C2E">
        <w:rPr>
          <w:rFonts w:ascii="Arial" w:hAnsi="Arial" w:eastAsia="Arial" w:cs="Arial"/>
        </w:rPr>
        <w:t>will work</w:t>
      </w:r>
      <w:r w:rsidRPr="7D592196">
        <w:rPr>
          <w:rFonts w:ascii="Arial" w:hAnsi="Arial" w:eastAsia="Arial" w:cs="Arial"/>
        </w:rPr>
        <w:t xml:space="preserve"> collaboratively with the Department of Education, the Department of Industry, Science and Resources, Australian Research Council</w:t>
      </w:r>
      <w:r w:rsidR="008C1DFB">
        <w:rPr>
          <w:rFonts w:ascii="Arial" w:hAnsi="Arial" w:eastAsia="Arial" w:cs="Arial"/>
        </w:rPr>
        <w:t xml:space="preserve">, </w:t>
      </w:r>
      <w:r w:rsidR="00CE102B">
        <w:rPr>
          <w:rFonts w:ascii="Arial" w:hAnsi="Arial" w:eastAsia="Arial" w:cs="Arial"/>
        </w:rPr>
        <w:t>National Health and Medical Research Council</w:t>
      </w:r>
      <w:r w:rsidR="008C1DFB">
        <w:rPr>
          <w:rFonts w:ascii="Arial" w:hAnsi="Arial" w:eastAsia="Arial" w:cs="Arial"/>
        </w:rPr>
        <w:t xml:space="preserve">, </w:t>
      </w:r>
      <w:r w:rsidR="00D61969">
        <w:rPr>
          <w:rFonts w:ascii="Arial" w:hAnsi="Arial" w:eastAsia="Arial" w:cs="Arial"/>
        </w:rPr>
        <w:t xml:space="preserve">Medical </w:t>
      </w:r>
      <w:r w:rsidR="00D61969">
        <w:rPr>
          <w:rFonts w:ascii="Arial" w:hAnsi="Arial" w:eastAsia="Arial" w:cs="Arial"/>
        </w:rPr>
        <w:lastRenderedPageBreak/>
        <w:t>Research Future Fund</w:t>
      </w:r>
      <w:r w:rsidRPr="7D592196">
        <w:rPr>
          <w:rFonts w:ascii="Arial" w:hAnsi="Arial" w:eastAsia="Arial" w:cs="Arial"/>
        </w:rPr>
        <w:t xml:space="preserve"> and other stakeholders to ensure its priorities align with broader objectives for Australia’s research and development system. </w:t>
      </w:r>
    </w:p>
    <w:p w:rsidR="00501BED" w:rsidRDefault="74FD5C28" w14:paraId="5F4B7B2D" w14:textId="21B7BE05">
      <w:pPr>
        <w:rPr>
          <w:rFonts w:ascii="Arial" w:hAnsi="Arial" w:eastAsia="Arial" w:cs="Arial"/>
        </w:rPr>
      </w:pPr>
      <w:r w:rsidRPr="477BE9EE">
        <w:rPr>
          <w:rFonts w:ascii="Arial" w:hAnsi="Arial" w:eastAsia="Arial" w:cs="Arial"/>
        </w:rPr>
        <w:t>Postgraduate research programs are the main pipeline for the academic workforce and a critical element in developing sovereign capability. Research training, particularly for domestic students, is an area of interest for the ATEC</w:t>
      </w:r>
      <w:r w:rsidR="004B6BF5">
        <w:rPr>
          <w:rFonts w:ascii="Arial" w:hAnsi="Arial" w:eastAsia="Arial" w:cs="Arial"/>
        </w:rPr>
        <w:t xml:space="preserve">. </w:t>
      </w:r>
      <w:r w:rsidR="00DC657F">
        <w:rPr>
          <w:rFonts w:ascii="Arial" w:hAnsi="Arial" w:eastAsia="Arial" w:cs="Arial"/>
        </w:rPr>
        <w:t>Through mission based compacts, the ATEC will seek to u</w:t>
      </w:r>
      <w:r w:rsidR="00B4731E">
        <w:rPr>
          <w:rFonts w:ascii="Arial" w:hAnsi="Arial" w:eastAsia="Arial" w:cs="Arial"/>
        </w:rPr>
        <w:t xml:space="preserve">nderstand </w:t>
      </w:r>
      <w:r w:rsidRPr="477BE9EE" w:rsidR="00FB484B">
        <w:rPr>
          <w:rFonts w:ascii="Arial" w:hAnsi="Arial" w:eastAsia="Arial" w:cs="Arial"/>
        </w:rPr>
        <w:t xml:space="preserve">providers’ experience with building their postgraduate </w:t>
      </w:r>
      <w:r w:rsidR="005A793B">
        <w:rPr>
          <w:rFonts w:ascii="Arial" w:hAnsi="Arial" w:eastAsia="Arial" w:cs="Arial"/>
        </w:rPr>
        <w:t xml:space="preserve">research </w:t>
      </w:r>
      <w:r w:rsidR="003F3DA5">
        <w:rPr>
          <w:rFonts w:ascii="Arial" w:hAnsi="Arial" w:eastAsia="Arial" w:cs="Arial"/>
        </w:rPr>
        <w:t>cohort</w:t>
      </w:r>
      <w:r w:rsidR="00E74D9D">
        <w:rPr>
          <w:rFonts w:ascii="Arial" w:hAnsi="Arial" w:eastAsia="Arial" w:cs="Arial"/>
        </w:rPr>
        <w:t>s</w:t>
      </w:r>
      <w:r w:rsidR="00FB484B">
        <w:rPr>
          <w:rFonts w:ascii="Arial" w:hAnsi="Arial" w:eastAsia="Arial" w:cs="Arial"/>
        </w:rPr>
        <w:t xml:space="preserve"> </w:t>
      </w:r>
      <w:r w:rsidR="00F910D6">
        <w:rPr>
          <w:rFonts w:ascii="Arial" w:hAnsi="Arial" w:eastAsia="Arial" w:cs="Arial"/>
        </w:rPr>
        <w:t xml:space="preserve">and </w:t>
      </w:r>
      <w:r w:rsidR="00EA7AC4">
        <w:rPr>
          <w:rFonts w:ascii="Arial" w:hAnsi="Arial" w:eastAsia="Arial" w:cs="Arial"/>
        </w:rPr>
        <w:t>increasing</w:t>
      </w:r>
      <w:r w:rsidR="00440519">
        <w:rPr>
          <w:rFonts w:ascii="Arial" w:hAnsi="Arial" w:eastAsia="Arial" w:cs="Arial"/>
        </w:rPr>
        <w:t xml:space="preserve"> </w:t>
      </w:r>
      <w:r w:rsidR="00164F61">
        <w:rPr>
          <w:rFonts w:ascii="Arial" w:hAnsi="Arial" w:eastAsia="Arial" w:cs="Arial"/>
        </w:rPr>
        <w:t>Australia’s research training capacity</w:t>
      </w:r>
      <w:r w:rsidR="00036443">
        <w:rPr>
          <w:rFonts w:ascii="Arial" w:hAnsi="Arial" w:eastAsia="Arial" w:cs="Arial"/>
        </w:rPr>
        <w:t>.</w:t>
      </w:r>
    </w:p>
    <w:p w:rsidR="00406D0E" w:rsidRDefault="00406D0E" w14:paraId="717F8B5E" w14:textId="77777777">
      <w:pPr>
        <w:spacing w:line="260" w:lineRule="atLeast"/>
        <w:rPr>
          <w:rFonts w:ascii="Arial" w:hAnsi="Arial" w:eastAsia="Arial" w:cs="Arial"/>
        </w:rPr>
        <w:sectPr w:rsidR="00406D0E" w:rsidSect="00FE48F1">
          <w:pgSz w:w="11907" w:h="16839" w:orient="portrait" w:code="9"/>
          <w:pgMar w:top="1077" w:right="1134" w:bottom="1134" w:left="1134" w:header="567" w:footer="805" w:gutter="0"/>
          <w:cols w:space="708"/>
          <w:docGrid w:linePitch="360"/>
        </w:sectPr>
      </w:pPr>
    </w:p>
    <w:p w:rsidR="00AE3C51" w:rsidP="00AE3C51" w:rsidRDefault="778F0FCC" w14:paraId="4E9E917F" w14:textId="0E7399B1">
      <w:pPr>
        <w:pStyle w:val="Heading1"/>
      </w:pPr>
      <w:r>
        <w:lastRenderedPageBreak/>
        <w:t xml:space="preserve">Appendix: </w:t>
      </w:r>
      <w:r w:rsidR="3D20CC93">
        <w:t>State and Territory Priorities</w:t>
      </w:r>
    </w:p>
    <w:p w:rsidRPr="007B6AE4" w:rsidR="5DCCC043" w:rsidP="3D15E27C" w:rsidRDefault="5DCCC043" w14:paraId="344B7DCD" w14:textId="376D2CD4">
      <w:pPr>
        <w:pStyle w:val="Heading2"/>
      </w:pPr>
      <w:r w:rsidRPr="007B6AE4">
        <w:t>New South Wales</w:t>
      </w:r>
    </w:p>
    <w:p w:rsidR="5DCCC043" w:rsidP="3D15E27C" w:rsidRDefault="5DCCC043" w14:paraId="325CA1E7" w14:textId="2FBB0EBF">
      <w:pPr>
        <w:rPr>
          <w:rFonts w:eastAsia="Arial"/>
        </w:rPr>
      </w:pPr>
      <w:r w:rsidRPr="3D15E27C">
        <w:rPr>
          <w:rFonts w:eastAsia="Arial"/>
        </w:rPr>
        <w:t xml:space="preserve">NSW is firmly committed to working with the ATEC, Australian Government and other states and territories on reforms which focus on the needs of students and the wider community in the tertiary education sector. </w:t>
      </w:r>
    </w:p>
    <w:p w:rsidR="5DCCC043" w:rsidP="3D15E27C" w:rsidRDefault="5DCCC043" w14:paraId="2628675B" w14:textId="45B0D8E7">
      <w:pPr>
        <w:rPr>
          <w:rFonts w:eastAsia="Arial"/>
        </w:rPr>
      </w:pPr>
      <w:r w:rsidRPr="44D9B3B2">
        <w:rPr>
          <w:rFonts w:eastAsia="Arial"/>
        </w:rPr>
        <w:t>Priorities for 2026 in the Interim SSP strongly align with NSW's strategic priorities, particularly as it relates to NSW's significant determination to achieve consistent credit recognition and tertiary harmonisation. Noting the short-term horizon for the initial SSP, NSW's priorities are focused on the most pressing issues in the sector, particularly in the areas of equity, pathways, and public benefit. The ATEC should aim to make the tertiary system fairer and easier for students to navigate. It should also promote and strengthen the social and economic benefits of the system for the wider community</w:t>
      </w:r>
      <w:r w:rsidRPr="44D9B3B2" w:rsidR="49FC0950">
        <w:rPr>
          <w:rFonts w:eastAsia="Arial"/>
        </w:rPr>
        <w:t>, including through the facilitation of world-class research and innovation.</w:t>
      </w:r>
    </w:p>
    <w:p w:rsidR="5DCCC043" w:rsidP="3D15E27C" w:rsidRDefault="5DCCC043" w14:paraId="7482666A" w14:textId="6B49C01A">
      <w:pPr>
        <w:rPr>
          <w:rFonts w:eastAsia="Arial"/>
        </w:rPr>
      </w:pPr>
      <w:r w:rsidRPr="3D15E27C">
        <w:rPr>
          <w:rFonts w:eastAsia="Arial"/>
        </w:rPr>
        <w:t xml:space="preserve">One of the most important issues facing the sector is how the cost of higher education is distributed between students and government. This remains a priority for NSW as we look at ways to improve equitable outcomes for students. NSW is also focused on the pathways students take through tertiary education, from school, between sectors, and into the workforce. </w:t>
      </w:r>
    </w:p>
    <w:p w:rsidR="5DCCC043" w:rsidP="3D15E27C" w:rsidRDefault="5DCCC043" w14:paraId="3369F821" w14:textId="1061FB50">
      <w:pPr>
        <w:rPr>
          <w:rFonts w:eastAsia="Arial"/>
        </w:rPr>
      </w:pPr>
      <w:r w:rsidRPr="504A0B9B">
        <w:rPr>
          <w:rFonts w:eastAsia="Arial"/>
        </w:rPr>
        <w:t xml:space="preserve">It was encouraging to see the Australian Government's recent announcement regarding the ATEC's work on a </w:t>
      </w:r>
      <w:r w:rsidRPr="504A0B9B">
        <w:rPr>
          <w:rFonts w:eastAsia="Arial"/>
          <w:color w:val="auto"/>
        </w:rPr>
        <w:t>credit recognition framework</w:t>
      </w:r>
      <w:r w:rsidRPr="504A0B9B">
        <w:rPr>
          <w:rFonts w:eastAsia="Arial"/>
        </w:rPr>
        <w:t xml:space="preserve">. Tertiary harmonisation is a key component of NSW's </w:t>
      </w:r>
      <w:hyperlink r:id="rId20">
        <w:r w:rsidRPr="504A0B9B">
          <w:rPr>
            <w:rStyle w:val="Hyperlink"/>
            <w:rFonts w:eastAsia="Arial"/>
            <w:i/>
            <w:iCs/>
          </w:rPr>
          <w:t>Higher Education Strategy</w:t>
        </w:r>
      </w:hyperlink>
      <w:r w:rsidRPr="504A0B9B">
        <w:rPr>
          <w:rFonts w:eastAsia="Arial"/>
        </w:rPr>
        <w:t xml:space="preserve"> and </w:t>
      </w:r>
      <w:hyperlink r:id="rId21">
        <w:r w:rsidRPr="504A0B9B">
          <w:rPr>
            <w:rStyle w:val="Hyperlink"/>
            <w:rFonts w:eastAsia="Arial"/>
            <w:i/>
            <w:iCs/>
          </w:rPr>
          <w:t>Skills Plan</w:t>
        </w:r>
      </w:hyperlink>
      <w:r w:rsidRPr="504A0B9B">
        <w:rPr>
          <w:rFonts w:eastAsia="Arial"/>
        </w:rPr>
        <w:t xml:space="preserve">, and we welcome national efforts to build a </w:t>
      </w:r>
      <w:r w:rsidRPr="504A0B9B" w:rsidR="410E2D6A">
        <w:rPr>
          <w:rFonts w:eastAsia="Arial"/>
        </w:rPr>
        <w:t>better-connected</w:t>
      </w:r>
      <w:r w:rsidRPr="504A0B9B">
        <w:rPr>
          <w:rFonts w:eastAsia="Arial"/>
        </w:rPr>
        <w:t xml:space="preserve"> tertiary education system. A priority for NSW in this space is that credit recognition pathways work well for students who want to move between sectors in both directions, recognising that vocational education and training is an attractive option for students. Establishing consistent credit recognition pathways in areas that meet state and regional workforce needs must be a focus as we work to address critical skills shortages.</w:t>
      </w:r>
    </w:p>
    <w:p w:rsidR="00073821" w:rsidP="3D15E27C" w:rsidRDefault="00073821" w14:paraId="634752AA" w14:textId="77777777">
      <w:pPr>
        <w:rPr>
          <w:rFonts w:eastAsia="Arial"/>
        </w:rPr>
      </w:pPr>
      <w:r w:rsidRPr="3D15E27C">
        <w:rPr>
          <w:rFonts w:eastAsia="Arial"/>
        </w:rPr>
        <w:t>The governance of universities has been topical in NSW. This issue is being observed across Australia, and calls for a coordinated national response. It is important to NSW the correct balance is struck to ensure a strong value is placed on the independence of universities.</w:t>
      </w:r>
    </w:p>
    <w:p w:rsidR="00E51AFD" w:rsidP="3D15E27C" w:rsidRDefault="5DCCC043" w14:paraId="681BC745" w14:textId="549E9858">
      <w:pPr>
        <w:rPr>
          <w:rFonts w:eastAsia="Arial"/>
        </w:rPr>
      </w:pPr>
      <w:r w:rsidRPr="3D15E27C">
        <w:rPr>
          <w:rFonts w:eastAsia="Arial"/>
        </w:rPr>
        <w:t xml:space="preserve">Finally, the SSP presents an opportunity to promote the important social role universities play in our communities. </w:t>
      </w:r>
      <w:r w:rsidRPr="00B02FEA">
        <w:rPr>
          <w:rFonts w:eastAsia="Arial"/>
          <w:color w:val="auto"/>
        </w:rPr>
        <w:t>Under NSW legislation</w:t>
      </w:r>
      <w:r w:rsidRPr="3D15E27C">
        <w:rPr>
          <w:rFonts w:eastAsia="Arial"/>
        </w:rPr>
        <w:t xml:space="preserve">, the object of public universities includes not only the provision of teaching and research, but also the participation in public discourse and the dissemination and advancement of knowledge informed by free inquiry. Universities bring together diverse cohorts of students and staff in the pursuit of education and learning. It is vital that university campuses are places that encourage understanding, foster social cohesion, and strengthen Australia's democratic systems. </w:t>
      </w:r>
    </w:p>
    <w:p w:rsidRPr="007B6AE4" w:rsidR="5DCCC043" w:rsidP="00D321CE" w:rsidRDefault="5DCCC043" w14:paraId="042EA898" w14:textId="30231D08">
      <w:pPr>
        <w:pStyle w:val="Heading2"/>
      </w:pPr>
      <w:r w:rsidRPr="007B6AE4">
        <w:t>Victoria</w:t>
      </w:r>
    </w:p>
    <w:p w:rsidRPr="00F31E5C" w:rsidR="0069457C" w:rsidP="0069457C" w:rsidRDefault="0069457C" w14:paraId="397F8B9D" w14:textId="77777777">
      <w:pPr>
        <w:pStyle w:val="Heading3"/>
      </w:pPr>
      <w:r w:rsidRPr="00F31E5C">
        <w:t xml:space="preserve">Priority </w:t>
      </w:r>
      <w:r>
        <w:t>i</w:t>
      </w:r>
      <w:r w:rsidRPr="00F31E5C">
        <w:t xml:space="preserve">ndustry </w:t>
      </w:r>
      <w:r>
        <w:t>s</w:t>
      </w:r>
      <w:r w:rsidRPr="00F31E5C">
        <w:t>ectors</w:t>
      </w:r>
      <w:r>
        <w:t xml:space="preserve"> and areas of workforce demand</w:t>
      </w:r>
    </w:p>
    <w:p w:rsidRPr="0069457C" w:rsidR="0069457C" w:rsidP="0081154F" w:rsidRDefault="0069457C" w14:paraId="6D1BD18F" w14:textId="77777777">
      <w:pPr>
        <w:pStyle w:val="ListParagraph"/>
        <w:numPr>
          <w:ilvl w:val="0"/>
          <w:numId w:val="25"/>
        </w:numPr>
        <w:spacing w:before="0"/>
      </w:pPr>
      <w:r w:rsidRPr="0069457C">
        <w:t xml:space="preserve">Victoria’s universities have a critical role to play in meeting the State’s future workforce needs to meet the economic and social challenges ahead. </w:t>
      </w:r>
    </w:p>
    <w:p w:rsidRPr="0069457C" w:rsidR="0069457C" w:rsidP="00C719F6" w:rsidRDefault="0069457C" w14:paraId="5F435EBF" w14:textId="26056B01">
      <w:pPr>
        <w:pStyle w:val="ListParagraph"/>
        <w:numPr>
          <w:ilvl w:val="0"/>
          <w:numId w:val="25"/>
        </w:numPr>
        <w:spacing w:before="0"/>
        <w:ind w:left="357" w:hanging="357"/>
        <w:contextualSpacing w:val="0"/>
      </w:pPr>
      <w:hyperlink w:history="1" r:id="rId22">
        <w:r w:rsidRPr="00A20D91">
          <w:rPr>
            <w:rStyle w:val="Hyperlink"/>
            <w:i/>
          </w:rPr>
          <w:t xml:space="preserve">Victoria’s </w:t>
        </w:r>
        <w:r w:rsidRPr="00537084">
          <w:rPr>
            <w:rStyle w:val="Hyperlink"/>
            <w:i/>
          </w:rPr>
          <w:t>Economic Growth Statement</w:t>
        </w:r>
      </w:hyperlink>
      <w:r w:rsidRPr="0069457C">
        <w:t xml:space="preserve"> highlights 5 priority industry sectors and, alongside delivering to their core strengths consistent with their own strategic priorities, Victorian universities are encouraged to align teaching, learning and research programs to support these: </w:t>
      </w:r>
    </w:p>
    <w:p w:rsidRPr="0069457C" w:rsidR="0069457C" w:rsidP="0081154F" w:rsidRDefault="0069457C" w14:paraId="3696B2B5" w14:textId="77777777">
      <w:pPr>
        <w:pStyle w:val="ListParagraph"/>
        <w:numPr>
          <w:ilvl w:val="1"/>
          <w:numId w:val="25"/>
        </w:numPr>
        <w:spacing w:before="0"/>
      </w:pPr>
      <w:r w:rsidRPr="0069457C">
        <w:t xml:space="preserve">Advanced manufacturing and defence </w:t>
      </w:r>
    </w:p>
    <w:p w:rsidRPr="0069457C" w:rsidR="0069457C" w:rsidP="0081154F" w:rsidRDefault="0069457C" w14:paraId="4E52A41E" w14:textId="77777777">
      <w:pPr>
        <w:pStyle w:val="ListParagraph"/>
        <w:numPr>
          <w:ilvl w:val="1"/>
          <w:numId w:val="25"/>
        </w:numPr>
        <w:spacing w:before="0"/>
      </w:pPr>
      <w:r w:rsidRPr="0069457C">
        <w:t>Health technologies and medical research</w:t>
      </w:r>
    </w:p>
    <w:p w:rsidRPr="0069457C" w:rsidR="0069457C" w:rsidP="0081154F" w:rsidRDefault="0069457C" w14:paraId="536EEEFC" w14:textId="77777777">
      <w:pPr>
        <w:pStyle w:val="ListParagraph"/>
        <w:numPr>
          <w:ilvl w:val="1"/>
          <w:numId w:val="25"/>
        </w:numPr>
        <w:spacing w:before="0"/>
      </w:pPr>
      <w:r w:rsidRPr="0069457C">
        <w:t>Circular economy</w:t>
      </w:r>
    </w:p>
    <w:p w:rsidRPr="0069457C" w:rsidR="0069457C" w:rsidP="0081154F" w:rsidRDefault="0069457C" w14:paraId="61D31C73" w14:textId="77777777">
      <w:pPr>
        <w:pStyle w:val="ListParagraph"/>
        <w:numPr>
          <w:ilvl w:val="1"/>
          <w:numId w:val="25"/>
        </w:numPr>
        <w:spacing w:before="0"/>
      </w:pPr>
      <w:r w:rsidRPr="0069457C">
        <w:t>Digital technologies</w:t>
      </w:r>
    </w:p>
    <w:p w:rsidRPr="0069457C" w:rsidR="0069457C" w:rsidP="00C719F6" w:rsidRDefault="0069457C" w14:paraId="7AF75EFC" w14:textId="77777777">
      <w:pPr>
        <w:pStyle w:val="ListParagraph"/>
        <w:numPr>
          <w:ilvl w:val="1"/>
          <w:numId w:val="25"/>
        </w:numPr>
        <w:spacing w:before="0"/>
        <w:ind w:left="1077" w:hanging="357"/>
        <w:contextualSpacing w:val="0"/>
      </w:pPr>
      <w:r w:rsidRPr="0069457C">
        <w:t>Agribusiness.</w:t>
      </w:r>
    </w:p>
    <w:p w:rsidRPr="0069457C" w:rsidR="0069457C" w:rsidP="0081154F" w:rsidRDefault="0069457C" w14:paraId="7F03E95F" w14:textId="5E960997">
      <w:pPr>
        <w:pStyle w:val="ListParagraph"/>
        <w:numPr>
          <w:ilvl w:val="0"/>
          <w:numId w:val="25"/>
        </w:numPr>
        <w:spacing w:before="0"/>
      </w:pPr>
      <w:r w:rsidRPr="0069457C">
        <w:lastRenderedPageBreak/>
        <w:t xml:space="preserve">Consistent with the </w:t>
      </w:r>
      <w:r w:rsidRPr="00A20D91" w:rsidR="00FB00F9">
        <w:t xml:space="preserve">Victorian Government's </w:t>
      </w:r>
      <w:hyperlink w:history="1" r:id="rId23">
        <w:r w:rsidRPr="00A20D91" w:rsidR="00FB00F9">
          <w:rPr>
            <w:rStyle w:val="Hyperlink"/>
            <w:i/>
            <w:iCs/>
          </w:rPr>
          <w:t>AI Mission Statement</w:t>
        </w:r>
      </w:hyperlink>
      <w:r w:rsidRPr="0069457C">
        <w:t>, Victorian universities are encouraged to develop and expand course offerings that build applied AI capabilities across disciplines, supporting Victoria's ambition to become a national leader in AI development and adoption.</w:t>
      </w:r>
    </w:p>
    <w:p w:rsidRPr="0069457C" w:rsidR="0069457C" w:rsidP="0081154F" w:rsidRDefault="0069457C" w14:paraId="541CDD38" w14:textId="5908CAFE">
      <w:pPr>
        <w:pStyle w:val="ListParagraph"/>
        <w:numPr>
          <w:ilvl w:val="0"/>
          <w:numId w:val="25"/>
        </w:numPr>
        <w:spacing w:before="0"/>
      </w:pPr>
      <w:r w:rsidRPr="0069457C">
        <w:t xml:space="preserve">The </w:t>
      </w:r>
      <w:hyperlink w:history="1" r:id="rId24">
        <w:r w:rsidRPr="00A20D91">
          <w:rPr>
            <w:rStyle w:val="Hyperlink"/>
            <w:i/>
          </w:rPr>
          <w:t>Victorian Skills Plan</w:t>
        </w:r>
        <w:r w:rsidRPr="00E66C5F">
          <w:rPr>
            <w:rStyle w:val="Hyperlink"/>
          </w:rPr>
          <w:t>,</w:t>
        </w:r>
      </w:hyperlink>
      <w:r w:rsidRPr="0069457C">
        <w:t xml:space="preserve"> the </w:t>
      </w:r>
      <w:hyperlink w:history="1" r:id="rId25">
        <w:r w:rsidRPr="00A20D91">
          <w:rPr>
            <w:rStyle w:val="Hyperlink"/>
            <w:i/>
            <w:iCs/>
          </w:rPr>
          <w:t>Victorian Skills Plan for 2025 into 2026</w:t>
        </w:r>
      </w:hyperlink>
      <w:r w:rsidRPr="0069457C">
        <w:t xml:space="preserve"> and the </w:t>
      </w:r>
      <w:hyperlink w:history="1" r:id="rId26">
        <w:r w:rsidRPr="00A20D91">
          <w:rPr>
            <w:rStyle w:val="Hyperlink"/>
            <w:i/>
          </w:rPr>
          <w:t>Employment Projections Dashboard</w:t>
        </w:r>
      </w:hyperlink>
      <w:r w:rsidRPr="0069457C">
        <w:t xml:space="preserve"> should guide Victorian universities’ planning for course delivery and be used to support students as they plan their careers after graduation. </w:t>
      </w:r>
    </w:p>
    <w:p w:rsidRPr="0069457C" w:rsidR="0069457C" w:rsidP="0081154F" w:rsidRDefault="0069457C" w14:paraId="725F82FC" w14:textId="77777777">
      <w:pPr>
        <w:pStyle w:val="ListParagraph"/>
        <w:numPr>
          <w:ilvl w:val="0"/>
          <w:numId w:val="25"/>
        </w:numPr>
        <w:spacing w:before="0"/>
      </w:pPr>
      <w:r w:rsidRPr="0069457C">
        <w:t>Victorian universities should also contribute to meeting regional workforce challenges, forming local partnerships with TAFEs and industries to support a pipeline of skilled graduates in future growth areas.</w:t>
      </w:r>
    </w:p>
    <w:p w:rsidRPr="0069457C" w:rsidR="0069457C" w:rsidP="0081154F" w:rsidRDefault="0069457C" w14:paraId="5530EEFD" w14:textId="77777777">
      <w:pPr>
        <w:pStyle w:val="Heading3"/>
        <w:spacing w:line="259" w:lineRule="auto"/>
      </w:pPr>
      <w:r w:rsidRPr="0069457C">
        <w:t>A joined-up tertiary system that puts the needs of learners at the centre</w:t>
      </w:r>
    </w:p>
    <w:p w:rsidRPr="0069457C" w:rsidR="0069457C" w:rsidP="0081154F" w:rsidRDefault="0069457C" w14:paraId="514D3A0C" w14:textId="77777777">
      <w:pPr>
        <w:pStyle w:val="ListParagraph"/>
        <w:numPr>
          <w:ilvl w:val="0"/>
          <w:numId w:val="25"/>
        </w:numPr>
        <w:spacing w:before="0" w:after="60"/>
        <w:rPr>
          <w:b/>
          <w:bCs/>
        </w:rPr>
      </w:pPr>
      <w:r w:rsidRPr="0069457C">
        <w:t>A more joined-up tertiary system will progress productivity, participation and social inclusion.</w:t>
      </w:r>
      <w:r w:rsidRPr="0069457C">
        <w:rPr>
          <w:rFonts w:ascii="Aptos" w:hAnsi="Aptos" w:eastAsia="Aptos" w:cs="Arial"/>
        </w:rPr>
        <w:t xml:space="preserve"> </w:t>
      </w:r>
    </w:p>
    <w:p w:rsidRPr="0069457C" w:rsidR="0069457C" w:rsidP="0081154F" w:rsidRDefault="0069457C" w14:paraId="1AB8CBE8" w14:textId="77777777">
      <w:pPr>
        <w:pStyle w:val="ListParagraph"/>
        <w:numPr>
          <w:ilvl w:val="0"/>
          <w:numId w:val="25"/>
        </w:numPr>
        <w:spacing w:before="0" w:after="60"/>
        <w:rPr>
          <w:b/>
          <w:bCs/>
        </w:rPr>
      </w:pPr>
      <w:r w:rsidRPr="0069457C">
        <w:t xml:space="preserve">Credit recognition can create significant economic benefits if it enables non-traditional learners to progress to higher-level qualifications, supporting faster entry into skilled occupations and addressing workforce shortages at lower cost to individuals. </w:t>
      </w:r>
    </w:p>
    <w:p w:rsidRPr="0069457C" w:rsidR="0069457C" w:rsidP="0081154F" w:rsidRDefault="0069457C" w14:paraId="3E734C30" w14:textId="77777777">
      <w:pPr>
        <w:pStyle w:val="ListParagraph"/>
        <w:numPr>
          <w:ilvl w:val="0"/>
          <w:numId w:val="25"/>
        </w:numPr>
        <w:spacing w:before="0" w:after="60"/>
        <w:rPr>
          <w:b/>
          <w:bCs/>
        </w:rPr>
      </w:pPr>
      <w:r w:rsidRPr="0069457C">
        <w:t>To drive strong workforce outcomes, credit transfer should preference qualifications to support specific occupational progression and in areas with strong labour market demand.</w:t>
      </w:r>
    </w:p>
    <w:p w:rsidRPr="0069457C" w:rsidR="0069457C" w:rsidP="0081154F" w:rsidRDefault="0069457C" w14:paraId="683E9D29" w14:textId="77777777">
      <w:pPr>
        <w:pStyle w:val="Heading3"/>
        <w:spacing w:line="259" w:lineRule="auto"/>
      </w:pPr>
      <w:r w:rsidRPr="0069457C">
        <w:t>First Nations</w:t>
      </w:r>
    </w:p>
    <w:p w:rsidRPr="0069457C" w:rsidR="0069457C" w:rsidP="0081154F" w:rsidRDefault="0069457C" w14:paraId="452011EC" w14:textId="59EF1DB8">
      <w:pPr>
        <w:pStyle w:val="ListParagraph"/>
        <w:numPr>
          <w:ilvl w:val="0"/>
          <w:numId w:val="25"/>
        </w:numPr>
        <w:spacing w:before="0"/>
      </w:pPr>
      <w:hyperlink w:history="1" r:id="rId27">
        <w:r w:rsidRPr="00A20D91">
          <w:rPr>
            <w:rStyle w:val="Hyperlink"/>
            <w:i/>
            <w:iCs/>
          </w:rPr>
          <w:t xml:space="preserve">Victoria’s </w:t>
        </w:r>
        <w:r w:rsidRPr="00A20D91">
          <w:rPr>
            <w:rStyle w:val="Hyperlink"/>
            <w:i/>
          </w:rPr>
          <w:t>Statewide Treaty</w:t>
        </w:r>
      </w:hyperlink>
      <w:r w:rsidRPr="0069457C">
        <w:t xml:space="preserve"> and the report of the </w:t>
      </w:r>
      <w:hyperlink w:history="1" r:id="rId28">
        <w:r w:rsidRPr="0069457C">
          <w:rPr>
            <w:rStyle w:val="Hyperlink"/>
          </w:rPr>
          <w:t>Yoorrook Justice Commission</w:t>
        </w:r>
      </w:hyperlink>
      <w:r w:rsidRPr="0069457C">
        <w:t xml:space="preserve"> are critical milestones in Victoria’s pathway to truth, justice and reconciliation with First Peoples and provide important context for Victorian universities as they develop their compacts. </w:t>
      </w:r>
    </w:p>
    <w:p w:rsidRPr="0069457C" w:rsidR="0069457C" w:rsidP="0081154F" w:rsidRDefault="0069457C" w14:paraId="7A5C7761" w14:textId="77777777">
      <w:pPr>
        <w:pStyle w:val="ListParagraph"/>
        <w:numPr>
          <w:ilvl w:val="0"/>
          <w:numId w:val="25"/>
        </w:numPr>
        <w:spacing w:before="0"/>
      </w:pPr>
      <w:r w:rsidRPr="0069457C">
        <w:t>It is critical that Aboriginal Victorians’ perspectives are reflected in compacts.</w:t>
      </w:r>
    </w:p>
    <w:p w:rsidRPr="0069457C" w:rsidR="0069457C" w:rsidP="0081154F" w:rsidRDefault="0069457C" w14:paraId="485CAC9D" w14:textId="77777777">
      <w:pPr>
        <w:pStyle w:val="Heading3"/>
        <w:spacing w:line="259" w:lineRule="auto"/>
      </w:pPr>
      <w:r w:rsidRPr="0069457C">
        <w:t>International Education</w:t>
      </w:r>
    </w:p>
    <w:p w:rsidRPr="0069457C" w:rsidR="0069457C" w:rsidP="0081154F" w:rsidRDefault="0069457C" w14:paraId="2656DDED" w14:textId="77777777">
      <w:pPr>
        <w:pStyle w:val="ListParagraph"/>
        <w:numPr>
          <w:ilvl w:val="0"/>
          <w:numId w:val="25"/>
        </w:numPr>
        <w:spacing w:before="0"/>
      </w:pPr>
      <w:r w:rsidRPr="0069457C">
        <w:t xml:space="preserve">Supporting the sustainable growth of international education and maintaining Victoria’s position as a leading jurisdiction for international students are key priorities. </w:t>
      </w:r>
    </w:p>
    <w:p w:rsidRPr="0069457C" w:rsidR="0069457C" w:rsidP="0081154F" w:rsidRDefault="0069457C" w14:paraId="6D8C8D3C" w14:textId="77777777">
      <w:pPr>
        <w:pStyle w:val="ListParagraph"/>
        <w:numPr>
          <w:ilvl w:val="0"/>
          <w:numId w:val="25"/>
        </w:numPr>
        <w:spacing w:before="0"/>
      </w:pPr>
      <w:r w:rsidRPr="0069457C">
        <w:t>Victorian universities should continue to pursue and deepen transnational education opportunities that position the state as an education provider of choice for students as well as overseas governments and industry.</w:t>
      </w:r>
    </w:p>
    <w:p w:rsidRPr="0069457C" w:rsidR="0069457C" w:rsidP="0081154F" w:rsidRDefault="0069457C" w14:paraId="44132338" w14:textId="77777777">
      <w:pPr>
        <w:pStyle w:val="ListParagraph"/>
        <w:numPr>
          <w:ilvl w:val="0"/>
          <w:numId w:val="25"/>
        </w:numPr>
        <w:spacing w:before="0"/>
      </w:pPr>
      <w:r w:rsidRPr="0069457C">
        <w:t xml:space="preserve">Student satisfaction and employment outcomes in Australia or overseas will continue to be central to Victorian universities remaining competitive in a global market. </w:t>
      </w:r>
    </w:p>
    <w:p w:rsidRPr="0069457C" w:rsidR="0069457C" w:rsidP="00406D0E" w:rsidRDefault="00286179" w14:paraId="3EB5B813" w14:textId="47EA6B97">
      <w:pPr>
        <w:pStyle w:val="Heading3"/>
      </w:pPr>
      <w:r>
        <w:t>A</w:t>
      </w:r>
      <w:r w:rsidRPr="0069457C" w:rsidR="0069457C">
        <w:t xml:space="preserve"> safe environment for students and staff in Victorian universities</w:t>
      </w:r>
    </w:p>
    <w:p w:rsidRPr="0069457C" w:rsidR="0069457C" w:rsidP="007635FF" w:rsidRDefault="0069457C" w14:paraId="5C638173" w14:textId="77777777">
      <w:pPr>
        <w:pStyle w:val="ListParagraph"/>
        <w:keepNext/>
        <w:numPr>
          <w:ilvl w:val="0"/>
          <w:numId w:val="25"/>
        </w:numPr>
        <w:spacing w:before="0" w:line="240" w:lineRule="auto"/>
      </w:pPr>
      <w:r w:rsidRPr="0069457C">
        <w:t>Victorian universities have a critical responsibility to ensure a safe, inclusive and respectful environment for all students and staff and must take meaningful steps to eliminate sexual violence and racism and foster positive cultural change.</w:t>
      </w:r>
    </w:p>
    <w:p w:rsidRPr="007B6AE4" w:rsidR="5DCCC043" w:rsidP="3D15E27C" w:rsidRDefault="5DCCC043" w14:paraId="4DFE42A2" w14:textId="4AF8A4B5">
      <w:pPr>
        <w:pStyle w:val="Heading2"/>
      </w:pPr>
      <w:r w:rsidRPr="007B6AE4">
        <w:t>Queensland</w:t>
      </w:r>
    </w:p>
    <w:p w:rsidR="5DCCC043" w:rsidP="3D15E27C" w:rsidRDefault="5DCCC043" w14:paraId="4E14EFB3" w14:textId="620BAEC8">
      <w:pPr>
        <w:rPr>
          <w:rFonts w:eastAsia="Arial"/>
        </w:rPr>
      </w:pPr>
      <w:r w:rsidRPr="3D15E27C">
        <w:rPr>
          <w:rFonts w:eastAsia="Arial"/>
        </w:rPr>
        <w:t>The Queensland Government’s objectives for the community reflect its vision for Queensland and the need to plan and prepare Queenslanders for the future.</w:t>
      </w:r>
    </w:p>
    <w:p w:rsidR="5DCCC043" w:rsidP="3D15E27C" w:rsidRDefault="5DCCC043" w14:paraId="39614FF6" w14:textId="1114C5EB">
      <w:pPr>
        <w:rPr>
          <w:rFonts w:eastAsia="Arial"/>
        </w:rPr>
      </w:pPr>
      <w:r w:rsidRPr="3D15E27C">
        <w:rPr>
          <w:rFonts w:eastAsia="Arial"/>
        </w:rPr>
        <w:t>The Queensland Government recognises that higher education providers play a crucial role in delivering on this, including through economic stability and participation, labour force participation, societal and cultural development, innovation and providing individuals the skills and knowledge they need for personal growth.</w:t>
      </w:r>
    </w:p>
    <w:p w:rsidR="5DCCC043" w:rsidP="3D15E27C" w:rsidRDefault="5DCCC043" w14:paraId="01ED96AE" w14:textId="339F64F9">
      <w:pPr>
        <w:rPr>
          <w:rFonts w:eastAsia="Arial"/>
        </w:rPr>
      </w:pPr>
      <w:r w:rsidRPr="3D15E27C">
        <w:rPr>
          <w:rFonts w:eastAsia="Arial"/>
        </w:rPr>
        <w:t>Queensland’s key priorities for the higher education system include:</w:t>
      </w:r>
    </w:p>
    <w:p w:rsidRPr="007B6AE4" w:rsidR="5DCCC043" w:rsidP="3D15E27C" w:rsidRDefault="5DCCC043" w14:paraId="1F6616E1" w14:textId="2F9CFFB6">
      <w:pPr>
        <w:pStyle w:val="ListParagraph"/>
        <w:keepLines/>
        <w:numPr>
          <w:ilvl w:val="0"/>
          <w:numId w:val="1"/>
        </w:numPr>
        <w:spacing w:before="0" w:after="60" w:line="240" w:lineRule="auto"/>
        <w:jc w:val="both"/>
        <w:rPr>
          <w:rFonts w:ascii="Arial" w:hAnsi="Arial" w:eastAsia="Arial" w:cs="Arial"/>
        </w:rPr>
      </w:pPr>
      <w:r w:rsidRPr="007B6AE4">
        <w:rPr>
          <w:rFonts w:ascii="Arial" w:hAnsi="Arial" w:eastAsia="Arial" w:cs="Arial"/>
        </w:rPr>
        <w:t>Ensuring universities meet their legislative responsibilities under their establishing Acts.</w:t>
      </w:r>
    </w:p>
    <w:p w:rsidRPr="007B6AE4" w:rsidR="5DCCC043" w:rsidP="3D15E27C" w:rsidRDefault="5DCCC043" w14:paraId="7EDD736C" w14:textId="77BBDEC6">
      <w:pPr>
        <w:pStyle w:val="ListParagraph"/>
        <w:keepLines/>
        <w:numPr>
          <w:ilvl w:val="0"/>
          <w:numId w:val="1"/>
        </w:numPr>
        <w:spacing w:before="0" w:after="60" w:line="240" w:lineRule="auto"/>
        <w:jc w:val="both"/>
        <w:rPr>
          <w:rFonts w:ascii="Arial" w:hAnsi="Arial" w:eastAsia="Arial" w:cs="Arial"/>
        </w:rPr>
      </w:pPr>
      <w:r w:rsidRPr="007B6AE4">
        <w:rPr>
          <w:rFonts w:ascii="Arial" w:hAnsi="Arial" w:eastAsia="Arial" w:cs="Arial"/>
        </w:rPr>
        <w:t xml:space="preserve">Strengthening ties between schools and higher education to build clear pipelines for students. </w:t>
      </w:r>
    </w:p>
    <w:p w:rsidRPr="007B6AE4" w:rsidR="5DCCC043" w:rsidP="3D15E27C" w:rsidRDefault="5DCCC043" w14:paraId="25E9FC41" w14:textId="34E3C5F6">
      <w:pPr>
        <w:pStyle w:val="ListParagraph"/>
        <w:keepLines/>
        <w:numPr>
          <w:ilvl w:val="0"/>
          <w:numId w:val="1"/>
        </w:numPr>
        <w:spacing w:before="0" w:after="60" w:line="240" w:lineRule="auto"/>
        <w:jc w:val="both"/>
        <w:rPr>
          <w:rFonts w:ascii="Arial" w:hAnsi="Arial" w:eastAsia="Arial" w:cs="Arial"/>
        </w:rPr>
      </w:pPr>
      <w:r w:rsidRPr="007B6AE4">
        <w:rPr>
          <w:rFonts w:ascii="Arial" w:hAnsi="Arial" w:eastAsia="Arial" w:cs="Arial"/>
        </w:rPr>
        <w:lastRenderedPageBreak/>
        <w:t xml:space="preserve">Supporting universities to deliver ongoing improvements in the quality of higher education delivery while continuing to strengthen their financial positions. </w:t>
      </w:r>
    </w:p>
    <w:p w:rsidRPr="007B6AE4" w:rsidR="5DCCC043" w:rsidP="3D15E27C" w:rsidRDefault="5DCCC043" w14:paraId="1DCA71F4" w14:textId="2D38D4FB">
      <w:pPr>
        <w:pStyle w:val="ListParagraph"/>
        <w:keepLines/>
        <w:numPr>
          <w:ilvl w:val="0"/>
          <w:numId w:val="1"/>
        </w:numPr>
        <w:spacing w:before="0" w:after="60" w:line="240" w:lineRule="auto"/>
        <w:jc w:val="both"/>
        <w:rPr>
          <w:rFonts w:ascii="Arial" w:hAnsi="Arial" w:eastAsia="Arial" w:cs="Arial"/>
        </w:rPr>
      </w:pPr>
      <w:r w:rsidRPr="007B6AE4">
        <w:rPr>
          <w:rFonts w:ascii="Arial" w:hAnsi="Arial" w:eastAsia="Arial" w:cs="Arial"/>
        </w:rPr>
        <w:t>Ensuring the higher education system accounts for geographical differences, regional needs and demographic diversity.</w:t>
      </w:r>
    </w:p>
    <w:p w:rsidRPr="007B6AE4" w:rsidR="5DCCC043" w:rsidP="3D15E27C" w:rsidRDefault="5DCCC043" w14:paraId="0BFC19CC" w14:textId="3C0EA0DB">
      <w:pPr>
        <w:pStyle w:val="ListParagraph"/>
        <w:keepLines/>
        <w:numPr>
          <w:ilvl w:val="0"/>
          <w:numId w:val="1"/>
        </w:numPr>
        <w:spacing w:before="0" w:after="60" w:line="240" w:lineRule="auto"/>
        <w:jc w:val="both"/>
        <w:rPr>
          <w:rFonts w:ascii="Arial" w:hAnsi="Arial" w:eastAsia="Arial" w:cs="Arial"/>
        </w:rPr>
      </w:pPr>
      <w:r w:rsidRPr="007B6AE4">
        <w:rPr>
          <w:rFonts w:ascii="Arial" w:hAnsi="Arial" w:eastAsia="Arial" w:cs="Arial"/>
        </w:rPr>
        <w:t xml:space="preserve">Contributing to the skills and knowledge that the Queensland workforce needs now and in the future. </w:t>
      </w:r>
    </w:p>
    <w:p w:rsidR="5DCCC043" w:rsidP="3D15E27C" w:rsidRDefault="5DCCC043" w14:paraId="29988D5A" w14:textId="4564D80A">
      <w:pPr>
        <w:pStyle w:val="ListParagraph"/>
        <w:keepLines/>
        <w:numPr>
          <w:ilvl w:val="0"/>
          <w:numId w:val="1"/>
        </w:numPr>
        <w:spacing w:before="0" w:after="60" w:line="240" w:lineRule="auto"/>
        <w:jc w:val="both"/>
        <w:rPr>
          <w:rFonts w:ascii="Arial" w:hAnsi="Arial" w:eastAsia="Arial" w:cs="Arial"/>
          <w:sz w:val="22"/>
          <w:szCs w:val="22"/>
        </w:rPr>
      </w:pPr>
      <w:r w:rsidRPr="007B6AE4">
        <w:rPr>
          <w:rFonts w:ascii="Arial" w:hAnsi="Arial" w:eastAsia="Arial" w:cs="Arial"/>
        </w:rPr>
        <w:t>Fostering statewide economic growth and innovation.</w:t>
      </w:r>
    </w:p>
    <w:p w:rsidRPr="007B6AE4" w:rsidR="5DCCC043" w:rsidP="3D15E27C" w:rsidRDefault="5DCCC043" w14:paraId="7F7C3EFA" w14:textId="6AD64530">
      <w:pPr>
        <w:pStyle w:val="Heading2"/>
      </w:pPr>
      <w:r w:rsidRPr="007B6AE4">
        <w:t>Western Australia</w:t>
      </w:r>
    </w:p>
    <w:p w:rsidR="5DCCC043" w:rsidP="3D15E27C" w:rsidRDefault="5DCCC043" w14:paraId="7488CDEC" w14:textId="34E2262B">
      <w:pPr>
        <w:rPr>
          <w:rFonts w:eastAsia="Arial"/>
        </w:rPr>
      </w:pPr>
      <w:r w:rsidRPr="3D15E27C">
        <w:rPr>
          <w:rFonts w:eastAsia="Arial"/>
        </w:rPr>
        <w:t xml:space="preserve">Western Australia’s (WA’s) priority areas are aligned to </w:t>
      </w:r>
      <w:hyperlink w:history="1" r:id="rId29">
        <w:r w:rsidRPr="00901932">
          <w:rPr>
            <w:rStyle w:val="Hyperlink"/>
            <w:rFonts w:eastAsia="Arial"/>
            <w:i/>
          </w:rPr>
          <w:t>WA Government Priorities 2025-2029</w:t>
        </w:r>
      </w:hyperlink>
      <w:r w:rsidRPr="3D15E27C">
        <w:rPr>
          <w:rFonts w:eastAsia="Arial"/>
        </w:rPr>
        <w:t xml:space="preserve"> as well as other frameworks and strategic plans guiding workforce development and diversification in the state.</w:t>
      </w:r>
    </w:p>
    <w:p w:rsidRPr="005023A8" w:rsidR="5DCCC043" w:rsidP="005023A8" w:rsidRDefault="5DCCC043" w14:paraId="5E5300CC" w14:textId="3CFAC6AA">
      <w:pPr>
        <w:pStyle w:val="Heading3"/>
      </w:pPr>
      <w:r w:rsidRPr="005023A8">
        <w:t>Jobs</w:t>
      </w:r>
      <w:r w:rsidR="00B44F49">
        <w:t xml:space="preserve">, </w:t>
      </w:r>
      <w:r w:rsidRPr="005023A8">
        <w:t>skills</w:t>
      </w:r>
      <w:r w:rsidR="00B44F49">
        <w:t xml:space="preserve"> and </w:t>
      </w:r>
      <w:r w:rsidRPr="005023A8">
        <w:t>workforce</w:t>
      </w:r>
    </w:p>
    <w:p w:rsidR="5DCCC043" w:rsidP="3D15E27C" w:rsidRDefault="5DCCC043" w14:paraId="6A9E73F6" w14:textId="4E3357DA">
      <w:pPr>
        <w:rPr>
          <w:rFonts w:eastAsia="Arial"/>
        </w:rPr>
      </w:pPr>
      <w:r w:rsidRPr="3D15E27C">
        <w:rPr>
          <w:rFonts w:eastAsia="Arial"/>
        </w:rPr>
        <w:t xml:space="preserve">WA notes that the </w:t>
      </w:r>
      <w:r w:rsidRPr="3D15E27C" w:rsidR="4A75EB49">
        <w:rPr>
          <w:rFonts w:eastAsia="Arial"/>
        </w:rPr>
        <w:t>National Tertiary Education Objective</w:t>
      </w:r>
      <w:r w:rsidRPr="3D15E27C">
        <w:rPr>
          <w:rFonts w:eastAsia="Arial"/>
        </w:rPr>
        <w:t xml:space="preserve"> will enshrine that Australia’s tertiary education system ‘promote a strong, equitable and resilient democracy; and drive national, economic and social development and environmental sustainability’. Acknowledging the importance of a university system that addresses all knowledge areas, WA notes the following skills and workforce priority areas to develop the future workforce and enable broad community participation in daily life:</w:t>
      </w:r>
    </w:p>
    <w:p w:rsidRPr="007B6AE4" w:rsidR="5DCCC043" w:rsidP="3D15E27C" w:rsidRDefault="5DCCC043" w14:paraId="3228EB20" w14:textId="23862D3C">
      <w:pPr>
        <w:pStyle w:val="ListParagraph"/>
        <w:keepLines/>
        <w:numPr>
          <w:ilvl w:val="0"/>
          <w:numId w:val="1"/>
        </w:numPr>
        <w:spacing w:before="0" w:after="60" w:line="240" w:lineRule="auto"/>
        <w:jc w:val="both"/>
        <w:rPr>
          <w:rFonts w:ascii="Arial" w:hAnsi="Arial" w:eastAsia="Arial" w:cs="Arial"/>
        </w:rPr>
      </w:pPr>
      <w:r w:rsidRPr="007B6AE4">
        <w:rPr>
          <w:rFonts w:ascii="Arial" w:hAnsi="Arial" w:eastAsia="Arial" w:cs="Arial"/>
        </w:rPr>
        <w:t>Health</w:t>
      </w:r>
    </w:p>
    <w:p w:rsidRPr="007B6AE4" w:rsidR="5DCCC043" w:rsidP="3D15E27C" w:rsidRDefault="5DCCC043" w14:paraId="74D2F845" w14:textId="3FB96845">
      <w:pPr>
        <w:pStyle w:val="ListParagraph"/>
        <w:keepLines/>
        <w:numPr>
          <w:ilvl w:val="0"/>
          <w:numId w:val="1"/>
        </w:numPr>
        <w:spacing w:before="0" w:after="60" w:line="240" w:lineRule="auto"/>
        <w:jc w:val="both"/>
        <w:rPr>
          <w:rFonts w:ascii="Arial" w:hAnsi="Arial" w:eastAsia="Arial" w:cs="Arial"/>
        </w:rPr>
      </w:pPr>
      <w:r w:rsidRPr="007B6AE4">
        <w:rPr>
          <w:rFonts w:ascii="Arial" w:hAnsi="Arial" w:eastAsia="Arial" w:cs="Arial"/>
        </w:rPr>
        <w:t>Housing</w:t>
      </w:r>
    </w:p>
    <w:p w:rsidRPr="007B6AE4" w:rsidR="5DCCC043" w:rsidP="3D15E27C" w:rsidRDefault="5DCCC043" w14:paraId="3FBA2475" w14:textId="6B52783E">
      <w:pPr>
        <w:pStyle w:val="ListParagraph"/>
        <w:keepLines/>
        <w:numPr>
          <w:ilvl w:val="0"/>
          <w:numId w:val="1"/>
        </w:numPr>
        <w:spacing w:before="0" w:after="60" w:line="240" w:lineRule="auto"/>
        <w:jc w:val="both"/>
        <w:rPr>
          <w:rFonts w:ascii="Arial" w:hAnsi="Arial" w:eastAsia="Arial" w:cs="Arial"/>
        </w:rPr>
      </w:pPr>
      <w:r w:rsidRPr="007B6AE4">
        <w:rPr>
          <w:rFonts w:ascii="Arial" w:hAnsi="Arial" w:eastAsia="Arial" w:cs="Arial"/>
        </w:rPr>
        <w:t>Clean energy</w:t>
      </w:r>
    </w:p>
    <w:p w:rsidRPr="007B6AE4" w:rsidR="5DCCC043" w:rsidP="3D15E27C" w:rsidRDefault="5DCCC043" w14:paraId="072153CA" w14:textId="4C35CBFC">
      <w:pPr>
        <w:pStyle w:val="ListParagraph"/>
        <w:keepLines/>
        <w:numPr>
          <w:ilvl w:val="0"/>
          <w:numId w:val="1"/>
        </w:numPr>
        <w:spacing w:before="0" w:after="60" w:line="240" w:lineRule="auto"/>
        <w:jc w:val="both"/>
        <w:rPr>
          <w:rFonts w:ascii="Arial" w:hAnsi="Arial" w:eastAsia="Arial" w:cs="Arial"/>
        </w:rPr>
      </w:pPr>
      <w:r w:rsidRPr="007B6AE4">
        <w:rPr>
          <w:rFonts w:ascii="Arial" w:hAnsi="Arial" w:eastAsia="Arial" w:cs="Arial"/>
        </w:rPr>
        <w:t>Defence</w:t>
      </w:r>
    </w:p>
    <w:p w:rsidRPr="007B6AE4" w:rsidR="5DCCC043" w:rsidP="3D15E27C" w:rsidRDefault="5DCCC043" w14:paraId="263615E2" w14:textId="0574AC2D">
      <w:pPr>
        <w:pStyle w:val="ListParagraph"/>
        <w:keepLines/>
        <w:numPr>
          <w:ilvl w:val="0"/>
          <w:numId w:val="1"/>
        </w:numPr>
        <w:spacing w:before="0" w:after="60" w:line="240" w:lineRule="auto"/>
        <w:jc w:val="both"/>
        <w:rPr>
          <w:rFonts w:ascii="Arial" w:hAnsi="Arial" w:eastAsia="Arial" w:cs="Arial"/>
        </w:rPr>
      </w:pPr>
      <w:r w:rsidRPr="007B6AE4">
        <w:rPr>
          <w:rFonts w:ascii="Arial" w:hAnsi="Arial" w:eastAsia="Arial" w:cs="Arial"/>
        </w:rPr>
        <w:t>Tourism</w:t>
      </w:r>
    </w:p>
    <w:p w:rsidRPr="007B6AE4" w:rsidR="5DCCC043" w:rsidP="3D15E27C" w:rsidRDefault="5DCCC043" w14:paraId="161E6CF6" w14:textId="424DD8B0">
      <w:pPr>
        <w:pStyle w:val="ListParagraph"/>
        <w:keepLines/>
        <w:numPr>
          <w:ilvl w:val="0"/>
          <w:numId w:val="1"/>
        </w:numPr>
        <w:spacing w:before="0" w:after="60" w:line="240" w:lineRule="auto"/>
        <w:jc w:val="both"/>
        <w:rPr>
          <w:rFonts w:ascii="Arial" w:hAnsi="Arial" w:eastAsia="Arial" w:cs="Arial"/>
        </w:rPr>
      </w:pPr>
      <w:r w:rsidRPr="007B6AE4">
        <w:rPr>
          <w:rFonts w:ascii="Arial" w:hAnsi="Arial" w:eastAsia="Arial" w:cs="Arial"/>
        </w:rPr>
        <w:t>Hospitality</w:t>
      </w:r>
    </w:p>
    <w:p w:rsidR="5DCCC043" w:rsidP="3D15E27C" w:rsidRDefault="5DCCC043" w14:paraId="05BD1580" w14:textId="7BA4354E">
      <w:pPr>
        <w:rPr>
          <w:rFonts w:eastAsia="Arial"/>
        </w:rPr>
      </w:pPr>
      <w:r w:rsidRPr="3D15E27C">
        <w:rPr>
          <w:rFonts w:eastAsia="Arial"/>
        </w:rPr>
        <w:t xml:space="preserve">Further to this, the </w:t>
      </w:r>
      <w:hyperlink w:history="1" r:id="rId30">
        <w:r w:rsidRPr="007D7359">
          <w:rPr>
            <w:rStyle w:val="Hyperlink"/>
            <w:rFonts w:eastAsia="Arial"/>
            <w:i/>
            <w:iCs/>
          </w:rPr>
          <w:t>STEM skills: Future state, future skills – Accelerating STEM skills for Western Australia</w:t>
        </w:r>
      </w:hyperlink>
      <w:r w:rsidRPr="3D15E27C">
        <w:rPr>
          <w:rFonts w:eastAsia="Arial"/>
        </w:rPr>
        <w:t xml:space="preserve"> identifies that STEM skills are in demand in all industries and that WA will need access to a locally skilled science, technology, engineering, and mathematics workforce. Universities have an opportunity to be more explicit in embedding STEM literacy and digital skills as crosscutting priorities, and to support practical, deployable capability to unblock workforce delivery risks. Developing these areas involve supporting research in these priority areas.</w:t>
      </w:r>
    </w:p>
    <w:p w:rsidR="5DCCC043" w:rsidP="3D15E27C" w:rsidRDefault="5DCCC043" w14:paraId="58CF13E2" w14:textId="48C0CA2B">
      <w:pPr>
        <w:rPr>
          <w:rFonts w:eastAsia="Arial"/>
        </w:rPr>
      </w:pPr>
      <w:r w:rsidRPr="3D15E27C">
        <w:rPr>
          <w:rFonts w:eastAsia="Arial"/>
        </w:rPr>
        <w:t xml:space="preserve">As WA transforms its energy future, demand for highly skilled, job-ready graduates with capabilities spanning engineering, digital technologies, data, project delivery, and sustainability will be required. Universities are uniquely placed to embed these capabilities into curriculum while also investing in research infrastructure and expertise that drives innovation, commercialisation, and new discoveries. By doing so, universities can help accelerate technology deployment and strengthen industry capability, ensuring that local talent and research power the next phase of national prosperity. WA’s energy transformation is a key enabler of the </w:t>
      </w:r>
      <w:hyperlink w:history="1" r:id="rId31">
        <w:r w:rsidRPr="00383F3D">
          <w:rPr>
            <w:rStyle w:val="Hyperlink"/>
            <w:rFonts w:eastAsia="Arial"/>
            <w:i/>
            <w:iCs/>
          </w:rPr>
          <w:t>Future Made in Australia</w:t>
        </w:r>
      </w:hyperlink>
      <w:r w:rsidRPr="3D15E27C">
        <w:rPr>
          <w:rFonts w:eastAsia="Arial"/>
        </w:rPr>
        <w:t xml:space="preserve"> strategy, positioning the state as a leader in clean energy and advanced</w:t>
      </w:r>
      <w:r w:rsidR="00406D0E">
        <w:rPr>
          <w:rFonts w:eastAsia="Arial"/>
        </w:rPr>
        <w:t> </w:t>
      </w:r>
      <w:r w:rsidRPr="3D15E27C">
        <w:rPr>
          <w:rFonts w:eastAsia="Arial"/>
        </w:rPr>
        <w:t>manufacturing.</w:t>
      </w:r>
    </w:p>
    <w:p w:rsidRPr="005023A8" w:rsidR="5DCCC043" w:rsidP="005023A8" w:rsidRDefault="5DCCC043" w14:paraId="139FBF57" w14:textId="71C0CCB5">
      <w:pPr>
        <w:pStyle w:val="Heading3"/>
      </w:pPr>
      <w:r w:rsidRPr="005023A8">
        <w:t>Tertiary harmonisation</w:t>
      </w:r>
    </w:p>
    <w:p w:rsidR="5DCCC043" w:rsidP="3D15E27C" w:rsidRDefault="5DCCC043" w14:paraId="39C3587C" w14:textId="06F4CE6D">
      <w:pPr>
        <w:rPr>
          <w:rFonts w:eastAsia="Arial"/>
        </w:rPr>
      </w:pPr>
      <w:r w:rsidRPr="3D15E27C">
        <w:rPr>
          <w:rFonts w:eastAsia="Arial"/>
        </w:rPr>
        <w:t>As the labour market continues to evolve, it is vital to support Australians at all stages of their career to access education and training. Tertiary harmonisation plays a crucial role in allowing Australians to gain the knowledge and skills necessary to contribute to a strong, equitable, and resilient democracy and to meet the growing skills needs of our state economy. The WA Government aims to decentralise and support economic growth in the regions, and facilitating students’ transitions between higher education and VET is key to this goal. A more joined-up tertiary system will also be critical to meeting the skills needs of AUKUS and the transition to renewables to set up our economy for success in a world that is decarbonising.</w:t>
      </w:r>
    </w:p>
    <w:p w:rsidRPr="005023A8" w:rsidR="5DCCC043" w:rsidP="005023A8" w:rsidRDefault="5DCCC043" w14:paraId="66E1E537" w14:textId="20503459">
      <w:pPr>
        <w:pStyle w:val="Heading3"/>
      </w:pPr>
      <w:r w:rsidRPr="005023A8">
        <w:lastRenderedPageBreak/>
        <w:t>Equity</w:t>
      </w:r>
    </w:p>
    <w:p w:rsidR="5DCCC043" w:rsidP="3D15E27C" w:rsidRDefault="5DCCC043" w14:paraId="4D99D9FD" w14:textId="0C36C4CE">
      <w:pPr>
        <w:rPr>
          <w:rFonts w:eastAsia="Arial"/>
        </w:rPr>
      </w:pPr>
      <w:r w:rsidRPr="3D15E27C">
        <w:rPr>
          <w:rFonts w:eastAsia="Arial"/>
        </w:rPr>
        <w:t xml:space="preserve">Equity of access to university is a critical priority in WA due to the state’s vast geography and highly dispersed population, which present unique and persistent challenges for participation in higher education. Students living in regional and remote areas, particularly those in regional cities, often face barriers related to distance, cost, limited local course availability and reduced access to enabling support services. </w:t>
      </w:r>
    </w:p>
    <w:p w:rsidR="5DCCC043" w:rsidP="3D15E27C" w:rsidRDefault="5DCCC043" w14:paraId="4E1F905F" w14:textId="27189D34">
      <w:pPr>
        <w:rPr>
          <w:rFonts w:eastAsia="Arial"/>
        </w:rPr>
      </w:pPr>
      <w:r w:rsidRPr="3D15E27C">
        <w:rPr>
          <w:rFonts w:eastAsia="Arial"/>
        </w:rPr>
        <w:t>Ensuring equitable access is also fundamental to driving the participation of Aboriginal peoples, students from low socioeconomic backgrounds, and students living with disability in higher education. Expanding opportunities for these cohorts not only advances inclusion but strengthens workforce participation and economic resilience across the state by enabling all Western Australians to access the skills, knowledge, and pathways required to contribute meaningfully to their communities and the broader economy. Beyond equity of access, Australian universities also need to ensure equity students are set up to succeed once they are at</w:t>
      </w:r>
      <w:r w:rsidR="00406D0E">
        <w:rPr>
          <w:rFonts w:eastAsia="Arial"/>
        </w:rPr>
        <w:t> </w:t>
      </w:r>
      <w:r w:rsidRPr="3D15E27C">
        <w:rPr>
          <w:rFonts w:eastAsia="Arial"/>
        </w:rPr>
        <w:t xml:space="preserve">university. </w:t>
      </w:r>
    </w:p>
    <w:p w:rsidRPr="005023A8" w:rsidR="5DCCC043" w:rsidP="005023A8" w:rsidRDefault="5DCCC043" w14:paraId="3BB81815" w14:textId="1A2D7556">
      <w:pPr>
        <w:pStyle w:val="Heading3"/>
      </w:pPr>
      <w:r w:rsidRPr="005023A8">
        <w:t>Research and diversification</w:t>
      </w:r>
    </w:p>
    <w:p w:rsidR="5DCCC043" w:rsidP="3D15E27C" w:rsidRDefault="5DCCC043" w14:paraId="0CF99CE2" w14:textId="2C9B88B2">
      <w:pPr>
        <w:rPr>
          <w:rFonts w:eastAsia="Arial"/>
        </w:rPr>
      </w:pPr>
      <w:r w:rsidRPr="3D15E27C">
        <w:rPr>
          <w:rFonts w:eastAsia="Arial"/>
        </w:rPr>
        <w:t xml:space="preserve">WA’s </w:t>
      </w:r>
      <w:hyperlink w:history="1" r:id="rId32">
        <w:r w:rsidRPr="007A7B0C">
          <w:rPr>
            <w:rStyle w:val="Hyperlink"/>
            <w:rFonts w:eastAsia="Arial"/>
            <w:i/>
            <w:iCs/>
          </w:rPr>
          <w:t>Diversify WA</w:t>
        </w:r>
      </w:hyperlink>
      <w:r w:rsidRPr="3D15E27C">
        <w:rPr>
          <w:rFonts w:eastAsia="Arial"/>
        </w:rPr>
        <w:t xml:space="preserve"> economic development framework and </w:t>
      </w:r>
      <w:hyperlink w:history="1" r:id="rId33">
        <w:r w:rsidRPr="00744862">
          <w:rPr>
            <w:rStyle w:val="Hyperlink"/>
            <w:rFonts w:eastAsia="Arial"/>
            <w:i/>
            <w:iCs/>
          </w:rPr>
          <w:t>Future State: Accelerating Diversify WA</w:t>
        </w:r>
      </w:hyperlink>
      <w:r w:rsidRPr="3D15E27C">
        <w:rPr>
          <w:rFonts w:eastAsia="Arial"/>
        </w:rPr>
        <w:t xml:space="preserve"> identify nine priority industries for future growth, namely energy, tourism and events, creative industries, international education, defence industries, mining and mining equipment technology and services, space industries, health and medical life sciences, and primary industries. Universities should play a key role in driving diversification and innovation in these priority areas.</w:t>
      </w:r>
    </w:p>
    <w:p w:rsidR="3D15E27C" w:rsidP="007B6AE4" w:rsidRDefault="5DCCC043" w14:paraId="5D7E0770" w14:textId="3CFDBDFA">
      <w:pPr>
        <w:rPr>
          <w:rFonts w:eastAsia="Arial"/>
        </w:rPr>
      </w:pPr>
      <w:r w:rsidRPr="3D15E27C">
        <w:rPr>
          <w:rFonts w:eastAsia="Arial"/>
        </w:rPr>
        <w:t xml:space="preserve">In addition, WA’s </w:t>
      </w:r>
      <w:hyperlink w:history="1" r:id="rId34">
        <w:r w:rsidRPr="001045D3">
          <w:rPr>
            <w:rStyle w:val="Hyperlink"/>
            <w:rFonts w:eastAsia="Arial"/>
            <w:i/>
            <w:iCs/>
          </w:rPr>
          <w:t>10-year Science and Technology Plan</w:t>
        </w:r>
      </w:hyperlink>
      <w:r w:rsidRPr="3D15E27C">
        <w:rPr>
          <w:rFonts w:eastAsia="Arial"/>
        </w:rPr>
        <w:t xml:space="preserve"> lists clean energy and decarbonisation, environment and sustainability, mineral supply and value-adding, health and wellbeing, sustainable and secure food production, and critical and emerging technology as key research priority areas. Western Australia advocates for these key areas to be prioritised and embedded within the research and development initiatives undertaken by our universities, recognising their central role in driving innovation.</w:t>
      </w:r>
    </w:p>
    <w:p w:rsidRPr="007B6AE4" w:rsidR="5DCCC043" w:rsidP="3D15E27C" w:rsidRDefault="5DCCC043" w14:paraId="3ACF9AE9" w14:textId="4793AA6B">
      <w:pPr>
        <w:pStyle w:val="Heading2"/>
      </w:pPr>
      <w:r w:rsidRPr="007B6AE4">
        <w:t>South Australia</w:t>
      </w:r>
    </w:p>
    <w:p w:rsidR="5DCCC043" w:rsidP="3D15E27C" w:rsidRDefault="5DCCC043" w14:paraId="543DF169" w14:textId="3E280B4A">
      <w:pPr>
        <w:rPr>
          <w:rFonts w:eastAsia="Arial"/>
        </w:rPr>
      </w:pPr>
      <w:r w:rsidRPr="3D15E27C">
        <w:rPr>
          <w:rFonts w:eastAsia="Arial"/>
          <w:lang w:val="en-GB"/>
        </w:rPr>
        <w:t xml:space="preserve">South Australia recognises the important role universities play in preserving, extending and disseminating knowledge through teaching, research, scholarship, innovation, consultancy and other means. South Australian universities’ teaching, research and innovation contribute to the advancement and application of knowledge for community benefit and wellbeing, and for the benefit of industry, business, the professions and government. </w:t>
      </w:r>
      <w:r w:rsidRPr="3D15E27C">
        <w:rPr>
          <w:rFonts w:eastAsia="Arial"/>
        </w:rPr>
        <w:t xml:space="preserve"> </w:t>
      </w:r>
    </w:p>
    <w:p w:rsidR="5DCCC043" w:rsidP="3D15E27C" w:rsidRDefault="5DCCC043" w14:paraId="5FA6A5E2" w14:textId="6DD96389">
      <w:pPr>
        <w:rPr>
          <w:rFonts w:eastAsia="Arial"/>
        </w:rPr>
      </w:pPr>
      <w:r w:rsidRPr="3D15E27C">
        <w:rPr>
          <w:rFonts w:eastAsia="Arial"/>
          <w:lang w:val="en-GB"/>
        </w:rPr>
        <w:t>Key priorities for South Australia are building a skilled, adaptable workforce aligned with the state’s economic and social need; fostering partnerships between education providers and industry; ensuring rural and regional education provision and workforce outcomes for local communities; ensuring access, participation and success for disadvantaged and underrepresented cohorts; and tertiary harmonisation and pathways between VET and higher education. South Australia is committed to international education for attracting talent and contributing to a graduate workforce, creating global linkages, and delivering economic benefits for the state.</w:t>
      </w:r>
      <w:r w:rsidRPr="3D15E27C">
        <w:rPr>
          <w:rFonts w:eastAsia="Arial"/>
        </w:rPr>
        <w:t xml:space="preserve"> </w:t>
      </w:r>
    </w:p>
    <w:p w:rsidR="5DCCC043" w:rsidP="3D15E27C" w:rsidRDefault="5DCCC043" w14:paraId="576A3035" w14:textId="39864287">
      <w:pPr>
        <w:rPr>
          <w:rFonts w:eastAsia="Arial"/>
        </w:rPr>
      </w:pPr>
      <w:r w:rsidRPr="3D15E27C">
        <w:rPr>
          <w:rFonts w:eastAsia="Arial"/>
          <w:lang w:val="en-GB"/>
        </w:rPr>
        <w:t>South Australia’s research priorities are focused on building critical mass and excellence in areas that support the state’s priority industries and long-term economic transformation. This includes research that accelerates productivity supports technology adoption, and enables the growth of globally competitive industries in areas such as defence and space; advanced manufacturing; health and medical industries; food, wine and agribusiness; energy; and critical minerals.</w:t>
      </w:r>
      <w:r w:rsidRPr="3D15E27C">
        <w:rPr>
          <w:rFonts w:eastAsia="Arial"/>
        </w:rPr>
        <w:t xml:space="preserve"> </w:t>
      </w:r>
    </w:p>
    <w:p w:rsidR="5DCCC043" w:rsidP="3D15E27C" w:rsidRDefault="5DCCC043" w14:paraId="76427C28" w14:textId="3C81C29E">
      <w:pPr>
        <w:rPr>
          <w:rFonts w:eastAsia="Arial"/>
        </w:rPr>
      </w:pPr>
      <w:r w:rsidRPr="3D15E27C">
        <w:rPr>
          <w:rFonts w:eastAsia="Arial"/>
          <w:lang w:val="en-GB"/>
        </w:rPr>
        <w:t>The state prioritises research that translates into real world outcomes through collaboration between universities, industry and government, supporting job creation, economic resilience and improved quality of life for South Australians.</w:t>
      </w:r>
    </w:p>
    <w:p w:rsidRPr="007B6AE4" w:rsidR="5DCCC043" w:rsidP="3D15E27C" w:rsidRDefault="5DCCC043" w14:paraId="1AF5546D" w14:textId="6ABD5F22">
      <w:pPr>
        <w:pStyle w:val="Heading2"/>
      </w:pPr>
      <w:r w:rsidRPr="007B6AE4">
        <w:lastRenderedPageBreak/>
        <w:t>Tasmania</w:t>
      </w:r>
    </w:p>
    <w:p w:rsidR="5DCCC043" w:rsidP="3D15E27C" w:rsidRDefault="5DCCC043" w14:paraId="68C92BB6" w14:textId="62985184">
      <w:pPr>
        <w:rPr>
          <w:rFonts w:eastAsia="Arial"/>
        </w:rPr>
      </w:pPr>
      <w:r w:rsidRPr="3D15E27C">
        <w:rPr>
          <w:rFonts w:eastAsia="Arial"/>
        </w:rPr>
        <w:t>The Tasmanian Government considers it a priority that tertiary harmonisation efforts appropriately recognise the critical role of vocational education and training (VET) in supporting strong vocational outcomes in a rapidly evolving economy, alongside the complementary contribution of higher education across all aspects of the reform agenda.</w:t>
      </w:r>
    </w:p>
    <w:p w:rsidR="5DCCC043" w:rsidP="3D15E27C" w:rsidRDefault="5DCCC043" w14:paraId="5885C75F" w14:textId="477AB0E9">
      <w:pPr>
        <w:rPr>
          <w:rFonts w:eastAsia="Arial"/>
        </w:rPr>
      </w:pPr>
      <w:r w:rsidRPr="3D15E27C">
        <w:rPr>
          <w:rFonts w:eastAsia="Arial"/>
        </w:rPr>
        <w:t>In terms of broad guidance for universities, strengthening teaching quality directly impacts and enhances how education is delivered to Tasmanian learners. It is a priority that Tasmanian learners, particularly those requiring additional support, leave school prepared for success in tertiary education to boost participation, attainment and transition outcomes statewide.</w:t>
      </w:r>
    </w:p>
    <w:p w:rsidR="5DCCC043" w:rsidP="3D15E27C" w:rsidRDefault="5DCCC043" w14:paraId="69E4814A" w14:textId="7653959A">
      <w:pPr>
        <w:rPr>
          <w:rFonts w:eastAsia="Arial"/>
        </w:rPr>
      </w:pPr>
      <w:r w:rsidRPr="3D15E27C">
        <w:rPr>
          <w:rFonts w:eastAsia="Arial"/>
        </w:rPr>
        <w:t>Collaboration between higher education, VET providers, and industry is a priority in Tasmania to support student transitions, regional access and workforce readiness. The role of schools (including VET in Schools) in the harmonisation approach can work to expand learner pathways and create coherent school-to-work or school-to-tertiary transitions. The Tasmanian Government is committed to making further progress in this</w:t>
      </w:r>
      <w:r w:rsidR="00611BCE">
        <w:rPr>
          <w:rFonts w:eastAsia="Arial"/>
        </w:rPr>
        <w:t> </w:t>
      </w:r>
      <w:r w:rsidRPr="3D15E27C">
        <w:rPr>
          <w:rFonts w:eastAsia="Arial"/>
        </w:rPr>
        <w:t>area.</w:t>
      </w:r>
    </w:p>
    <w:p w:rsidR="5DCCC043" w:rsidP="3D15E27C" w:rsidRDefault="5DCCC043" w14:paraId="593347EB" w14:textId="382166E7">
      <w:pPr>
        <w:rPr>
          <w:rFonts w:eastAsia="Arial"/>
        </w:rPr>
      </w:pPr>
      <w:r w:rsidRPr="3D15E27C">
        <w:rPr>
          <w:rFonts w:eastAsia="Arial"/>
        </w:rPr>
        <w:t xml:space="preserve">The </w:t>
      </w:r>
      <w:hyperlink w:history="1" r:id="rId35">
        <w:r w:rsidRPr="00A20D91">
          <w:rPr>
            <w:rStyle w:val="Hyperlink"/>
            <w:rFonts w:eastAsia="Arial"/>
            <w:i/>
            <w:iCs/>
          </w:rPr>
          <w:t>Tasmanian Skills Plan</w:t>
        </w:r>
      </w:hyperlink>
      <w:r w:rsidRPr="3D15E27C">
        <w:rPr>
          <w:rFonts w:eastAsia="Arial"/>
        </w:rPr>
        <w:t xml:space="preserve"> highlights the Tasmanian Government’s priorities for training and pathways that support Tasmanians into jobs in priority sectors that align with the </w:t>
      </w:r>
      <w:hyperlink w:history="1" r:id="rId36">
        <w:r w:rsidRPr="00A20D91">
          <w:rPr>
            <w:rStyle w:val="Hyperlink"/>
            <w:rFonts w:eastAsia="Arial"/>
            <w:i/>
            <w:iCs/>
          </w:rPr>
          <w:t>National Skills Plan</w:t>
        </w:r>
      </w:hyperlink>
      <w:r w:rsidRPr="3D15E27C">
        <w:rPr>
          <w:rFonts w:eastAsia="Arial"/>
        </w:rPr>
        <w:t>. Alignment with the Tasmanian Skills Plan and also the Tasmanian Government’s Economic Agenda (both in terms of its course offerings and research program) must be an ongoing priority for any university operating in Tasmania.</w:t>
      </w:r>
    </w:p>
    <w:p w:rsidR="3D15E27C" w:rsidP="007B6AE4" w:rsidRDefault="5DCCC043" w14:paraId="2496083B" w14:textId="7F9F1A3F">
      <w:pPr>
        <w:rPr>
          <w:rFonts w:eastAsia="Arial"/>
        </w:rPr>
      </w:pPr>
      <w:r w:rsidRPr="3D15E27C">
        <w:rPr>
          <w:rFonts w:eastAsia="Arial"/>
        </w:rPr>
        <w:t>The Tasmanian Tertiary Collaboration Reference Group has recently been established to support the Tasmanian Government’s engagement in tertiary reform activities through various government officials’ channels and ministerial forums for both education and skills. The group brings together Tasmanian Government, TasTAFE and University of Tasmania officials to examine tertiary harmonisation initiatives, work collaboratively to inform a joined up Tasmanian position on national tertiary reforms, and consider opportunities to strengthen tertiary harmonisation at the local level. The inaugural meeting was held in March</w:t>
      </w:r>
      <w:r w:rsidR="00611BCE">
        <w:rPr>
          <w:rFonts w:eastAsia="Arial"/>
        </w:rPr>
        <w:t> </w:t>
      </w:r>
      <w:r w:rsidRPr="3D15E27C">
        <w:rPr>
          <w:rFonts w:eastAsia="Arial"/>
        </w:rPr>
        <w:t>2026.</w:t>
      </w:r>
    </w:p>
    <w:p w:rsidRPr="007B6AE4" w:rsidR="5DCCC043" w:rsidP="3D15E27C" w:rsidRDefault="5DCCC043" w14:paraId="017ABC57" w14:textId="28A4C1CA">
      <w:pPr>
        <w:pStyle w:val="Heading2"/>
      </w:pPr>
      <w:r w:rsidRPr="007B6AE4">
        <w:t>Australian Capital Territory</w:t>
      </w:r>
    </w:p>
    <w:p w:rsidRPr="005023A8" w:rsidR="5DCCC043" w:rsidP="005023A8" w:rsidRDefault="5DCCC043" w14:paraId="27EAC277" w14:textId="0EC86E73">
      <w:pPr>
        <w:pStyle w:val="Heading3"/>
      </w:pPr>
      <w:r w:rsidRPr="005023A8">
        <w:t xml:space="preserve">1. Growth through strategic partnerships </w:t>
      </w:r>
    </w:p>
    <w:p w:rsidR="5DCCC043" w:rsidP="3D15E27C" w:rsidRDefault="5DCCC043" w14:paraId="58A5CDCB" w14:textId="12DF9063">
      <w:pPr>
        <w:rPr>
          <w:rFonts w:eastAsia="Arial"/>
        </w:rPr>
      </w:pPr>
      <w:r w:rsidRPr="3D15E27C">
        <w:rPr>
          <w:rFonts w:eastAsia="Arial"/>
        </w:rPr>
        <w:t>Partnering with industry, universities and enabling institutions to create places that support innovation, business growth and investment. These precincts bring together the right mix of infrastructure, talent and collaboration, making it easier for businesses to test ideas, access support and grow.</w:t>
      </w:r>
    </w:p>
    <w:p w:rsidRPr="005023A8" w:rsidR="5DCCC043" w:rsidP="005023A8" w:rsidRDefault="5DCCC043" w14:paraId="3336B569" w14:textId="37C3BFEE">
      <w:pPr>
        <w:pStyle w:val="Heading3"/>
      </w:pPr>
      <w:r w:rsidRPr="005023A8">
        <w:t xml:space="preserve">2. Research, innovation and commercialisation </w:t>
      </w:r>
    </w:p>
    <w:p w:rsidR="5DCCC043" w:rsidP="3D15E27C" w:rsidRDefault="5DCCC043" w14:paraId="4112D0E8" w14:textId="25B2F3BE">
      <w:pPr>
        <w:rPr>
          <w:rFonts w:eastAsia="Arial"/>
        </w:rPr>
      </w:pPr>
      <w:r w:rsidRPr="3D15E27C">
        <w:rPr>
          <w:rFonts w:eastAsia="Arial"/>
        </w:rPr>
        <w:t>Allowing greater equity of access to publicly funded research facilities and key infrastructure to drive industry and economic benefit; and working closely with government to identify shared priorities and opportunities for investment attraction. Canberra has a strong pipeline of ideas and early-stage ventures and is home to a robust innovation ecosystem. Canberra has consistently placed in the top five most innovative cities globally and Canberra is often chosen as a testing ground for new ideas and technologies. Our universities are a cornerstone of our innovation ecosystem.</w:t>
      </w:r>
    </w:p>
    <w:p w:rsidRPr="005023A8" w:rsidR="5DCCC043" w:rsidP="005023A8" w:rsidRDefault="5DCCC043" w14:paraId="43B561CB" w14:textId="34C72C2C">
      <w:pPr>
        <w:pStyle w:val="Heading3"/>
      </w:pPr>
      <w:r w:rsidRPr="005023A8">
        <w:t>3. First Nations and Closing the Gap</w:t>
      </w:r>
    </w:p>
    <w:p w:rsidR="5DCCC043" w:rsidP="3D15E27C" w:rsidRDefault="5DCCC043" w14:paraId="5BA066DD" w14:textId="5D3D8854">
      <w:pPr>
        <w:rPr>
          <w:rFonts w:eastAsia="Arial"/>
        </w:rPr>
      </w:pPr>
      <w:r w:rsidRPr="3D15E27C">
        <w:rPr>
          <w:rFonts w:eastAsia="Arial"/>
        </w:rPr>
        <w:t>Ensuring that Aboriginal and Torres Strait Islander students have clear pathways into post-secondary education, enabled by building partnerships between higher education providers and Aboriginal Community-Controlled Organisations, the ACT Aboriginal and Torres Strait Islander Elected Body, and working with the ACT Education Directorate to ensure there is appropriate outreach to local students about post-secondary education and training opportunities.</w:t>
      </w:r>
    </w:p>
    <w:p w:rsidRPr="005023A8" w:rsidR="5DCCC043" w:rsidP="005023A8" w:rsidRDefault="5DCCC043" w14:paraId="2844DCD7" w14:textId="64BDC87C">
      <w:pPr>
        <w:pStyle w:val="Heading3"/>
      </w:pPr>
      <w:r w:rsidRPr="005023A8">
        <w:lastRenderedPageBreak/>
        <w:t>4. Tertiary harmonisation</w:t>
      </w:r>
    </w:p>
    <w:p w:rsidR="5DCCC043" w:rsidP="3D15E27C" w:rsidRDefault="5DCCC043" w14:paraId="1FC3F0C5" w14:textId="1CA3E339">
      <w:pPr>
        <w:rPr>
          <w:rFonts w:eastAsia="Arial"/>
        </w:rPr>
      </w:pPr>
      <w:r w:rsidRPr="3D15E27C">
        <w:rPr>
          <w:rFonts w:eastAsia="Arial"/>
        </w:rPr>
        <w:t>Creating partnerships between higher education and vocational education providers to establish education pathways with bi-directional credit recognition; ideally, this will include co-design units of training that embed skills-training in higher education and knowledge-based units in vocational qualifications, and exploring co-delivery or co-location of training.</w:t>
      </w:r>
    </w:p>
    <w:p w:rsidRPr="005023A8" w:rsidR="5DCCC043" w:rsidP="005023A8" w:rsidRDefault="5DCCC043" w14:paraId="5A9A1F0D" w14:textId="588AC46B">
      <w:pPr>
        <w:pStyle w:val="Heading3"/>
      </w:pPr>
      <w:r w:rsidRPr="005023A8">
        <w:t>5. Local workforce priorities</w:t>
      </w:r>
    </w:p>
    <w:p w:rsidR="5DCCC043" w:rsidP="007B6AE4" w:rsidRDefault="5DCCC043" w14:paraId="290A7A08" w14:textId="61875081">
      <w:pPr>
        <w:rPr>
          <w:rFonts w:eastAsia="Arial"/>
        </w:rPr>
      </w:pPr>
      <w:r w:rsidRPr="3D15E27C">
        <w:rPr>
          <w:rFonts w:eastAsia="Arial"/>
        </w:rPr>
        <w:t xml:space="preserve">Prioritising education programs and qualifications that relate to Canberra’s local workforce needs. These may include, for example, essential care services, education, information technology, and the clean energy transition, as well as co-design of training with vocational education providers in engineering and construction and business management. </w:t>
      </w:r>
    </w:p>
    <w:p w:rsidRPr="005023A8" w:rsidR="5DCCC043" w:rsidP="005023A8" w:rsidRDefault="5DCCC043" w14:paraId="4CA3E6F9" w14:textId="5E24A4D4">
      <w:pPr>
        <w:pStyle w:val="Heading3"/>
      </w:pPr>
      <w:r w:rsidRPr="005023A8">
        <w:t>6. International engagement and global reach</w:t>
      </w:r>
    </w:p>
    <w:p w:rsidR="00631BF9" w:rsidP="007B6AE4" w:rsidRDefault="5DCCC043" w14:paraId="61B96B67" w14:textId="77777777">
      <w:pPr>
        <w:rPr>
          <w:rFonts w:eastAsia="Arial"/>
        </w:rPr>
      </w:pPr>
      <w:r w:rsidRPr="3D15E27C">
        <w:rPr>
          <w:rFonts w:eastAsia="Arial"/>
        </w:rPr>
        <w:t>Supporting the Territory’s global outreach through international student attraction at both undergraduate and postgraduate levels, research partnerships, and exploration of opportunities to deliver education offshore. This can be enabled through the long-term growth of international student enrolments aligned with the availability of purpose-built student accommodation either on campus or elsewhere in the Territory.</w:t>
      </w:r>
    </w:p>
    <w:p w:rsidRPr="007B6AE4" w:rsidR="5DCCC043" w:rsidP="3D15E27C" w:rsidRDefault="5DCCC043" w14:paraId="4C77F34D" w14:textId="11CBAAEC">
      <w:pPr>
        <w:pStyle w:val="Heading2"/>
      </w:pPr>
      <w:r w:rsidRPr="007B6AE4">
        <w:t>Northern Territory</w:t>
      </w:r>
    </w:p>
    <w:p w:rsidRPr="001870C6" w:rsidR="001870C6" w:rsidP="001870C6" w:rsidRDefault="001870C6" w14:paraId="356504C9" w14:textId="6A215549">
      <w:pPr>
        <w:rPr>
          <w:rFonts w:ascii="Arial" w:hAnsi="Arial" w:eastAsia="Arial" w:cs="Arial"/>
        </w:rPr>
      </w:pPr>
      <w:r w:rsidRPr="001870C6">
        <w:rPr>
          <w:rFonts w:ascii="Arial" w:hAnsi="Arial" w:eastAsia="Arial" w:cs="Arial"/>
        </w:rPr>
        <w:t>The Northern Territory is undergoing a strategic pivot underpinned by core priorities of reducing crime, rebuilding the economy, and restoring the Territory lifestyle. The tertiary education sector has an important role to play in supporting these priorities, particularly by aligning with the Territory's natural strengths in tourism, defence, agriculture, gas and mining.</w:t>
      </w:r>
    </w:p>
    <w:p w:rsidRPr="001870C6" w:rsidR="001870C6" w:rsidP="001870C6" w:rsidRDefault="001870C6" w14:paraId="563A2CF7" w14:textId="2C1F5C6C">
      <w:pPr>
        <w:rPr>
          <w:rFonts w:ascii="Arial" w:hAnsi="Arial" w:eastAsia="Arial" w:cs="Arial"/>
        </w:rPr>
      </w:pPr>
      <w:r w:rsidRPr="001870C6">
        <w:rPr>
          <w:rFonts w:ascii="Arial" w:hAnsi="Arial" w:eastAsia="Arial" w:cs="Arial"/>
        </w:rPr>
        <w:t>For the 2027 Compact period, the Northern Territory Government (NTG) identifies the following jurisdictional</w:t>
      </w:r>
      <w:r w:rsidR="00611BCE">
        <w:rPr>
          <w:rFonts w:ascii="Arial" w:hAnsi="Arial" w:eastAsia="Arial" w:cs="Arial"/>
        </w:rPr>
        <w:t> </w:t>
      </w:r>
      <w:r w:rsidRPr="001870C6">
        <w:rPr>
          <w:rFonts w:ascii="Arial" w:hAnsi="Arial" w:eastAsia="Arial" w:cs="Arial"/>
        </w:rPr>
        <w:t>priorities:</w:t>
      </w:r>
    </w:p>
    <w:p w:rsidRPr="001870C6" w:rsidR="001870C6" w:rsidP="005023A8" w:rsidRDefault="001870C6" w14:paraId="10DBDDEB" w14:textId="77777777">
      <w:pPr>
        <w:pStyle w:val="Heading3"/>
      </w:pPr>
      <w:r w:rsidRPr="001870C6">
        <w:t>Priority 1: Strategic Workforce Alignment (Mining, Energy, and Defence)</w:t>
      </w:r>
    </w:p>
    <w:p w:rsidR="001870C6" w:rsidP="000432A0" w:rsidRDefault="001870C6" w14:paraId="6621E6CD" w14:textId="77777777">
      <w:pPr>
        <w:pStyle w:val="ListParagraph"/>
        <w:numPr>
          <w:ilvl w:val="0"/>
          <w:numId w:val="21"/>
        </w:numPr>
        <w:ind w:left="426"/>
        <w:rPr>
          <w:rFonts w:ascii="Arial" w:hAnsi="Arial" w:eastAsia="Arial" w:cs="Arial"/>
        </w:rPr>
      </w:pPr>
      <w:r w:rsidRPr="001870C6">
        <w:rPr>
          <w:rFonts w:ascii="Arial" w:hAnsi="Arial" w:eastAsia="Arial" w:cs="Arial"/>
        </w:rPr>
        <w:t>The Northern Territory ranks highly as a prospective jurisdiction globally for mineral resources. Expanding capability in geology, geosciences and mining engineering will be critical to supporting growth in the resources, mining and energy sectors.</w:t>
      </w:r>
    </w:p>
    <w:p w:rsidRPr="001870C6" w:rsidR="001870C6" w:rsidP="000432A0" w:rsidRDefault="001870C6" w14:paraId="359F7076" w14:textId="32A82CF8">
      <w:pPr>
        <w:pStyle w:val="ListParagraph"/>
        <w:numPr>
          <w:ilvl w:val="0"/>
          <w:numId w:val="21"/>
        </w:numPr>
        <w:ind w:left="426"/>
        <w:rPr>
          <w:rFonts w:ascii="Arial" w:hAnsi="Arial" w:eastAsia="Arial" w:cs="Arial"/>
        </w:rPr>
      </w:pPr>
      <w:r w:rsidRPr="001870C6">
        <w:rPr>
          <w:rFonts w:ascii="Arial" w:hAnsi="Arial" w:eastAsia="Arial" w:cs="Arial"/>
        </w:rPr>
        <w:t>University compacts should align with workforce requirements associated with major developments such as the Beetaloo Sub-basin and the expanding defence industry pipeline,</w:t>
      </w:r>
      <w:r>
        <w:rPr>
          <w:rFonts w:ascii="Arial" w:hAnsi="Arial" w:eastAsia="Arial" w:cs="Arial"/>
        </w:rPr>
        <w:t xml:space="preserve"> </w:t>
      </w:r>
      <w:r w:rsidRPr="001870C6">
        <w:rPr>
          <w:rFonts w:ascii="Arial" w:hAnsi="Arial" w:eastAsia="Arial" w:cs="Arial"/>
        </w:rPr>
        <w:t>including professional capability in engineering, logistics and advanced manufacturing.</w:t>
      </w:r>
    </w:p>
    <w:p w:rsidRPr="001870C6" w:rsidR="001870C6" w:rsidP="005023A8" w:rsidRDefault="001870C6" w14:paraId="40AA41EC" w14:textId="77777777">
      <w:pPr>
        <w:pStyle w:val="Heading3"/>
      </w:pPr>
      <w:r w:rsidRPr="001870C6">
        <w:t>Priority 2: Frontline Professional Workforce (Education and Health)</w:t>
      </w:r>
    </w:p>
    <w:p w:rsidR="001870C6" w:rsidP="000432A0" w:rsidRDefault="001870C6" w14:paraId="2E9CD6D1" w14:textId="77777777">
      <w:pPr>
        <w:pStyle w:val="ListParagraph"/>
        <w:numPr>
          <w:ilvl w:val="0"/>
          <w:numId w:val="21"/>
        </w:numPr>
        <w:ind w:left="426"/>
        <w:rPr>
          <w:rFonts w:ascii="Arial" w:hAnsi="Arial" w:eastAsia="Arial" w:cs="Arial"/>
        </w:rPr>
      </w:pPr>
      <w:r w:rsidRPr="001870C6">
        <w:rPr>
          <w:rFonts w:ascii="Arial" w:hAnsi="Arial" w:eastAsia="Arial" w:cs="Arial"/>
        </w:rPr>
        <w:t xml:space="preserve">Growing and retaining a locally trained frontline workforce is essential to reducing reliance on temporary and interstate recruitment for critical government services. </w:t>
      </w:r>
    </w:p>
    <w:p w:rsidR="001870C6" w:rsidP="000432A0" w:rsidRDefault="001870C6" w14:paraId="0C0CD63A" w14:textId="7D64F4DD">
      <w:pPr>
        <w:pStyle w:val="ListParagraph"/>
        <w:numPr>
          <w:ilvl w:val="0"/>
          <w:numId w:val="21"/>
        </w:numPr>
        <w:ind w:left="426"/>
        <w:rPr>
          <w:rFonts w:ascii="Arial" w:hAnsi="Arial" w:eastAsia="Arial" w:cs="Arial"/>
        </w:rPr>
      </w:pPr>
      <w:r w:rsidRPr="001870C6">
        <w:rPr>
          <w:rFonts w:ascii="Arial" w:hAnsi="Arial" w:eastAsia="Arial" w:cs="Arial"/>
        </w:rPr>
        <w:t>Universities should prioritise the growth of a strong domestic teacher pipeline. This includes a back to basics focus on explicit instruction in literacy and numeracy to ensure graduates are ready for the Territory</w:t>
      </w:r>
      <w:r w:rsidR="00177086">
        <w:rPr>
          <w:rFonts w:ascii="Arial" w:hAnsi="Arial" w:eastAsia="Arial" w:cs="Arial"/>
        </w:rPr>
        <w:t>’s</w:t>
      </w:r>
      <w:r w:rsidRPr="001870C6">
        <w:rPr>
          <w:rFonts w:ascii="Arial" w:hAnsi="Arial" w:eastAsia="Arial" w:cs="Arial"/>
        </w:rPr>
        <w:t xml:space="preserve"> unique school environments.</w:t>
      </w:r>
    </w:p>
    <w:p w:rsidRPr="001870C6" w:rsidR="001870C6" w:rsidP="000432A0" w:rsidRDefault="001870C6" w14:paraId="176ED04B" w14:textId="008B6BAE">
      <w:pPr>
        <w:pStyle w:val="ListParagraph"/>
        <w:numPr>
          <w:ilvl w:val="0"/>
          <w:numId w:val="21"/>
        </w:numPr>
        <w:ind w:left="426"/>
        <w:rPr>
          <w:rFonts w:ascii="Arial" w:hAnsi="Arial" w:eastAsia="Arial" w:cs="Arial"/>
        </w:rPr>
      </w:pPr>
      <w:r w:rsidRPr="001870C6">
        <w:rPr>
          <w:rFonts w:ascii="Arial" w:hAnsi="Arial" w:eastAsia="Arial" w:cs="Arial"/>
        </w:rPr>
        <w:t>The NTG also seeks to expand pathways for Territorians into medicine, nursing and allied</w:t>
      </w:r>
      <w:r>
        <w:rPr>
          <w:rFonts w:ascii="Arial" w:hAnsi="Arial" w:eastAsia="Arial" w:cs="Arial"/>
        </w:rPr>
        <w:t xml:space="preserve"> </w:t>
      </w:r>
      <w:r w:rsidRPr="001870C6">
        <w:rPr>
          <w:rFonts w:ascii="Arial" w:hAnsi="Arial" w:eastAsia="Arial" w:cs="Arial"/>
        </w:rPr>
        <w:t>health professions to strengthen the Territory's long-term health workforce capability.</w:t>
      </w:r>
    </w:p>
    <w:p w:rsidRPr="001870C6" w:rsidR="001870C6" w:rsidP="005023A8" w:rsidRDefault="001870C6" w14:paraId="11399D89" w14:textId="77777777">
      <w:pPr>
        <w:pStyle w:val="Heading3"/>
      </w:pPr>
      <w:r w:rsidRPr="001870C6">
        <w:lastRenderedPageBreak/>
        <w:t>Priority 3: International education and student attraction</w:t>
      </w:r>
    </w:p>
    <w:p w:rsidR="001870C6" w:rsidP="000432A0" w:rsidRDefault="001870C6" w14:paraId="240C121C" w14:textId="4A296124">
      <w:pPr>
        <w:pStyle w:val="ListParagraph"/>
        <w:numPr>
          <w:ilvl w:val="0"/>
          <w:numId w:val="21"/>
        </w:numPr>
        <w:ind w:left="426"/>
        <w:rPr>
          <w:rFonts w:ascii="Arial" w:hAnsi="Arial" w:eastAsia="Arial" w:cs="Arial"/>
        </w:rPr>
      </w:pPr>
      <w:r w:rsidRPr="001870C6">
        <w:rPr>
          <w:rFonts w:ascii="Arial" w:hAnsi="Arial" w:eastAsia="Arial" w:cs="Arial"/>
        </w:rPr>
        <w:t>The NTG views higher education as a vital trade export and a mechanism to address skilled workforce</w:t>
      </w:r>
      <w:r w:rsidR="00611BCE">
        <w:rPr>
          <w:rFonts w:ascii="Arial" w:hAnsi="Arial" w:eastAsia="Arial" w:cs="Arial"/>
        </w:rPr>
        <w:t> </w:t>
      </w:r>
      <w:r w:rsidRPr="001870C6">
        <w:rPr>
          <w:rFonts w:ascii="Arial" w:hAnsi="Arial" w:eastAsia="Arial" w:cs="Arial"/>
        </w:rPr>
        <w:t>shortages.</w:t>
      </w:r>
    </w:p>
    <w:p w:rsidRPr="001870C6" w:rsidR="001870C6" w:rsidP="000432A0" w:rsidRDefault="001870C6" w14:paraId="075244DC" w14:textId="07809649">
      <w:pPr>
        <w:pStyle w:val="ListParagraph"/>
        <w:numPr>
          <w:ilvl w:val="0"/>
          <w:numId w:val="21"/>
        </w:numPr>
        <w:ind w:left="426"/>
        <w:rPr>
          <w:rFonts w:ascii="Arial" w:hAnsi="Arial" w:eastAsia="Arial" w:cs="Arial"/>
        </w:rPr>
      </w:pPr>
      <w:r w:rsidRPr="001870C6">
        <w:rPr>
          <w:rFonts w:ascii="Arial" w:hAnsi="Arial" w:eastAsia="Arial" w:cs="Arial"/>
        </w:rPr>
        <w:t>Universities should support the Northern Territory's position as a competitive destination for international students, strengthening our position as a regional education hub and</w:t>
      </w:r>
      <w:r>
        <w:rPr>
          <w:rFonts w:ascii="Arial" w:hAnsi="Arial" w:eastAsia="Arial" w:cs="Arial"/>
        </w:rPr>
        <w:t xml:space="preserve"> </w:t>
      </w:r>
      <w:r w:rsidRPr="001870C6">
        <w:rPr>
          <w:rFonts w:ascii="Arial" w:hAnsi="Arial" w:eastAsia="Arial" w:cs="Arial"/>
        </w:rPr>
        <w:t>contributing to skilled migration pathways aligned with local workforce needs.</w:t>
      </w:r>
    </w:p>
    <w:p w:rsidRPr="001870C6" w:rsidR="001870C6" w:rsidP="005023A8" w:rsidRDefault="001870C6" w14:paraId="7A285D99" w14:textId="77777777">
      <w:pPr>
        <w:pStyle w:val="Heading3"/>
      </w:pPr>
      <w:r w:rsidRPr="001870C6">
        <w:t>Priority 4: Tertiary pathways leading to community safety</w:t>
      </w:r>
    </w:p>
    <w:p w:rsidR="001870C6" w:rsidP="000432A0" w:rsidRDefault="001870C6" w14:paraId="09329177" w14:textId="77777777">
      <w:pPr>
        <w:pStyle w:val="ListParagraph"/>
        <w:numPr>
          <w:ilvl w:val="0"/>
          <w:numId w:val="21"/>
        </w:numPr>
        <w:ind w:left="426"/>
        <w:rPr>
          <w:rFonts w:ascii="Arial" w:hAnsi="Arial" w:eastAsia="Arial" w:cs="Arial"/>
        </w:rPr>
      </w:pPr>
      <w:r w:rsidRPr="001870C6">
        <w:rPr>
          <w:rFonts w:ascii="Arial" w:hAnsi="Arial" w:eastAsia="Arial" w:cs="Arial"/>
        </w:rPr>
        <w:t>In alignment with the priority of reducing crime, the tertiary sector should play a role in early intervention, offering flexible enabling pathways and higher education options that integrate with Territory rehabilitation and diversion initiatives.</w:t>
      </w:r>
    </w:p>
    <w:p w:rsidR="3D15E27C" w:rsidP="000432A0" w:rsidRDefault="001870C6" w14:paraId="7B543054" w14:textId="44558B6D">
      <w:pPr>
        <w:pStyle w:val="ListParagraph"/>
        <w:numPr>
          <w:ilvl w:val="0"/>
          <w:numId w:val="21"/>
        </w:numPr>
        <w:ind w:left="426"/>
        <w:rPr>
          <w:rFonts w:ascii="Arial" w:hAnsi="Arial" w:eastAsia="Arial" w:cs="Arial"/>
        </w:rPr>
      </w:pPr>
      <w:r w:rsidRPr="001870C6">
        <w:rPr>
          <w:rFonts w:ascii="Arial" w:hAnsi="Arial" w:eastAsia="Arial" w:cs="Arial"/>
        </w:rPr>
        <w:t>Universities should incentivise engagement and completions for students from disadvantaged backgrounds. Providing culturally supportive pathways to learning for regional centres such as Alice Springs, Tennant Creek and Katherine, recognising that professional employment and regional economic participation are key drivers of crime</w:t>
      </w:r>
      <w:r>
        <w:rPr>
          <w:rFonts w:ascii="Arial" w:hAnsi="Arial" w:eastAsia="Arial" w:cs="Arial"/>
        </w:rPr>
        <w:t xml:space="preserve"> </w:t>
      </w:r>
      <w:r w:rsidRPr="001870C6">
        <w:rPr>
          <w:rFonts w:ascii="Arial" w:hAnsi="Arial" w:eastAsia="Arial" w:cs="Arial"/>
        </w:rPr>
        <w:t>reduction, community safety and the Territory's economic rebuild.</w:t>
      </w:r>
    </w:p>
    <w:sectPr w:rsidR="3D15E27C" w:rsidSect="00FE48F1">
      <w:pgSz w:w="11907" w:h="16839" w:orient="portrait" w:code="9"/>
      <w:pgMar w:top="1077" w:right="1134" w:bottom="1134" w:left="1134" w:header="567" w:footer="8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7187" w:rsidP="002B7185" w:rsidRDefault="00897187" w14:paraId="3B212E97" w14:textId="77777777">
      <w:r>
        <w:pict w14:anchorId="64A4454F">
          <v:rect id="_x0000_i1027" style="width:0;height:1.5pt" o:hr="t" o:hrstd="t" o:hralign="center" fillcolor="#a0a0a0" stroked="f"/>
        </w:pict>
      </w:r>
    </w:p>
  </w:endnote>
  <w:endnote w:type="continuationSeparator" w:id="0">
    <w:p w:rsidR="00897187" w:rsidP="002B7185" w:rsidRDefault="00897187" w14:paraId="79E1E60E" w14:textId="77777777">
      <w:r>
        <w:pict w14:anchorId="0D03E2A9">
          <v:rect id="_x0000_i1028" style="width:0;height:1.5pt" o:hr="t" o:hrstd="t" o:hralign="center" fillcolor="#a0a0a0" stroked="f"/>
        </w:pict>
      </w:r>
    </w:p>
  </w:endnote>
  <w:endnote w:type="continuationNotice" w:id="1">
    <w:p w:rsidR="00897187" w:rsidRDefault="00897187" w14:paraId="411C630F"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216468" w:rsidR="00216468" w:rsidP="00026F37" w:rsidRDefault="00216468" w14:paraId="2A183889" w14:textId="77777777">
    <w:pPr>
      <w:pStyle w:val="FooterLineBelow"/>
    </w:pPr>
  </w:p>
  <w:p w:rsidRPr="00B30BDC" w:rsidR="00257BE9" w:rsidP="00B30BDC" w:rsidRDefault="00026F37" w14:paraId="7E3DAB72" w14:textId="2D01DC78">
    <w:pPr>
      <w:pStyle w:val="Footer"/>
    </w:pPr>
    <w:r>
      <w:rPr>
        <w:noProof/>
      </w:rPr>
      <mc:AlternateContent>
        <mc:Choice Requires="wps">
          <w:drawing>
            <wp:inline distT="0" distB="0" distL="0" distR="0" wp14:anchorId="34F44CEB" wp14:editId="3B73BA64">
              <wp:extent cx="3646170" cy="396000"/>
              <wp:effectExtent l="0" t="0" r="11430" b="4445"/>
              <wp:docPr id="1481274879"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46170" cy="396000"/>
                      </a:xfrm>
                      <a:prstGeom prst="rect">
                        <a:avLst/>
                      </a:prstGeom>
                      <a:noFill/>
                      <a:ln w="6350">
                        <a:noFill/>
                      </a:ln>
                    </wps:spPr>
                    <wps:txbx>
                      <w:txbxContent>
                        <w:p w:rsidRPr="00625F4C" w:rsidR="00026F37" w:rsidP="00625F4C" w:rsidRDefault="00026F37" w14:paraId="22DD3153" w14:textId="0FC5D42A">
                          <w:pPr>
                            <w:pStyle w:val="Footer"/>
                          </w:pPr>
                          <w:r w:rsidRPr="00625F4C">
                            <w:t> | </w:t>
                          </w:r>
                          <w:r w:rsidRPr="00625F4C" w:rsidR="00625F4C">
                            <w:fldChar w:fldCharType="begin"/>
                          </w:r>
                          <w:r w:rsidRPr="00625F4C" w:rsidR="00625F4C">
                            <w:instrText xml:space="preserve"> PAGE  \# "00"</w:instrText>
                          </w:r>
                          <w:r w:rsidRPr="00625F4C" w:rsidR="00625F4C">
                            <w:fldChar w:fldCharType="separate"/>
                          </w:r>
                          <w:r w:rsidR="00625F4C">
                            <w:t>03</w:t>
                          </w:r>
                          <w:r w:rsidRPr="00625F4C" w:rsidR="00625F4C">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inline>
          </w:drawing>
        </mc:Choice>
        <mc:Fallback>
          <w:pict>
            <v:shapetype id="_x0000_t202" coordsize="21600,21600" o:spt="202" path="m,l,21600r21600,l21600,xe" w14:anchorId="34F44CEB">
              <v:stroke joinstyle="miter"/>
              <v:path gradientshapeok="t" o:connecttype="rect"/>
            </v:shapetype>
            <v:shape id="Text Box 5" style="width:287.1pt;height:31.2pt;visibility:visible;mso-wrap-style:square;mso-left-percent:-10001;mso-top-percent:-10001;mso-position-horizontal:absolute;mso-position-horizontal-relative:char;mso-position-vertical:absolute;mso-position-vertical-relative:line;mso-left-percent:-10001;mso-top-percent:-10001;v-text-anchor:bottom" alt="&quot;&quot;"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">
              <v:textbox inset="0,0,0,0">
                <w:txbxContent>
                  <w:p w:rsidRPr="00625F4C" w:rsidR="00026F37" w:rsidP="00625F4C" w:rsidRDefault="00026F37" w14:paraId="22DD3153" w14:textId="0FC5D42A">
                    <w:pPr>
                      <w:pStyle w:val="Footer"/>
                    </w:pPr>
                    <w:r w:rsidRPr="00625F4C">
                      <w:t> | </w:t>
                    </w:r>
                    <w:r w:rsidRPr="00625F4C" w:rsidR="00625F4C">
                      <w:fldChar w:fldCharType="begin"/>
                    </w:r>
                    <w:r w:rsidRPr="00625F4C" w:rsidR="00625F4C">
                      <w:instrText xml:space="preserve"> PAGE  \# "00"</w:instrText>
                    </w:r>
                    <w:r w:rsidRPr="00625F4C" w:rsidR="00625F4C">
                      <w:fldChar w:fldCharType="separate"/>
                    </w:r>
                    <w:r w:rsidR="00625F4C">
                      <w:t>03</w:t>
                    </w:r>
                    <w:r w:rsidRPr="00625F4C" w:rsidR="00625F4C">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26DC2" w:rsidR="00897187" w:rsidP="007A42F5" w:rsidRDefault="00897187" w14:paraId="2463E281" w14:textId="77777777">
      <w:pPr>
        <w:ind w:right="7370"/>
      </w:pPr>
      <w:r>
        <w:pict w14:anchorId="62A36531">
          <v:rect id="_x0000_i1025" style="width:0;height:1.5pt" o:hr="t" o:hrstd="t" o:hralign="center" fillcolor="#a0a0a0" stroked="f"/>
        </w:pict>
      </w:r>
    </w:p>
  </w:footnote>
  <w:footnote w:type="continuationSeparator" w:id="0">
    <w:p w:rsidR="00897187" w:rsidP="007A42F5" w:rsidRDefault="00897187" w14:paraId="27B7184F" w14:textId="77777777">
      <w:pPr>
        <w:ind w:right="7370"/>
      </w:pPr>
      <w:r>
        <w:pict w14:anchorId="316E0435">
          <v:rect id="_x0000_i1026" style="width:0;height:1.5pt" o:hr="t" o:hrstd="t" o:hralign="center" fillcolor="#a0a0a0" stroked="f"/>
        </w:pict>
      </w:r>
    </w:p>
  </w:footnote>
  <w:footnote w:type="continuationNotice" w:id="1">
    <w:p w:rsidR="00897187" w:rsidP="002B7185" w:rsidRDefault="00897187" w14:paraId="60460CB8" w14:textId="77777777"/>
  </w:footnote>
  <w:footnote w:id="2">
    <w:p w:rsidR="004C5F0B" w:rsidRDefault="004C5F0B" w14:paraId="60C0E034" w14:textId="0E925ED3">
      <w:pPr>
        <w:pStyle w:val="FootnoteText"/>
      </w:pPr>
      <w:r>
        <w:rPr>
          <w:rStyle w:val="FootnoteReference"/>
        </w:rPr>
        <w:footnoteRef/>
      </w:r>
      <w:r>
        <w:t xml:space="preserve"> </w:t>
      </w:r>
      <w:r w:rsidR="0048430B">
        <w:t xml:space="preserve">Available at </w:t>
      </w:r>
      <w:r w:rsidR="00764FFC">
        <w:t>&lt;</w:t>
      </w:r>
      <w:hyperlink w:history="1" r:id="rId1">
        <w:r w:rsidRPr="00764FFC" w:rsidR="00764FFC">
          <w:rPr>
            <w:rStyle w:val="Hyperlink"/>
          </w:rPr>
          <w:t>https://www.dewr.gov.au/national-skills-agreement/national-skills-plan</w:t>
        </w:r>
      </w:hyperlink>
      <w:r w:rsidR="00764FFC">
        <w:rPr>
          <w:u w:color="009364" w:themeColor="accent2"/>
        </w:rPr>
        <w:t xml:space="preserve">&gt;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115DE" w:rsidR="00D91D02" w:rsidP="00331B78" w:rsidRDefault="00D91D02" w14:paraId="472D252D" w14:textId="77777777">
    <w:pPr>
      <w:pStyle w:val="Header"/>
      <w:tabs>
        <w:tab w:val="clear" w:pos="1860"/>
        <w:tab w:val="clear" w:pos="2730"/>
        <w:tab w:val="left" w:pos="24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02D"/>
    <w:multiLevelType w:val="hybridMultilevel"/>
    <w:tmpl w:val="D21AB4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27113F"/>
    <w:multiLevelType w:val="hybridMultilevel"/>
    <w:tmpl w:val="977E6BC6"/>
    <w:lvl w:ilvl="0" w:tplc="12906E0C">
      <w:numFmt w:val="bullet"/>
      <w:lvlText w:val="•"/>
      <w:lvlJc w:val="left"/>
      <w:pPr>
        <w:ind w:left="720" w:hanging="360"/>
      </w:pPr>
      <w:rPr>
        <w:rFonts w:hint="default" w:ascii="Arial" w:hAnsi="Arial" w:eastAsia="Arial"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4C35743"/>
    <w:multiLevelType w:val="multilevel"/>
    <w:tmpl w:val="00A29E5C"/>
    <w:styleLink w:val="LstLegalNumbering"/>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701" w:hanging="737"/>
      </w:pPr>
      <w:rPr>
        <w:rFonts w:hint="default"/>
      </w:rPr>
    </w:lvl>
    <w:lvl w:ilvl="3">
      <w:start w:val="1"/>
      <w:numFmt w:val="decimal"/>
      <w:pStyle w:val="ListNumber4"/>
      <w:lvlText w:val="%1.%2.%3.%4"/>
      <w:lvlJc w:val="left"/>
      <w:pPr>
        <w:ind w:left="2665" w:hanging="964"/>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 w15:restartNumberingAfterBreak="0">
    <w:nsid w:val="0B3C3F52"/>
    <w:multiLevelType w:val="multilevel"/>
    <w:tmpl w:val="13F4C276"/>
    <w:lvl w:ilvl="0">
      <w:start w:val="1"/>
      <w:numFmt w:val="decimal"/>
      <w:pStyle w:val="NotesNumbered"/>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hint="default" w:ascii="Symbol" w:hAnsi="Symbol"/>
        <w:color w:val="auto"/>
      </w:rPr>
    </w:lvl>
    <w:lvl w:ilvl="1">
      <w:start w:val="1"/>
      <w:numFmt w:val="bullet"/>
      <w:lvlText w:val="–"/>
      <w:lvlJc w:val="left"/>
      <w:pPr>
        <w:ind w:left="454" w:hanging="170"/>
      </w:pPr>
      <w:rPr>
        <w:rFonts w:hint="default" w:ascii="Georgia" w:hAnsi="Georgia"/>
        <w:color w:val="auto"/>
      </w:rPr>
    </w:lvl>
    <w:lvl w:ilvl="2">
      <w:start w:val="1"/>
      <w:numFmt w:val="bullet"/>
      <w:lvlText w:val="o"/>
      <w:lvlJc w:val="left"/>
      <w:pPr>
        <w:tabs>
          <w:tab w:val="num" w:pos="454"/>
        </w:tabs>
        <w:ind w:left="624" w:hanging="170"/>
      </w:pPr>
      <w:rPr>
        <w:rFonts w:hint="default" w:ascii="Courier New" w:hAnsi="Courier New"/>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114240C3"/>
    <w:multiLevelType w:val="hybridMultilevel"/>
    <w:tmpl w:val="08446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563751"/>
    <w:multiLevelType w:val="multilevel"/>
    <w:tmpl w:val="A6F21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hint="default"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1032" w:themeColor="text2"/>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hint="default" w:ascii="Arial" w:hAnsi="Arial"/>
        <w:b w:val="0"/>
        <w:i w:val="0"/>
        <w:color w:val="001032" w:themeColor="text2"/>
        <w:position w:val="2"/>
        <w:sz w:val="20"/>
      </w:rPr>
    </w:lvl>
    <w:lvl w:ilvl="2">
      <w:start w:val="1"/>
      <w:numFmt w:val="bullet"/>
      <w:lvlText w:val="–"/>
      <w:lvlJc w:val="left"/>
      <w:pPr>
        <w:tabs>
          <w:tab w:val="num" w:pos="1361"/>
        </w:tabs>
        <w:ind w:left="1361" w:hanging="340"/>
      </w:pPr>
      <w:rPr>
        <w:rFonts w:hint="default" w:ascii="Arial" w:hAnsi="Arial"/>
        <w:color w:val="00103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FF52668"/>
    <w:multiLevelType w:val="multilevel"/>
    <w:tmpl w:val="A4F832D2"/>
    <w:styleLink w:val="Lst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0" w15:restartNumberingAfterBreak="0">
    <w:nsid w:val="233E2EE7"/>
    <w:multiLevelType w:val="hybridMultilevel"/>
    <w:tmpl w:val="24542F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5B418BC"/>
    <w:multiLevelType w:val="hybridMultilevel"/>
    <w:tmpl w:val="1688B318"/>
    <w:lvl w:ilvl="0" w:tplc="12906E0C">
      <w:numFmt w:val="bullet"/>
      <w:lvlText w:val="•"/>
      <w:lvlJc w:val="left"/>
      <w:pPr>
        <w:ind w:left="720" w:hanging="360"/>
      </w:pPr>
      <w:rPr>
        <w:rFonts w:hint="default" w:ascii="Arial" w:hAnsi="Arial" w:eastAsia="Arial"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7C445F5"/>
    <w:multiLevelType w:val="multilevel"/>
    <w:tmpl w:val="4972262A"/>
    <w:styleLink w:val="HangingList"/>
    <w:lvl w:ilvl="0">
      <w:start w:val="1"/>
      <w:numFmt w:val="none"/>
      <w:pStyle w:val="ListContinue"/>
      <w:suff w:val="nothing"/>
      <w:lvlText w:val=""/>
      <w:lvlJc w:val="left"/>
      <w:pPr>
        <w:ind w:left="794" w:hanging="397"/>
      </w:pPr>
      <w:rPr>
        <w:rFonts w:hint="default"/>
      </w:rPr>
    </w:lvl>
    <w:lvl w:ilvl="1">
      <w:start w:val="1"/>
      <w:numFmt w:val="none"/>
      <w:pStyle w:val="ListContinue2"/>
      <w:suff w:val="nothing"/>
      <w:lvlText w:val=""/>
      <w:lvlJc w:val="left"/>
      <w:pPr>
        <w:ind w:left="1191" w:hanging="397"/>
      </w:pPr>
      <w:rPr>
        <w:rFonts w:hint="default"/>
      </w:rPr>
    </w:lvl>
    <w:lvl w:ilvl="2">
      <w:start w:val="1"/>
      <w:numFmt w:val="none"/>
      <w:pStyle w:val="ListContinue3"/>
      <w:suff w:val="nothing"/>
      <w:lvlText w:val=""/>
      <w:lvlJc w:val="left"/>
      <w:pPr>
        <w:ind w:left="1588" w:hanging="397"/>
      </w:pPr>
      <w:rPr>
        <w:rFonts w:hint="default"/>
      </w:rPr>
    </w:lvl>
    <w:lvl w:ilvl="3">
      <w:start w:val="1"/>
      <w:numFmt w:val="none"/>
      <w:suff w:val="nothing"/>
      <w:lvlText w:val=""/>
      <w:lvlJc w:val="left"/>
      <w:pPr>
        <w:ind w:left="1985" w:hanging="397"/>
      </w:pPr>
      <w:rPr>
        <w:rFonts w:hint="default"/>
      </w:rPr>
    </w:lvl>
    <w:lvl w:ilvl="4">
      <w:start w:val="1"/>
      <w:numFmt w:val="none"/>
      <w:suff w:val="nothing"/>
      <w:lvlText w:val=""/>
      <w:lvlJc w:val="left"/>
      <w:pPr>
        <w:ind w:left="2382" w:hanging="397"/>
      </w:pPr>
      <w:rPr>
        <w:rFonts w:hint="default"/>
      </w:rPr>
    </w:lvl>
    <w:lvl w:ilvl="5">
      <w:start w:val="1"/>
      <w:numFmt w:val="none"/>
      <w:suff w:val="nothing"/>
      <w:lvlText w:val=""/>
      <w:lvlJc w:val="left"/>
      <w:pPr>
        <w:ind w:left="2779" w:hanging="397"/>
      </w:pPr>
      <w:rPr>
        <w:rFonts w:hint="default"/>
      </w:rPr>
    </w:lvl>
    <w:lvl w:ilvl="6">
      <w:start w:val="1"/>
      <w:numFmt w:val="none"/>
      <w:suff w:val="nothing"/>
      <w:lvlText w:val=""/>
      <w:lvlJc w:val="left"/>
      <w:pPr>
        <w:ind w:left="3176" w:hanging="397"/>
      </w:pPr>
      <w:rPr>
        <w:rFonts w:hint="default"/>
      </w:rPr>
    </w:lvl>
    <w:lvl w:ilvl="7">
      <w:start w:val="1"/>
      <w:numFmt w:val="none"/>
      <w:suff w:val="nothing"/>
      <w:lvlText w:val=""/>
      <w:lvlJc w:val="left"/>
      <w:pPr>
        <w:ind w:left="3573" w:hanging="397"/>
      </w:pPr>
      <w:rPr>
        <w:rFonts w:hint="default"/>
      </w:rPr>
    </w:lvl>
    <w:lvl w:ilvl="8">
      <w:start w:val="1"/>
      <w:numFmt w:val="none"/>
      <w:suff w:val="nothing"/>
      <w:lvlText w:val=""/>
      <w:lvlJc w:val="left"/>
      <w:pPr>
        <w:ind w:left="3970" w:hanging="397"/>
      </w:pPr>
      <w:rPr>
        <w:rFonts w:hint="default"/>
      </w:rPr>
    </w:lvl>
  </w:abstractNum>
  <w:abstractNum w:abstractNumId="13" w15:restartNumberingAfterBreak="0">
    <w:nsid w:val="28E92CC8"/>
    <w:multiLevelType w:val="multilevel"/>
    <w:tmpl w:val="C366AC72"/>
    <w:lvl w:ilvl="0">
      <w:start w:val="1"/>
      <w:numFmt w:val="none"/>
      <w:pStyle w:val="Source"/>
      <w:suff w:val="space"/>
      <w:lvlText w:val="%1Source:"/>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CF623DA"/>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3927AF"/>
    <w:multiLevelType w:val="multilevel"/>
    <w:tmpl w:val="4972262A"/>
    <w:numStyleLink w:val="HangingList"/>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2D666F4"/>
    <w:multiLevelType w:val="hybridMultilevel"/>
    <w:tmpl w:val="1E0ADE96"/>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B66643"/>
    <w:multiLevelType w:val="multilevel"/>
    <w:tmpl w:val="F736735C"/>
    <w:numStyleLink w:val="LstAlpha"/>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hint="default" w:ascii="Wingdings" w:hAnsi="Wingdings"/>
        <w:color w:val="auto"/>
        <w:sz w:val="18"/>
      </w:rPr>
    </w:lvl>
    <w:lvl w:ilvl="1">
      <w:start w:val="1"/>
      <w:numFmt w:val="bullet"/>
      <w:lvlText w:val="–"/>
      <w:lvlJc w:val="left"/>
      <w:pPr>
        <w:tabs>
          <w:tab w:val="num" w:pos="964"/>
        </w:tabs>
        <w:ind w:left="964" w:hanging="340"/>
      </w:pPr>
      <w:rPr>
        <w:rFonts w:hint="default" w:ascii="Arial" w:hAnsi="Arial"/>
        <w:color w:val="auto"/>
      </w:rPr>
    </w:lvl>
    <w:lvl w:ilvl="2">
      <w:start w:val="1"/>
      <w:numFmt w:val="bullet"/>
      <w:lvlText w:val=""/>
      <w:lvlJc w:val="left"/>
      <w:pPr>
        <w:tabs>
          <w:tab w:val="num" w:pos="1304"/>
        </w:tabs>
        <w:ind w:left="1304" w:hanging="340"/>
      </w:pPr>
      <w:rPr>
        <w:rFonts w:hint="default" w:ascii="Symbol" w:hAnsi="Symbol"/>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01032"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01032"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01032"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3246CDA"/>
    <w:multiLevelType w:val="multilevel"/>
    <w:tmpl w:val="F736735C"/>
    <w:styleLink w:val="LstAlpha"/>
    <w:lvl w:ilvl="0">
      <w:start w:val="1"/>
      <w:numFmt w:val="lowerLetter"/>
      <w:pStyle w:val="ListAlpha"/>
      <w:lvlText w:val="%1."/>
      <w:lvlJc w:val="left"/>
      <w:pPr>
        <w:ind w:left="397" w:hanging="397"/>
      </w:pPr>
      <w:rPr>
        <w:rFonts w:hint="default"/>
      </w:rPr>
    </w:lvl>
    <w:lvl w:ilvl="1">
      <w:start w:val="1"/>
      <w:numFmt w:val="none"/>
      <w:lvlText w:val="%2"/>
      <w:lvlJc w:val="left"/>
      <w:pPr>
        <w:ind w:left="794" w:hanging="397"/>
      </w:pPr>
      <w:rPr>
        <w:rFonts w:hint="default"/>
      </w:rPr>
    </w:lvl>
    <w:lvl w:ilvl="2">
      <w:start w:val="1"/>
      <w:numFmt w:val="none"/>
      <w:lvlText w:val="%3"/>
      <w:lvlJc w:val="left"/>
      <w:pPr>
        <w:ind w:left="1191" w:hanging="397"/>
      </w:pPr>
      <w:rPr>
        <w:rFonts w:hint="default"/>
      </w:rPr>
    </w:lvl>
    <w:lvl w:ilvl="3">
      <w:start w:val="1"/>
      <w:numFmt w:val="none"/>
      <w:lvlText w:val="%4"/>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6"/>
      <w:lvlJc w:val="right"/>
      <w:pPr>
        <w:ind w:left="2382" w:hanging="397"/>
      </w:pPr>
      <w:rPr>
        <w:rFonts w:hint="default"/>
      </w:rPr>
    </w:lvl>
    <w:lvl w:ilvl="6">
      <w:start w:val="1"/>
      <w:numFmt w:val="none"/>
      <w:lvlText w:val="%7"/>
      <w:lvlJc w:val="left"/>
      <w:pPr>
        <w:ind w:left="2779" w:hanging="397"/>
      </w:pPr>
      <w:rPr>
        <w:rFonts w:hint="default"/>
      </w:rPr>
    </w:lvl>
    <w:lvl w:ilvl="7">
      <w:start w:val="1"/>
      <w:numFmt w:val="none"/>
      <w:lvlText w:val="%8"/>
      <w:lvlJc w:val="left"/>
      <w:pPr>
        <w:ind w:left="3176" w:hanging="397"/>
      </w:pPr>
      <w:rPr>
        <w:rFonts w:hint="default"/>
      </w:rPr>
    </w:lvl>
    <w:lvl w:ilvl="8">
      <w:start w:val="1"/>
      <w:numFmt w:val="none"/>
      <w:lvlText w:val="%9"/>
      <w:lvlJc w:val="right"/>
      <w:pPr>
        <w:ind w:left="3573" w:hanging="397"/>
      </w:pPr>
      <w:rPr>
        <w:rFonts w:hint="default"/>
      </w:rPr>
    </w:lvl>
  </w:abstractNum>
  <w:abstractNum w:abstractNumId="25" w15:restartNumberingAfterBreak="0">
    <w:nsid w:val="4A501F53"/>
    <w:multiLevelType w:val="hybridMultilevel"/>
    <w:tmpl w:val="4EC69C2E"/>
    <w:lvl w:ilvl="0" w:tplc="12906E0C">
      <w:numFmt w:val="bullet"/>
      <w:lvlText w:val="•"/>
      <w:lvlJc w:val="left"/>
      <w:pPr>
        <w:ind w:left="720" w:hanging="360"/>
      </w:pPr>
      <w:rPr>
        <w:rFonts w:hint="default" w:ascii="Arial" w:hAnsi="Arial" w:eastAsia="Arial"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4AA27F2E"/>
    <w:multiLevelType w:val="multilevel"/>
    <w:tmpl w:val="BD3E64C2"/>
    <w:name w:val="Bullets"/>
    <w:lvl w:ilvl="0">
      <w:start w:val="1"/>
      <w:numFmt w:val="bullet"/>
      <w:lvlText w:val="•"/>
      <w:lvlJc w:val="left"/>
      <w:pPr>
        <w:ind w:left="397" w:hanging="397"/>
      </w:pPr>
      <w:rPr>
        <w:rFonts w:hint="default" w:ascii="Arial" w:hAnsi="Arial"/>
      </w:rPr>
    </w:lvl>
    <w:lvl w:ilvl="1">
      <w:start w:val="1"/>
      <w:numFmt w:val="bullet"/>
      <w:lvlText w:val="-"/>
      <w:lvlJc w:val="left"/>
      <w:pPr>
        <w:ind w:left="794" w:hanging="397"/>
      </w:pPr>
      <w:rPr>
        <w:rFonts w:hint="default" w:ascii="Arial" w:hAnsi="Arial"/>
      </w:rPr>
    </w:lvl>
    <w:lvl w:ilvl="2">
      <w:start w:val="1"/>
      <w:numFmt w:val="bullet"/>
      <w:lvlText w:val="◦"/>
      <w:lvlJc w:val="left"/>
      <w:pPr>
        <w:ind w:left="1191" w:hanging="397"/>
      </w:pPr>
      <w:rPr>
        <w:rFonts w:hint="default" w:ascii="Arial" w:hAnsi="Arial"/>
      </w:rPr>
    </w:lvl>
    <w:lvl w:ilvl="3">
      <w:start w:val="1"/>
      <w:numFmt w:val="bullet"/>
      <w:lvlText w:val="▪"/>
      <w:lvlJc w:val="left"/>
      <w:pPr>
        <w:ind w:left="1588" w:hanging="397"/>
      </w:pPr>
      <w:rPr>
        <w:rFonts w:hint="default" w:ascii="Arial" w:hAnsi="Arial"/>
      </w:rPr>
    </w:lvl>
    <w:lvl w:ilvl="4">
      <w:start w:val="1"/>
      <w:numFmt w:val="bullet"/>
      <w:lvlText w:val="o"/>
      <w:lvlJc w:val="left"/>
      <w:pPr>
        <w:tabs>
          <w:tab w:val="num" w:pos="2155"/>
        </w:tabs>
        <w:ind w:left="1985" w:hanging="397"/>
      </w:pPr>
      <w:rPr>
        <w:rFonts w:hint="default" w:ascii="Courier New" w:hAnsi="Courier New" w:cs="Courier New"/>
      </w:rPr>
    </w:lvl>
    <w:lvl w:ilvl="5">
      <w:start w:val="1"/>
      <w:numFmt w:val="bullet"/>
      <w:lvlText w:val=""/>
      <w:lvlJc w:val="left"/>
      <w:pPr>
        <w:tabs>
          <w:tab w:val="num" w:pos="2552"/>
        </w:tabs>
        <w:ind w:left="2382" w:hanging="397"/>
      </w:pPr>
      <w:rPr>
        <w:rFonts w:hint="default" w:ascii="Wingdings" w:hAnsi="Wingdings"/>
      </w:rPr>
    </w:lvl>
    <w:lvl w:ilvl="6">
      <w:start w:val="1"/>
      <w:numFmt w:val="bullet"/>
      <w:lvlText w:val=""/>
      <w:lvlJc w:val="left"/>
      <w:pPr>
        <w:tabs>
          <w:tab w:val="num" w:pos="2949"/>
        </w:tabs>
        <w:ind w:left="2779" w:hanging="397"/>
      </w:pPr>
      <w:rPr>
        <w:rFonts w:hint="default" w:ascii="Symbol" w:hAnsi="Symbol"/>
      </w:rPr>
    </w:lvl>
    <w:lvl w:ilvl="7">
      <w:start w:val="1"/>
      <w:numFmt w:val="bullet"/>
      <w:lvlText w:val="o"/>
      <w:lvlJc w:val="left"/>
      <w:pPr>
        <w:tabs>
          <w:tab w:val="num" w:pos="3346"/>
        </w:tabs>
        <w:ind w:left="3176" w:hanging="397"/>
      </w:pPr>
      <w:rPr>
        <w:rFonts w:hint="default" w:ascii="Courier New" w:hAnsi="Courier New" w:cs="Courier New"/>
      </w:rPr>
    </w:lvl>
    <w:lvl w:ilvl="8">
      <w:start w:val="1"/>
      <w:numFmt w:val="bullet"/>
      <w:lvlText w:val=""/>
      <w:lvlJc w:val="left"/>
      <w:pPr>
        <w:tabs>
          <w:tab w:val="num" w:pos="3743"/>
        </w:tabs>
        <w:ind w:left="3573" w:hanging="397"/>
      </w:pPr>
      <w:rPr>
        <w:rFonts w:hint="default" w:ascii="Wingdings" w:hAnsi="Wingdings"/>
      </w:rPr>
    </w:lvl>
  </w:abstractNum>
  <w:abstractNum w:abstractNumId="27" w15:restartNumberingAfterBreak="0">
    <w:nsid w:val="4C7F75DB"/>
    <w:multiLevelType w:val="hybridMultilevel"/>
    <w:tmpl w:val="8496E1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CC77DA"/>
    <w:multiLevelType w:val="hybridMultilevel"/>
    <w:tmpl w:val="8228D3DC"/>
    <w:lvl w:ilvl="0" w:tplc="0C090001">
      <w:numFmt w:val="bullet"/>
      <w:lvlText w:val=""/>
      <w:lvlJc w:val="left"/>
      <w:pPr>
        <w:ind w:left="720" w:hanging="360"/>
      </w:pPr>
      <w:rPr>
        <w:rFonts w:hint="default" w:ascii="Symbol" w:hAnsi="Symbol" w:eastAsia="Times New Roman"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4E380AB1"/>
    <w:multiLevelType w:val="multilevel"/>
    <w:tmpl w:val="ECEE2290"/>
    <w:numStyleLink w:val="LstStandardNumbering"/>
  </w:abstractNum>
  <w:abstractNum w:abstractNumId="3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1"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680327F"/>
    <w:multiLevelType w:val="multilevel"/>
    <w:tmpl w:val="5540E618"/>
    <w:styleLink w:val="LstBullets"/>
    <w:lvl w:ilvl="0">
      <w:start w:val="1"/>
      <w:numFmt w:val="bullet"/>
      <w:pStyle w:val="ListBullet"/>
      <w:lvlText w:val="•"/>
      <w:lvlJc w:val="left"/>
      <w:pPr>
        <w:ind w:left="397" w:hanging="397"/>
      </w:pPr>
      <w:rPr>
        <w:rFonts w:hint="default" w:ascii="Arial" w:hAnsi="Arial"/>
      </w:rPr>
    </w:lvl>
    <w:lvl w:ilvl="1">
      <w:start w:val="1"/>
      <w:numFmt w:val="bullet"/>
      <w:pStyle w:val="ListBullet2"/>
      <w:lvlText w:val="-"/>
      <w:lvlJc w:val="left"/>
      <w:pPr>
        <w:ind w:left="794" w:hanging="397"/>
      </w:pPr>
      <w:rPr>
        <w:rFonts w:hint="default" w:ascii="Arial" w:hAnsi="Arial"/>
      </w:rPr>
    </w:lvl>
    <w:lvl w:ilvl="2">
      <w:start w:val="1"/>
      <w:numFmt w:val="bullet"/>
      <w:pStyle w:val="ListBullet3"/>
      <w:lvlText w:val="◦"/>
      <w:lvlJc w:val="left"/>
      <w:pPr>
        <w:ind w:left="1191" w:hanging="397"/>
      </w:pPr>
      <w:rPr>
        <w:rFonts w:hint="default" w:ascii="Arial" w:hAnsi="Arial"/>
      </w:rPr>
    </w:lvl>
    <w:lvl w:ilvl="3">
      <w:start w:val="1"/>
      <w:numFmt w:val="bullet"/>
      <w:pStyle w:val="ListBullet4"/>
      <w:lvlText w:val="▪"/>
      <w:lvlJc w:val="left"/>
      <w:pPr>
        <w:ind w:left="1588" w:hanging="397"/>
      </w:pPr>
      <w:rPr>
        <w:rFonts w:hint="default" w:ascii="Arial" w:hAnsi="Arial"/>
      </w:rPr>
    </w:lvl>
    <w:lvl w:ilvl="4">
      <w:start w:val="1"/>
      <w:numFmt w:val="bullet"/>
      <w:lvlText w:val="o"/>
      <w:lvlJc w:val="left"/>
      <w:pPr>
        <w:tabs>
          <w:tab w:val="num" w:pos="2155"/>
        </w:tabs>
        <w:ind w:left="1985" w:hanging="397"/>
      </w:pPr>
      <w:rPr>
        <w:rFonts w:hint="default" w:ascii="Courier New" w:hAnsi="Courier New" w:cs="Courier New"/>
      </w:rPr>
    </w:lvl>
    <w:lvl w:ilvl="5">
      <w:start w:val="1"/>
      <w:numFmt w:val="bullet"/>
      <w:lvlText w:val=""/>
      <w:lvlJc w:val="left"/>
      <w:pPr>
        <w:tabs>
          <w:tab w:val="num" w:pos="2552"/>
        </w:tabs>
        <w:ind w:left="2382" w:hanging="397"/>
      </w:pPr>
      <w:rPr>
        <w:rFonts w:hint="default" w:ascii="Wingdings" w:hAnsi="Wingdings"/>
      </w:rPr>
    </w:lvl>
    <w:lvl w:ilvl="6">
      <w:start w:val="1"/>
      <w:numFmt w:val="bullet"/>
      <w:lvlText w:val=""/>
      <w:lvlJc w:val="left"/>
      <w:pPr>
        <w:tabs>
          <w:tab w:val="num" w:pos="2949"/>
        </w:tabs>
        <w:ind w:left="2779" w:hanging="397"/>
      </w:pPr>
      <w:rPr>
        <w:rFonts w:hint="default" w:ascii="Symbol" w:hAnsi="Symbol"/>
      </w:rPr>
    </w:lvl>
    <w:lvl w:ilvl="7">
      <w:start w:val="1"/>
      <w:numFmt w:val="bullet"/>
      <w:lvlText w:val="o"/>
      <w:lvlJc w:val="left"/>
      <w:pPr>
        <w:tabs>
          <w:tab w:val="num" w:pos="3346"/>
        </w:tabs>
        <w:ind w:left="3176" w:hanging="397"/>
      </w:pPr>
      <w:rPr>
        <w:rFonts w:hint="default" w:ascii="Courier New" w:hAnsi="Courier New" w:cs="Courier New"/>
      </w:rPr>
    </w:lvl>
    <w:lvl w:ilvl="8">
      <w:start w:val="1"/>
      <w:numFmt w:val="bullet"/>
      <w:lvlText w:val=""/>
      <w:lvlJc w:val="left"/>
      <w:pPr>
        <w:tabs>
          <w:tab w:val="num" w:pos="3743"/>
        </w:tabs>
        <w:ind w:left="3573" w:hanging="397"/>
      </w:pPr>
      <w:rPr>
        <w:rFonts w:hint="default" w:ascii="Wingdings" w:hAnsi="Wingdings"/>
      </w:rPr>
    </w:lvl>
  </w:abstractNum>
  <w:abstractNum w:abstractNumId="33" w15:restartNumberingAfterBreak="0">
    <w:nsid w:val="58480CD8"/>
    <w:multiLevelType w:val="hybridMultilevel"/>
    <w:tmpl w:val="3DE029E8"/>
    <w:lvl w:ilvl="0" w:tplc="0C090001">
      <w:numFmt w:val="bullet"/>
      <w:lvlText w:val=""/>
      <w:lvlJc w:val="left"/>
      <w:pPr>
        <w:ind w:left="720" w:hanging="360"/>
      </w:pPr>
      <w:rPr>
        <w:rFonts w:hint="default" w:ascii="Symbol" w:hAnsi="Symbol" w:eastAsia="Times New Roman"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9B82888"/>
    <w:multiLevelType w:val="multilevel"/>
    <w:tmpl w:val="5540E618"/>
    <w:numStyleLink w:val="LstBullets"/>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hint="default" w:asciiTheme="majorHAnsi" w:hAnsiTheme="majorHAnsi"/>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9" w15:restartNumberingAfterBreak="0">
    <w:nsid w:val="5F8C39B4"/>
    <w:multiLevelType w:val="hybridMultilevel"/>
    <w:tmpl w:val="074EB5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01310FE"/>
    <w:multiLevelType w:val="hybridMultilevel"/>
    <w:tmpl w:val="22E05856"/>
    <w:lvl w:ilvl="0" w:tplc="12906E0C">
      <w:numFmt w:val="bullet"/>
      <w:lvlText w:val="•"/>
      <w:lvlJc w:val="left"/>
      <w:pPr>
        <w:ind w:left="720" w:hanging="360"/>
      </w:pPr>
      <w:rPr>
        <w:rFonts w:hint="default" w:ascii="Arial" w:hAnsi="Arial" w:eastAsia="Arial"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61387C37"/>
    <w:multiLevelType w:val="multilevel"/>
    <w:tmpl w:val="ECEE2290"/>
    <w:styleLink w:val="LstStandardNumbering"/>
    <w:lvl w:ilvl="0">
      <w:start w:val="1"/>
      <w:numFmt w:val="decimal"/>
      <w:pStyle w:val="List"/>
      <w:lvlText w:val="%1."/>
      <w:lvlJc w:val="left"/>
      <w:pPr>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hint="default" w:ascii="Arial" w:hAnsi="Arial"/>
      </w:rPr>
    </w:lvl>
    <w:lvl w:ilvl="4">
      <w:start w:val="1"/>
      <w:numFmt w:val="bullet"/>
      <w:lvlText w:val="o"/>
      <w:lvlJc w:val="left"/>
      <w:pPr>
        <w:ind w:left="1985" w:hanging="397"/>
      </w:pPr>
      <w:rPr>
        <w:rFonts w:hint="default" w:ascii="Courier New" w:hAnsi="Courier New"/>
      </w:rPr>
    </w:lvl>
    <w:lvl w:ilvl="5">
      <w:start w:val="1"/>
      <w:numFmt w:val="bullet"/>
      <w:lvlText w:val=""/>
      <w:lvlJc w:val="left"/>
      <w:pPr>
        <w:ind w:left="2382" w:hanging="397"/>
      </w:pPr>
      <w:rPr>
        <w:rFonts w:hint="default" w:ascii="Wingdings" w:hAnsi="Wingdings"/>
      </w:rPr>
    </w:lvl>
    <w:lvl w:ilvl="6">
      <w:start w:val="1"/>
      <w:numFmt w:val="bullet"/>
      <w:lvlText w:val=""/>
      <w:lvlJc w:val="left"/>
      <w:pPr>
        <w:ind w:left="2779" w:hanging="397"/>
      </w:pPr>
      <w:rPr>
        <w:rFonts w:hint="default" w:ascii="Symbol" w:hAnsi="Symbol"/>
      </w:rPr>
    </w:lvl>
    <w:lvl w:ilvl="7">
      <w:start w:val="1"/>
      <w:numFmt w:val="bullet"/>
      <w:lvlText w:val="o"/>
      <w:lvlJc w:val="left"/>
      <w:pPr>
        <w:ind w:left="3176" w:hanging="397"/>
      </w:pPr>
      <w:rPr>
        <w:rFonts w:hint="default" w:ascii="Courier New" w:hAnsi="Courier New"/>
      </w:rPr>
    </w:lvl>
    <w:lvl w:ilvl="8">
      <w:start w:val="1"/>
      <w:numFmt w:val="bullet"/>
      <w:lvlText w:val=""/>
      <w:lvlJc w:val="left"/>
      <w:pPr>
        <w:ind w:left="3573" w:hanging="397"/>
      </w:pPr>
      <w:rPr>
        <w:rFonts w:hint="default" w:ascii="Wingdings" w:hAnsi="Wingdings"/>
      </w:rPr>
    </w:lvl>
  </w:abstractNum>
  <w:abstractNum w:abstractNumId="42" w15:restartNumberingAfterBreak="0">
    <w:nsid w:val="635C0D07"/>
    <w:multiLevelType w:val="multilevel"/>
    <w:tmpl w:val="019052F2"/>
    <w:name w:val="Table Bullets"/>
    <w:lvl w:ilvl="0">
      <w:start w:val="1"/>
      <w:numFmt w:val="bullet"/>
      <w:lvlText w:val="·"/>
      <w:lvlJc w:val="left"/>
      <w:pPr>
        <w:ind w:left="312" w:hanging="227"/>
      </w:pPr>
      <w:rPr>
        <w:rFonts w:hint="default" w:ascii="Symbol" w:hAnsi="Symbol"/>
        <w:color w:val="001032" w:themeColor="text2"/>
      </w:rPr>
    </w:lvl>
    <w:lvl w:ilvl="1">
      <w:start w:val="1"/>
      <w:numFmt w:val="bullet"/>
      <w:lvlText w:val="–"/>
      <w:lvlJc w:val="left"/>
      <w:pPr>
        <w:ind w:left="539" w:hanging="227"/>
      </w:pPr>
      <w:rPr>
        <w:rFonts w:hint="default" w:ascii="Arial" w:hAnsi="Arial"/>
        <w:color w:val="001032" w:themeColor="text2"/>
      </w:rPr>
    </w:lvl>
    <w:lvl w:ilvl="2">
      <w:start w:val="1"/>
      <w:numFmt w:val="bullet"/>
      <w:lvlText w:val=""/>
      <w:lvlJc w:val="left"/>
      <w:pPr>
        <w:ind w:left="766" w:hanging="227"/>
      </w:pPr>
      <w:rPr>
        <w:rFonts w:hint="default" w:ascii="Wingdings" w:hAnsi="Wingdings"/>
      </w:rPr>
    </w:lvl>
    <w:lvl w:ilvl="3">
      <w:start w:val="1"/>
      <w:numFmt w:val="bullet"/>
      <w:lvlText w:val=""/>
      <w:lvlJc w:val="left"/>
      <w:pPr>
        <w:ind w:left="993" w:hanging="227"/>
      </w:pPr>
      <w:rPr>
        <w:rFonts w:hint="default" w:ascii="Symbol" w:hAnsi="Symbol"/>
      </w:rPr>
    </w:lvl>
    <w:lvl w:ilvl="4">
      <w:start w:val="1"/>
      <w:numFmt w:val="bullet"/>
      <w:lvlText w:val="o"/>
      <w:lvlJc w:val="left"/>
      <w:pPr>
        <w:ind w:left="1220" w:hanging="227"/>
      </w:pPr>
      <w:rPr>
        <w:rFonts w:hint="default" w:ascii="Courier New" w:hAnsi="Courier New" w:cs="Courier New"/>
      </w:rPr>
    </w:lvl>
    <w:lvl w:ilvl="5">
      <w:start w:val="1"/>
      <w:numFmt w:val="bullet"/>
      <w:lvlText w:val=""/>
      <w:lvlJc w:val="left"/>
      <w:pPr>
        <w:ind w:left="1447" w:hanging="227"/>
      </w:pPr>
      <w:rPr>
        <w:rFonts w:hint="default" w:ascii="Wingdings" w:hAnsi="Wingdings"/>
      </w:rPr>
    </w:lvl>
    <w:lvl w:ilvl="6">
      <w:start w:val="1"/>
      <w:numFmt w:val="bullet"/>
      <w:lvlText w:val=""/>
      <w:lvlJc w:val="left"/>
      <w:pPr>
        <w:ind w:left="1674" w:hanging="227"/>
      </w:pPr>
      <w:rPr>
        <w:rFonts w:hint="default" w:ascii="Symbol" w:hAnsi="Symbol"/>
      </w:rPr>
    </w:lvl>
    <w:lvl w:ilvl="7">
      <w:start w:val="1"/>
      <w:numFmt w:val="bullet"/>
      <w:lvlText w:val="o"/>
      <w:lvlJc w:val="left"/>
      <w:pPr>
        <w:ind w:left="1901" w:hanging="227"/>
      </w:pPr>
      <w:rPr>
        <w:rFonts w:hint="default" w:ascii="Courier New" w:hAnsi="Courier New" w:cs="Courier New"/>
      </w:rPr>
    </w:lvl>
    <w:lvl w:ilvl="8">
      <w:start w:val="1"/>
      <w:numFmt w:val="bullet"/>
      <w:lvlText w:val=""/>
      <w:lvlJc w:val="left"/>
      <w:pPr>
        <w:ind w:left="2128" w:hanging="227"/>
      </w:pPr>
      <w:rPr>
        <w:rFonts w:hint="default" w:ascii="Wingdings" w:hAnsi="Wingdings"/>
      </w:rPr>
    </w:lvl>
  </w:abstractNum>
  <w:abstractNum w:abstractNumId="4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01032" w:themeColor="text2"/>
        <w:sz w:val="32"/>
      </w:rPr>
    </w:lvl>
    <w:lvl w:ilvl="1">
      <w:start w:val="1"/>
      <w:numFmt w:val="decimal"/>
      <w:lvlText w:val="%2."/>
      <w:lvlJc w:val="left"/>
      <w:pPr>
        <w:tabs>
          <w:tab w:val="num" w:pos="992"/>
        </w:tabs>
        <w:ind w:left="992" w:hanging="992"/>
      </w:pPr>
      <w:rPr>
        <w:rFonts w:hint="default"/>
        <w:b w:val="0"/>
        <w:i w:val="0"/>
        <w:color w:val="001032"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4" w15:restartNumberingAfterBreak="0">
    <w:nsid w:val="74B87AA0"/>
    <w:multiLevelType w:val="multilevel"/>
    <w:tmpl w:val="DAE644F6"/>
    <w:name w:val="PullOutBoxBullets"/>
    <w:lvl w:ilvl="0">
      <w:start w:val="1"/>
      <w:numFmt w:val="bullet"/>
      <w:lvlText w:val="•"/>
      <w:lvlJc w:val="left"/>
      <w:pPr>
        <w:ind w:left="567" w:hanging="340"/>
      </w:pPr>
      <w:rPr>
        <w:rFonts w:hint="default" w:ascii="Arial" w:hAnsi="Arial"/>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hint="default" w:ascii="Times New Roman" w:hAnsi="Times New Roman" w:cs="Times New Roman"/>
        <w:b w:val="0"/>
        <w:bCs w:val="0"/>
        <w:i w:val="0"/>
        <w:iCs w:val="0"/>
        <w:caps w:val="0"/>
        <w:smallCaps w:val="0"/>
        <w:strike w:val="0"/>
        <w:dstrike w:val="0"/>
        <w:outline w:val="0"/>
        <w:shadow w:val="0"/>
        <w:emboss w:val="0"/>
        <w:imprint w:val="0"/>
        <w:snapToGrid w:val="0"/>
        <w:vanish w:val="0"/>
        <w:color w:val="001032"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01032" w:themeColor="text2"/>
        <w:position w:val="2"/>
        <w:sz w:val="20"/>
      </w:rPr>
    </w:lvl>
    <w:lvl w:ilvl="2">
      <w:start w:val="1"/>
      <w:numFmt w:val="bullet"/>
      <w:lvlText w:val="–"/>
      <w:lvlJc w:val="left"/>
      <w:pPr>
        <w:tabs>
          <w:tab w:val="num" w:pos="1361"/>
        </w:tabs>
        <w:ind w:left="1361" w:hanging="340"/>
      </w:pPr>
      <w:rPr>
        <w:rFonts w:hint="default" w:ascii="Arial" w:hAnsi="Arial"/>
        <w:color w:val="00103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77F9A729"/>
    <w:multiLevelType w:val="hybridMultilevel"/>
    <w:tmpl w:val="E8DA93C8"/>
    <w:lvl w:ilvl="0" w:tplc="C292F402">
      <w:start w:val="1"/>
      <w:numFmt w:val="bullet"/>
      <w:lvlText w:val=""/>
      <w:lvlJc w:val="left"/>
      <w:pPr>
        <w:ind w:left="720" w:hanging="360"/>
      </w:pPr>
      <w:rPr>
        <w:rFonts w:hint="default" w:ascii="Symbol" w:hAnsi="Symbol"/>
      </w:rPr>
    </w:lvl>
    <w:lvl w:ilvl="1" w:tplc="A000CC56">
      <w:start w:val="1"/>
      <w:numFmt w:val="bullet"/>
      <w:lvlText w:val="o"/>
      <w:lvlJc w:val="left"/>
      <w:pPr>
        <w:ind w:left="1440" w:hanging="360"/>
      </w:pPr>
      <w:rPr>
        <w:rFonts w:hint="default" w:ascii="Courier New" w:hAnsi="Courier New"/>
      </w:rPr>
    </w:lvl>
    <w:lvl w:ilvl="2" w:tplc="83480264">
      <w:start w:val="1"/>
      <w:numFmt w:val="bullet"/>
      <w:lvlText w:val=""/>
      <w:lvlJc w:val="left"/>
      <w:pPr>
        <w:ind w:left="2160" w:hanging="360"/>
      </w:pPr>
      <w:rPr>
        <w:rFonts w:hint="default" w:ascii="Wingdings" w:hAnsi="Wingdings"/>
      </w:rPr>
    </w:lvl>
    <w:lvl w:ilvl="3" w:tplc="F026878E">
      <w:start w:val="1"/>
      <w:numFmt w:val="bullet"/>
      <w:lvlText w:val=""/>
      <w:lvlJc w:val="left"/>
      <w:pPr>
        <w:ind w:left="2880" w:hanging="360"/>
      </w:pPr>
      <w:rPr>
        <w:rFonts w:hint="default" w:ascii="Symbol" w:hAnsi="Symbol"/>
      </w:rPr>
    </w:lvl>
    <w:lvl w:ilvl="4" w:tplc="BABC6DDC">
      <w:start w:val="1"/>
      <w:numFmt w:val="bullet"/>
      <w:lvlText w:val="o"/>
      <w:lvlJc w:val="left"/>
      <w:pPr>
        <w:ind w:left="3600" w:hanging="360"/>
      </w:pPr>
      <w:rPr>
        <w:rFonts w:hint="default" w:ascii="Courier New" w:hAnsi="Courier New"/>
      </w:rPr>
    </w:lvl>
    <w:lvl w:ilvl="5" w:tplc="F93AD3CA">
      <w:start w:val="1"/>
      <w:numFmt w:val="bullet"/>
      <w:lvlText w:val=""/>
      <w:lvlJc w:val="left"/>
      <w:pPr>
        <w:ind w:left="4320" w:hanging="360"/>
      </w:pPr>
      <w:rPr>
        <w:rFonts w:hint="default" w:ascii="Wingdings" w:hAnsi="Wingdings"/>
      </w:rPr>
    </w:lvl>
    <w:lvl w:ilvl="6" w:tplc="6986C9F4">
      <w:start w:val="1"/>
      <w:numFmt w:val="bullet"/>
      <w:lvlText w:val=""/>
      <w:lvlJc w:val="left"/>
      <w:pPr>
        <w:ind w:left="5040" w:hanging="360"/>
      </w:pPr>
      <w:rPr>
        <w:rFonts w:hint="default" w:ascii="Symbol" w:hAnsi="Symbol"/>
      </w:rPr>
    </w:lvl>
    <w:lvl w:ilvl="7" w:tplc="20D045A6">
      <w:start w:val="1"/>
      <w:numFmt w:val="bullet"/>
      <w:lvlText w:val="o"/>
      <w:lvlJc w:val="left"/>
      <w:pPr>
        <w:ind w:left="5760" w:hanging="360"/>
      </w:pPr>
      <w:rPr>
        <w:rFonts w:hint="default" w:ascii="Courier New" w:hAnsi="Courier New"/>
      </w:rPr>
    </w:lvl>
    <w:lvl w:ilvl="8" w:tplc="4B80CEEA">
      <w:start w:val="1"/>
      <w:numFmt w:val="bullet"/>
      <w:lvlText w:val=""/>
      <w:lvlJc w:val="left"/>
      <w:pPr>
        <w:ind w:left="6480" w:hanging="360"/>
      </w:pPr>
      <w:rPr>
        <w:rFonts w:hint="default" w:ascii="Wingdings" w:hAnsi="Wingdings"/>
      </w:rPr>
    </w:lvl>
  </w:abstractNum>
  <w:abstractNum w:abstractNumId="47" w15:restartNumberingAfterBreak="0">
    <w:nsid w:val="7D0B504E"/>
    <w:multiLevelType w:val="multilevel"/>
    <w:tmpl w:val="7C183DDC"/>
    <w:name w:val="Bullets2"/>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bullet"/>
      <w:lvlText w:val="-"/>
      <w:lvlJc w:val="left"/>
      <w:pPr>
        <w:ind w:left="1588" w:hanging="397"/>
      </w:pPr>
      <w:rPr>
        <w:rFonts w:hint="default" w:ascii="Arial" w:hAnsi="Arial"/>
      </w:rPr>
    </w:lvl>
    <w:lvl w:ilvl="4">
      <w:start w:val="1"/>
      <w:numFmt w:val="bullet"/>
      <w:lvlText w:val="o"/>
      <w:lvlJc w:val="left"/>
      <w:pPr>
        <w:ind w:left="1985" w:hanging="397"/>
      </w:pPr>
      <w:rPr>
        <w:rFonts w:hint="default" w:ascii="Courier New" w:hAnsi="Courier New"/>
      </w:rPr>
    </w:lvl>
    <w:lvl w:ilvl="5">
      <w:start w:val="1"/>
      <w:numFmt w:val="bullet"/>
      <w:lvlText w:val=""/>
      <w:lvlJc w:val="left"/>
      <w:pPr>
        <w:ind w:left="2382" w:hanging="397"/>
      </w:pPr>
      <w:rPr>
        <w:rFonts w:hint="default" w:ascii="Wingdings" w:hAnsi="Wingdings"/>
      </w:rPr>
    </w:lvl>
    <w:lvl w:ilvl="6">
      <w:start w:val="1"/>
      <w:numFmt w:val="bullet"/>
      <w:lvlText w:val=""/>
      <w:lvlJc w:val="left"/>
      <w:pPr>
        <w:ind w:left="2779" w:hanging="397"/>
      </w:pPr>
      <w:rPr>
        <w:rFonts w:hint="default" w:ascii="Symbol" w:hAnsi="Symbol"/>
      </w:rPr>
    </w:lvl>
    <w:lvl w:ilvl="7">
      <w:start w:val="1"/>
      <w:numFmt w:val="bullet"/>
      <w:lvlText w:val="o"/>
      <w:lvlJc w:val="left"/>
      <w:pPr>
        <w:ind w:left="3176" w:hanging="397"/>
      </w:pPr>
      <w:rPr>
        <w:rFonts w:hint="default" w:ascii="Courier New" w:hAnsi="Courier New"/>
      </w:rPr>
    </w:lvl>
    <w:lvl w:ilvl="8">
      <w:start w:val="1"/>
      <w:numFmt w:val="bullet"/>
      <w:lvlText w:val=""/>
      <w:lvlJc w:val="left"/>
      <w:pPr>
        <w:ind w:left="3573" w:hanging="397"/>
      </w:pPr>
      <w:rPr>
        <w:rFonts w:hint="default" w:ascii="Wingdings" w:hAnsi="Wingdings"/>
      </w:rPr>
    </w:lvl>
  </w:abstractNum>
  <w:abstractNum w:abstractNumId="4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01032"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276014795">
    <w:abstractNumId w:val="46"/>
  </w:num>
  <w:num w:numId="2" w16cid:durableId="974215733">
    <w:abstractNumId w:val="12"/>
  </w:num>
  <w:num w:numId="3" w16cid:durableId="42020749">
    <w:abstractNumId w:val="38"/>
  </w:num>
  <w:num w:numId="4" w16cid:durableId="270548580">
    <w:abstractNumId w:val="4"/>
  </w:num>
  <w:num w:numId="5" w16cid:durableId="1763456571">
    <w:abstractNumId w:val="13"/>
  </w:num>
  <w:num w:numId="6" w16cid:durableId="1458254607">
    <w:abstractNumId w:val="41"/>
  </w:num>
  <w:num w:numId="7" w16cid:durableId="208999996">
    <w:abstractNumId w:val="15"/>
  </w:num>
  <w:num w:numId="8" w16cid:durableId="217862125">
    <w:abstractNumId w:val="32"/>
  </w:num>
  <w:num w:numId="9" w16cid:durableId="4178229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7766193">
    <w:abstractNumId w:val="29"/>
  </w:num>
  <w:num w:numId="11" w16cid:durableId="1723168124">
    <w:abstractNumId w:val="3"/>
  </w:num>
  <w:num w:numId="12" w16cid:durableId="1509055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1048319">
    <w:abstractNumId w:val="24"/>
  </w:num>
  <w:num w:numId="14" w16cid:durableId="589242416">
    <w:abstractNumId w:val="19"/>
  </w:num>
  <w:num w:numId="15" w16cid:durableId="1291789982">
    <w:abstractNumId w:val="9"/>
  </w:num>
  <w:num w:numId="16" w16cid:durableId="1151556108">
    <w:abstractNumId w:val="36"/>
  </w:num>
  <w:num w:numId="17" w16cid:durableId="1703046726">
    <w:abstractNumId w:val="7"/>
  </w:num>
  <w:num w:numId="18" w16cid:durableId="1250382510">
    <w:abstractNumId w:val="33"/>
  </w:num>
  <w:num w:numId="19" w16cid:durableId="1626815846">
    <w:abstractNumId w:val="28"/>
  </w:num>
  <w:num w:numId="20" w16cid:durableId="1449659493">
    <w:abstractNumId w:val="10"/>
  </w:num>
  <w:num w:numId="21" w16cid:durableId="407315491">
    <w:abstractNumId w:val="25"/>
  </w:num>
  <w:num w:numId="22" w16cid:durableId="965743112">
    <w:abstractNumId w:val="1"/>
  </w:num>
  <w:num w:numId="23" w16cid:durableId="135294288">
    <w:abstractNumId w:val="40"/>
  </w:num>
  <w:num w:numId="24" w16cid:durableId="1469320456">
    <w:abstractNumId w:val="11"/>
  </w:num>
  <w:num w:numId="25" w16cid:durableId="963191167">
    <w:abstractNumId w:val="17"/>
  </w:num>
  <w:num w:numId="26" w16cid:durableId="34040849">
    <w:abstractNumId w:val="39"/>
  </w:num>
  <w:num w:numId="27" w16cid:durableId="380253766">
    <w:abstractNumId w:val="0"/>
  </w:num>
  <w:num w:numId="28" w16cid:durableId="1558130955">
    <w:abstractNumId w:val="27"/>
  </w:num>
  <w:num w:numId="29" w16cid:durableId="5840264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dirty"/>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E13296"/>
    <w:rsid w:val="00000194"/>
    <w:rsid w:val="00001FD3"/>
    <w:rsid w:val="000035F6"/>
    <w:rsid w:val="00003779"/>
    <w:rsid w:val="00004327"/>
    <w:rsid w:val="00004810"/>
    <w:rsid w:val="00004A68"/>
    <w:rsid w:val="00004EEE"/>
    <w:rsid w:val="00006311"/>
    <w:rsid w:val="000068CA"/>
    <w:rsid w:val="0000736B"/>
    <w:rsid w:val="000105A9"/>
    <w:rsid w:val="00010F89"/>
    <w:rsid w:val="000115DE"/>
    <w:rsid w:val="0001175F"/>
    <w:rsid w:val="00011C29"/>
    <w:rsid w:val="00011F46"/>
    <w:rsid w:val="0001216C"/>
    <w:rsid w:val="00012339"/>
    <w:rsid w:val="000125A5"/>
    <w:rsid w:val="00013C91"/>
    <w:rsid w:val="000141FE"/>
    <w:rsid w:val="00014AD2"/>
    <w:rsid w:val="000152AC"/>
    <w:rsid w:val="000160C9"/>
    <w:rsid w:val="000160DB"/>
    <w:rsid w:val="000161CF"/>
    <w:rsid w:val="00016883"/>
    <w:rsid w:val="00017E78"/>
    <w:rsid w:val="000200FC"/>
    <w:rsid w:val="00020166"/>
    <w:rsid w:val="00020425"/>
    <w:rsid w:val="0002048A"/>
    <w:rsid w:val="000205BF"/>
    <w:rsid w:val="00020F2E"/>
    <w:rsid w:val="00022FC9"/>
    <w:rsid w:val="0002313E"/>
    <w:rsid w:val="000234A9"/>
    <w:rsid w:val="00023619"/>
    <w:rsid w:val="00023699"/>
    <w:rsid w:val="00023E27"/>
    <w:rsid w:val="00024DE5"/>
    <w:rsid w:val="00024F9A"/>
    <w:rsid w:val="00025BF0"/>
    <w:rsid w:val="0002601F"/>
    <w:rsid w:val="000265EA"/>
    <w:rsid w:val="0002682C"/>
    <w:rsid w:val="00026DC2"/>
    <w:rsid w:val="00026F37"/>
    <w:rsid w:val="00026F6C"/>
    <w:rsid w:val="000273C5"/>
    <w:rsid w:val="00030A38"/>
    <w:rsid w:val="000332EC"/>
    <w:rsid w:val="000337A3"/>
    <w:rsid w:val="000343D3"/>
    <w:rsid w:val="00034E7A"/>
    <w:rsid w:val="0003587A"/>
    <w:rsid w:val="00036443"/>
    <w:rsid w:val="00036D45"/>
    <w:rsid w:val="000374E9"/>
    <w:rsid w:val="000406DA"/>
    <w:rsid w:val="000408B7"/>
    <w:rsid w:val="00040EB4"/>
    <w:rsid w:val="000410EB"/>
    <w:rsid w:val="000411A2"/>
    <w:rsid w:val="000412D9"/>
    <w:rsid w:val="000415D3"/>
    <w:rsid w:val="00041613"/>
    <w:rsid w:val="00042903"/>
    <w:rsid w:val="000432A0"/>
    <w:rsid w:val="00043A2B"/>
    <w:rsid w:val="0004675A"/>
    <w:rsid w:val="00050713"/>
    <w:rsid w:val="00051825"/>
    <w:rsid w:val="00051BFC"/>
    <w:rsid w:val="00051D5C"/>
    <w:rsid w:val="00052454"/>
    <w:rsid w:val="0005252A"/>
    <w:rsid w:val="00053C58"/>
    <w:rsid w:val="00056024"/>
    <w:rsid w:val="000574CC"/>
    <w:rsid w:val="0005768A"/>
    <w:rsid w:val="00057C60"/>
    <w:rsid w:val="0006093C"/>
    <w:rsid w:val="00060B9F"/>
    <w:rsid w:val="00062CE4"/>
    <w:rsid w:val="000634B5"/>
    <w:rsid w:val="00063C3B"/>
    <w:rsid w:val="00064210"/>
    <w:rsid w:val="00064FCE"/>
    <w:rsid w:val="000661F0"/>
    <w:rsid w:val="00066A4B"/>
    <w:rsid w:val="00067A55"/>
    <w:rsid w:val="0007166A"/>
    <w:rsid w:val="00071DF4"/>
    <w:rsid w:val="0007247D"/>
    <w:rsid w:val="00072972"/>
    <w:rsid w:val="00073821"/>
    <w:rsid w:val="00074EF6"/>
    <w:rsid w:val="00076266"/>
    <w:rsid w:val="000764DD"/>
    <w:rsid w:val="00076CEC"/>
    <w:rsid w:val="000770EF"/>
    <w:rsid w:val="00080082"/>
    <w:rsid w:val="000809F5"/>
    <w:rsid w:val="00080B70"/>
    <w:rsid w:val="0008246E"/>
    <w:rsid w:val="00082701"/>
    <w:rsid w:val="00082CAC"/>
    <w:rsid w:val="000831CB"/>
    <w:rsid w:val="00083AA2"/>
    <w:rsid w:val="0008487B"/>
    <w:rsid w:val="00084998"/>
    <w:rsid w:val="00086400"/>
    <w:rsid w:val="00086404"/>
    <w:rsid w:val="00086779"/>
    <w:rsid w:val="0008678B"/>
    <w:rsid w:val="00086BF0"/>
    <w:rsid w:val="00086C5B"/>
    <w:rsid w:val="00087CE5"/>
    <w:rsid w:val="00090083"/>
    <w:rsid w:val="00090C31"/>
    <w:rsid w:val="00090D68"/>
    <w:rsid w:val="0009118B"/>
    <w:rsid w:val="0009129D"/>
    <w:rsid w:val="00091E67"/>
    <w:rsid w:val="000926AB"/>
    <w:rsid w:val="00092E73"/>
    <w:rsid w:val="0009327B"/>
    <w:rsid w:val="00093AB0"/>
    <w:rsid w:val="00093DB2"/>
    <w:rsid w:val="0009422B"/>
    <w:rsid w:val="00094A9C"/>
    <w:rsid w:val="00094C04"/>
    <w:rsid w:val="0009636C"/>
    <w:rsid w:val="000966F9"/>
    <w:rsid w:val="00097178"/>
    <w:rsid w:val="000971A5"/>
    <w:rsid w:val="00097633"/>
    <w:rsid w:val="000A043A"/>
    <w:rsid w:val="000A0772"/>
    <w:rsid w:val="000A07D4"/>
    <w:rsid w:val="000A0C5D"/>
    <w:rsid w:val="000A0D39"/>
    <w:rsid w:val="000A1A10"/>
    <w:rsid w:val="000A24D3"/>
    <w:rsid w:val="000A2603"/>
    <w:rsid w:val="000A2A5F"/>
    <w:rsid w:val="000A2B9B"/>
    <w:rsid w:val="000A38DA"/>
    <w:rsid w:val="000A4DD8"/>
    <w:rsid w:val="000A513C"/>
    <w:rsid w:val="000A55E9"/>
    <w:rsid w:val="000A64D2"/>
    <w:rsid w:val="000A65C4"/>
    <w:rsid w:val="000A67DF"/>
    <w:rsid w:val="000A76B2"/>
    <w:rsid w:val="000B02C8"/>
    <w:rsid w:val="000B07C0"/>
    <w:rsid w:val="000B4769"/>
    <w:rsid w:val="000B49E1"/>
    <w:rsid w:val="000B51BB"/>
    <w:rsid w:val="000B5203"/>
    <w:rsid w:val="000B59CB"/>
    <w:rsid w:val="000B5AC1"/>
    <w:rsid w:val="000B6301"/>
    <w:rsid w:val="000B65EE"/>
    <w:rsid w:val="000B6910"/>
    <w:rsid w:val="000B73C5"/>
    <w:rsid w:val="000C00E6"/>
    <w:rsid w:val="000C036C"/>
    <w:rsid w:val="000C043D"/>
    <w:rsid w:val="000C269E"/>
    <w:rsid w:val="000C325C"/>
    <w:rsid w:val="000C3390"/>
    <w:rsid w:val="000C3827"/>
    <w:rsid w:val="000C4032"/>
    <w:rsid w:val="000C440C"/>
    <w:rsid w:val="000C4AFB"/>
    <w:rsid w:val="000C4EA6"/>
    <w:rsid w:val="000C5592"/>
    <w:rsid w:val="000C620E"/>
    <w:rsid w:val="000C782D"/>
    <w:rsid w:val="000C7BB4"/>
    <w:rsid w:val="000C7CD6"/>
    <w:rsid w:val="000D01DB"/>
    <w:rsid w:val="000D0471"/>
    <w:rsid w:val="000D04B1"/>
    <w:rsid w:val="000D1DA0"/>
    <w:rsid w:val="000D286F"/>
    <w:rsid w:val="000D2B3D"/>
    <w:rsid w:val="000D319F"/>
    <w:rsid w:val="000D323F"/>
    <w:rsid w:val="000D36F9"/>
    <w:rsid w:val="000D3881"/>
    <w:rsid w:val="000D3CAE"/>
    <w:rsid w:val="000D3D2E"/>
    <w:rsid w:val="000D5967"/>
    <w:rsid w:val="000D6482"/>
    <w:rsid w:val="000D66AF"/>
    <w:rsid w:val="000D676A"/>
    <w:rsid w:val="000D73BF"/>
    <w:rsid w:val="000D73C9"/>
    <w:rsid w:val="000D7515"/>
    <w:rsid w:val="000D7E89"/>
    <w:rsid w:val="000D7F5B"/>
    <w:rsid w:val="000E0068"/>
    <w:rsid w:val="000E1777"/>
    <w:rsid w:val="000E1BC3"/>
    <w:rsid w:val="000E1F04"/>
    <w:rsid w:val="000E2BFA"/>
    <w:rsid w:val="000E2E35"/>
    <w:rsid w:val="000E2F22"/>
    <w:rsid w:val="000E35EE"/>
    <w:rsid w:val="000E38AA"/>
    <w:rsid w:val="000E4946"/>
    <w:rsid w:val="000E51EF"/>
    <w:rsid w:val="000E5431"/>
    <w:rsid w:val="000E79D3"/>
    <w:rsid w:val="000E79F7"/>
    <w:rsid w:val="000F009E"/>
    <w:rsid w:val="000F0977"/>
    <w:rsid w:val="000F09E7"/>
    <w:rsid w:val="000F0AB0"/>
    <w:rsid w:val="000F1017"/>
    <w:rsid w:val="000F1026"/>
    <w:rsid w:val="000F2BEC"/>
    <w:rsid w:val="000F3362"/>
    <w:rsid w:val="000F436A"/>
    <w:rsid w:val="000F4738"/>
    <w:rsid w:val="000F47F5"/>
    <w:rsid w:val="000F4D26"/>
    <w:rsid w:val="000F59FB"/>
    <w:rsid w:val="000F5E55"/>
    <w:rsid w:val="000F6093"/>
    <w:rsid w:val="000F6EF2"/>
    <w:rsid w:val="000F726C"/>
    <w:rsid w:val="000F7466"/>
    <w:rsid w:val="000F773D"/>
    <w:rsid w:val="000F7BB5"/>
    <w:rsid w:val="000F7C2D"/>
    <w:rsid w:val="00101215"/>
    <w:rsid w:val="00101A91"/>
    <w:rsid w:val="001023F4"/>
    <w:rsid w:val="00102F33"/>
    <w:rsid w:val="001042E1"/>
    <w:rsid w:val="0010455D"/>
    <w:rsid w:val="001045D3"/>
    <w:rsid w:val="00105627"/>
    <w:rsid w:val="00105FBE"/>
    <w:rsid w:val="00106FBC"/>
    <w:rsid w:val="00107147"/>
    <w:rsid w:val="00107C8F"/>
    <w:rsid w:val="0011038E"/>
    <w:rsid w:val="00110669"/>
    <w:rsid w:val="0011087C"/>
    <w:rsid w:val="00110A9F"/>
    <w:rsid w:val="0011132C"/>
    <w:rsid w:val="0011224F"/>
    <w:rsid w:val="00112B48"/>
    <w:rsid w:val="00112EDB"/>
    <w:rsid w:val="001134C6"/>
    <w:rsid w:val="0011371C"/>
    <w:rsid w:val="001137BC"/>
    <w:rsid w:val="00113A48"/>
    <w:rsid w:val="0011429D"/>
    <w:rsid w:val="00114377"/>
    <w:rsid w:val="00114B6D"/>
    <w:rsid w:val="00114FF5"/>
    <w:rsid w:val="001156B1"/>
    <w:rsid w:val="0011617C"/>
    <w:rsid w:val="00116264"/>
    <w:rsid w:val="001168F4"/>
    <w:rsid w:val="001176AC"/>
    <w:rsid w:val="00120092"/>
    <w:rsid w:val="0012041B"/>
    <w:rsid w:val="0012054F"/>
    <w:rsid w:val="00120D59"/>
    <w:rsid w:val="00121110"/>
    <w:rsid w:val="00121F1B"/>
    <w:rsid w:val="0012268D"/>
    <w:rsid w:val="001230A0"/>
    <w:rsid w:val="00123A74"/>
    <w:rsid w:val="001244D8"/>
    <w:rsid w:val="00124CFA"/>
    <w:rsid w:val="001252B3"/>
    <w:rsid w:val="001253FB"/>
    <w:rsid w:val="0012574C"/>
    <w:rsid w:val="00125C8F"/>
    <w:rsid w:val="001267C9"/>
    <w:rsid w:val="001268C6"/>
    <w:rsid w:val="00126943"/>
    <w:rsid w:val="00127B32"/>
    <w:rsid w:val="0013044E"/>
    <w:rsid w:val="00130B14"/>
    <w:rsid w:val="00130DB5"/>
    <w:rsid w:val="00130E28"/>
    <w:rsid w:val="00131ECB"/>
    <w:rsid w:val="001320DB"/>
    <w:rsid w:val="00132534"/>
    <w:rsid w:val="00132643"/>
    <w:rsid w:val="00132ECF"/>
    <w:rsid w:val="00133CEB"/>
    <w:rsid w:val="0013478C"/>
    <w:rsid w:val="00135A21"/>
    <w:rsid w:val="0013609B"/>
    <w:rsid w:val="001366E3"/>
    <w:rsid w:val="00136E17"/>
    <w:rsid w:val="00137683"/>
    <w:rsid w:val="00137A24"/>
    <w:rsid w:val="001406CA"/>
    <w:rsid w:val="00140804"/>
    <w:rsid w:val="001417FF"/>
    <w:rsid w:val="00141CD5"/>
    <w:rsid w:val="00141FA8"/>
    <w:rsid w:val="00142974"/>
    <w:rsid w:val="00142ADE"/>
    <w:rsid w:val="00143017"/>
    <w:rsid w:val="00143883"/>
    <w:rsid w:val="00144086"/>
    <w:rsid w:val="001440FC"/>
    <w:rsid w:val="00144787"/>
    <w:rsid w:val="00145F74"/>
    <w:rsid w:val="00146947"/>
    <w:rsid w:val="00146DC2"/>
    <w:rsid w:val="00147141"/>
    <w:rsid w:val="0014717C"/>
    <w:rsid w:val="0014722D"/>
    <w:rsid w:val="00147239"/>
    <w:rsid w:val="001508BB"/>
    <w:rsid w:val="00151B75"/>
    <w:rsid w:val="001532E3"/>
    <w:rsid w:val="001536B2"/>
    <w:rsid w:val="00153AD4"/>
    <w:rsid w:val="00153BC7"/>
    <w:rsid w:val="00153FB1"/>
    <w:rsid w:val="00154439"/>
    <w:rsid w:val="00154A02"/>
    <w:rsid w:val="00154FEA"/>
    <w:rsid w:val="001550FB"/>
    <w:rsid w:val="00155192"/>
    <w:rsid w:val="00155B41"/>
    <w:rsid w:val="00155B79"/>
    <w:rsid w:val="00156406"/>
    <w:rsid w:val="0015665B"/>
    <w:rsid w:val="0015669A"/>
    <w:rsid w:val="00156BC1"/>
    <w:rsid w:val="001571C1"/>
    <w:rsid w:val="00157F04"/>
    <w:rsid w:val="00160C09"/>
    <w:rsid w:val="00160EA5"/>
    <w:rsid w:val="00161183"/>
    <w:rsid w:val="00162508"/>
    <w:rsid w:val="0016271B"/>
    <w:rsid w:val="00162EBC"/>
    <w:rsid w:val="0016336A"/>
    <w:rsid w:val="00163A5B"/>
    <w:rsid w:val="00164012"/>
    <w:rsid w:val="00164716"/>
    <w:rsid w:val="00164F61"/>
    <w:rsid w:val="0016601D"/>
    <w:rsid w:val="00166097"/>
    <w:rsid w:val="00166E6D"/>
    <w:rsid w:val="00167022"/>
    <w:rsid w:val="001703BD"/>
    <w:rsid w:val="00170701"/>
    <w:rsid w:val="0017093D"/>
    <w:rsid w:val="00170E5B"/>
    <w:rsid w:val="001726D4"/>
    <w:rsid w:val="001728B5"/>
    <w:rsid w:val="00172EAD"/>
    <w:rsid w:val="00172F72"/>
    <w:rsid w:val="00173ED8"/>
    <w:rsid w:val="00174052"/>
    <w:rsid w:val="001745CE"/>
    <w:rsid w:val="001750A0"/>
    <w:rsid w:val="001766D2"/>
    <w:rsid w:val="001768FA"/>
    <w:rsid w:val="00176DAB"/>
    <w:rsid w:val="00177086"/>
    <w:rsid w:val="0017749D"/>
    <w:rsid w:val="001778A7"/>
    <w:rsid w:val="00177C34"/>
    <w:rsid w:val="00177C7F"/>
    <w:rsid w:val="00180BCB"/>
    <w:rsid w:val="00180CDA"/>
    <w:rsid w:val="00180E8D"/>
    <w:rsid w:val="001813B0"/>
    <w:rsid w:val="001818D8"/>
    <w:rsid w:val="00181936"/>
    <w:rsid w:val="0018239D"/>
    <w:rsid w:val="00182455"/>
    <w:rsid w:val="001825CC"/>
    <w:rsid w:val="001827CC"/>
    <w:rsid w:val="0018426D"/>
    <w:rsid w:val="00184490"/>
    <w:rsid w:val="001844C6"/>
    <w:rsid w:val="001845EF"/>
    <w:rsid w:val="00184B03"/>
    <w:rsid w:val="00186186"/>
    <w:rsid w:val="001870C6"/>
    <w:rsid w:val="001874D7"/>
    <w:rsid w:val="001877F8"/>
    <w:rsid w:val="00187B9E"/>
    <w:rsid w:val="00190351"/>
    <w:rsid w:val="001910A0"/>
    <w:rsid w:val="001910A2"/>
    <w:rsid w:val="00191188"/>
    <w:rsid w:val="001911BB"/>
    <w:rsid w:val="00191308"/>
    <w:rsid w:val="001916B4"/>
    <w:rsid w:val="00192F5C"/>
    <w:rsid w:val="00193137"/>
    <w:rsid w:val="00194013"/>
    <w:rsid w:val="001942E7"/>
    <w:rsid w:val="001942FF"/>
    <w:rsid w:val="001945C8"/>
    <w:rsid w:val="00194AAE"/>
    <w:rsid w:val="00194B60"/>
    <w:rsid w:val="00194E7E"/>
    <w:rsid w:val="00195CFF"/>
    <w:rsid w:val="00195D19"/>
    <w:rsid w:val="001969B5"/>
    <w:rsid w:val="00197201"/>
    <w:rsid w:val="0019756C"/>
    <w:rsid w:val="00197D54"/>
    <w:rsid w:val="001A0648"/>
    <w:rsid w:val="001A0FC3"/>
    <w:rsid w:val="001A26B9"/>
    <w:rsid w:val="001A3352"/>
    <w:rsid w:val="001A3695"/>
    <w:rsid w:val="001A59BB"/>
    <w:rsid w:val="001A608C"/>
    <w:rsid w:val="001A63B0"/>
    <w:rsid w:val="001A6AE2"/>
    <w:rsid w:val="001A6B09"/>
    <w:rsid w:val="001A744E"/>
    <w:rsid w:val="001A7657"/>
    <w:rsid w:val="001B017B"/>
    <w:rsid w:val="001B08FF"/>
    <w:rsid w:val="001B1078"/>
    <w:rsid w:val="001B14F6"/>
    <w:rsid w:val="001B1992"/>
    <w:rsid w:val="001B1B2B"/>
    <w:rsid w:val="001B2AD7"/>
    <w:rsid w:val="001B2D49"/>
    <w:rsid w:val="001B32D1"/>
    <w:rsid w:val="001B330C"/>
    <w:rsid w:val="001B6D41"/>
    <w:rsid w:val="001B6E7E"/>
    <w:rsid w:val="001B7E65"/>
    <w:rsid w:val="001C022B"/>
    <w:rsid w:val="001C10C5"/>
    <w:rsid w:val="001C145F"/>
    <w:rsid w:val="001C158E"/>
    <w:rsid w:val="001C2489"/>
    <w:rsid w:val="001C2510"/>
    <w:rsid w:val="001C2788"/>
    <w:rsid w:val="001C31C0"/>
    <w:rsid w:val="001C40E3"/>
    <w:rsid w:val="001C457E"/>
    <w:rsid w:val="001C4592"/>
    <w:rsid w:val="001C4657"/>
    <w:rsid w:val="001C47E2"/>
    <w:rsid w:val="001C5EBF"/>
    <w:rsid w:val="001D06EE"/>
    <w:rsid w:val="001D1760"/>
    <w:rsid w:val="001D1FD7"/>
    <w:rsid w:val="001D223D"/>
    <w:rsid w:val="001D29B0"/>
    <w:rsid w:val="001D2D53"/>
    <w:rsid w:val="001D395A"/>
    <w:rsid w:val="001D39F8"/>
    <w:rsid w:val="001D3B02"/>
    <w:rsid w:val="001D57FA"/>
    <w:rsid w:val="001D5D1A"/>
    <w:rsid w:val="001D5FC7"/>
    <w:rsid w:val="001D6139"/>
    <w:rsid w:val="001D63D0"/>
    <w:rsid w:val="001D672B"/>
    <w:rsid w:val="001D6A6A"/>
    <w:rsid w:val="001D6CEA"/>
    <w:rsid w:val="001D77F1"/>
    <w:rsid w:val="001D78C3"/>
    <w:rsid w:val="001E04BC"/>
    <w:rsid w:val="001E1DB7"/>
    <w:rsid w:val="001E1E00"/>
    <w:rsid w:val="001E2412"/>
    <w:rsid w:val="001E3629"/>
    <w:rsid w:val="001E3E6C"/>
    <w:rsid w:val="001E41FB"/>
    <w:rsid w:val="001E43BA"/>
    <w:rsid w:val="001E43CC"/>
    <w:rsid w:val="001E48EA"/>
    <w:rsid w:val="001E4E8F"/>
    <w:rsid w:val="001E51A2"/>
    <w:rsid w:val="001E6421"/>
    <w:rsid w:val="001E6674"/>
    <w:rsid w:val="001E6806"/>
    <w:rsid w:val="001E70EA"/>
    <w:rsid w:val="001F0A72"/>
    <w:rsid w:val="001F144B"/>
    <w:rsid w:val="001F162D"/>
    <w:rsid w:val="001F213D"/>
    <w:rsid w:val="001F302E"/>
    <w:rsid w:val="001F44D3"/>
    <w:rsid w:val="001F4765"/>
    <w:rsid w:val="001F5040"/>
    <w:rsid w:val="001F5BF9"/>
    <w:rsid w:val="001F618A"/>
    <w:rsid w:val="001F6460"/>
    <w:rsid w:val="001F67A8"/>
    <w:rsid w:val="001F6826"/>
    <w:rsid w:val="001F78CE"/>
    <w:rsid w:val="001F797E"/>
    <w:rsid w:val="001F79DC"/>
    <w:rsid w:val="002001B7"/>
    <w:rsid w:val="00200818"/>
    <w:rsid w:val="0020269C"/>
    <w:rsid w:val="0020272B"/>
    <w:rsid w:val="00202D57"/>
    <w:rsid w:val="002048EC"/>
    <w:rsid w:val="002071C2"/>
    <w:rsid w:val="00207596"/>
    <w:rsid w:val="00207B90"/>
    <w:rsid w:val="00207E74"/>
    <w:rsid w:val="0021055A"/>
    <w:rsid w:val="00210B5C"/>
    <w:rsid w:val="00210C96"/>
    <w:rsid w:val="00211075"/>
    <w:rsid w:val="0021154B"/>
    <w:rsid w:val="00212101"/>
    <w:rsid w:val="00213177"/>
    <w:rsid w:val="002132B5"/>
    <w:rsid w:val="00213B2D"/>
    <w:rsid w:val="00214138"/>
    <w:rsid w:val="002143C6"/>
    <w:rsid w:val="00214421"/>
    <w:rsid w:val="002146AD"/>
    <w:rsid w:val="002146FB"/>
    <w:rsid w:val="002155D1"/>
    <w:rsid w:val="00215E28"/>
    <w:rsid w:val="00216468"/>
    <w:rsid w:val="002167E2"/>
    <w:rsid w:val="002179CC"/>
    <w:rsid w:val="00220600"/>
    <w:rsid w:val="002247B9"/>
    <w:rsid w:val="00225F62"/>
    <w:rsid w:val="00226225"/>
    <w:rsid w:val="00226A73"/>
    <w:rsid w:val="00226BF6"/>
    <w:rsid w:val="00226E62"/>
    <w:rsid w:val="00227E91"/>
    <w:rsid w:val="00230259"/>
    <w:rsid w:val="0023294F"/>
    <w:rsid w:val="00232D3E"/>
    <w:rsid w:val="00233B50"/>
    <w:rsid w:val="002342DF"/>
    <w:rsid w:val="002353F9"/>
    <w:rsid w:val="00235B27"/>
    <w:rsid w:val="00235F67"/>
    <w:rsid w:val="0023624D"/>
    <w:rsid w:val="0023694E"/>
    <w:rsid w:val="00240884"/>
    <w:rsid w:val="00241D93"/>
    <w:rsid w:val="00242651"/>
    <w:rsid w:val="00243399"/>
    <w:rsid w:val="00243A45"/>
    <w:rsid w:val="002448CB"/>
    <w:rsid w:val="002458B9"/>
    <w:rsid w:val="00245DB5"/>
    <w:rsid w:val="00245E57"/>
    <w:rsid w:val="00247DAF"/>
    <w:rsid w:val="00250356"/>
    <w:rsid w:val="00250E84"/>
    <w:rsid w:val="00251326"/>
    <w:rsid w:val="00251AD4"/>
    <w:rsid w:val="00252DEC"/>
    <w:rsid w:val="00252F99"/>
    <w:rsid w:val="002533C2"/>
    <w:rsid w:val="00253C6D"/>
    <w:rsid w:val="0025402C"/>
    <w:rsid w:val="00254998"/>
    <w:rsid w:val="00254E76"/>
    <w:rsid w:val="0025562D"/>
    <w:rsid w:val="0025626D"/>
    <w:rsid w:val="00256560"/>
    <w:rsid w:val="00256624"/>
    <w:rsid w:val="00257BE9"/>
    <w:rsid w:val="00257F30"/>
    <w:rsid w:val="002600A1"/>
    <w:rsid w:val="00260CB3"/>
    <w:rsid w:val="00260F47"/>
    <w:rsid w:val="0026181D"/>
    <w:rsid w:val="00261C7F"/>
    <w:rsid w:val="0026258F"/>
    <w:rsid w:val="00262ACE"/>
    <w:rsid w:val="0026389A"/>
    <w:rsid w:val="00263A79"/>
    <w:rsid w:val="00263CC6"/>
    <w:rsid w:val="00264038"/>
    <w:rsid w:val="002643A7"/>
    <w:rsid w:val="00264A6D"/>
    <w:rsid w:val="00264C8C"/>
    <w:rsid w:val="00264E79"/>
    <w:rsid w:val="00265C0D"/>
    <w:rsid w:val="00266308"/>
    <w:rsid w:val="0026655E"/>
    <w:rsid w:val="00266872"/>
    <w:rsid w:val="002671CE"/>
    <w:rsid w:val="0026756C"/>
    <w:rsid w:val="002676DE"/>
    <w:rsid w:val="0027011C"/>
    <w:rsid w:val="00270817"/>
    <w:rsid w:val="00270EE2"/>
    <w:rsid w:val="002713C8"/>
    <w:rsid w:val="002715E9"/>
    <w:rsid w:val="0027194F"/>
    <w:rsid w:val="0027240B"/>
    <w:rsid w:val="002725C1"/>
    <w:rsid w:val="00272A50"/>
    <w:rsid w:val="00272A94"/>
    <w:rsid w:val="0027394E"/>
    <w:rsid w:val="002743CC"/>
    <w:rsid w:val="00274C38"/>
    <w:rsid w:val="00274DED"/>
    <w:rsid w:val="00275582"/>
    <w:rsid w:val="002768E9"/>
    <w:rsid w:val="00276F29"/>
    <w:rsid w:val="0027759D"/>
    <w:rsid w:val="00277A4C"/>
    <w:rsid w:val="00277CC4"/>
    <w:rsid w:val="0028094C"/>
    <w:rsid w:val="00281C53"/>
    <w:rsid w:val="002837F6"/>
    <w:rsid w:val="00283EA9"/>
    <w:rsid w:val="00283F74"/>
    <w:rsid w:val="00284299"/>
    <w:rsid w:val="002842CB"/>
    <w:rsid w:val="00284456"/>
    <w:rsid w:val="00284B9E"/>
    <w:rsid w:val="00284F1A"/>
    <w:rsid w:val="0028513C"/>
    <w:rsid w:val="002857D1"/>
    <w:rsid w:val="00286179"/>
    <w:rsid w:val="002907D2"/>
    <w:rsid w:val="00291700"/>
    <w:rsid w:val="00292442"/>
    <w:rsid w:val="00293BA0"/>
    <w:rsid w:val="00294DED"/>
    <w:rsid w:val="002953E2"/>
    <w:rsid w:val="00295EDC"/>
    <w:rsid w:val="00296ABF"/>
    <w:rsid w:val="00296C8A"/>
    <w:rsid w:val="00297628"/>
    <w:rsid w:val="00297A66"/>
    <w:rsid w:val="00297C2D"/>
    <w:rsid w:val="00297D22"/>
    <w:rsid w:val="002A0A44"/>
    <w:rsid w:val="002A11B8"/>
    <w:rsid w:val="002A121E"/>
    <w:rsid w:val="002A175E"/>
    <w:rsid w:val="002A1929"/>
    <w:rsid w:val="002A1ACC"/>
    <w:rsid w:val="002A1F7B"/>
    <w:rsid w:val="002A28F4"/>
    <w:rsid w:val="002A2AA6"/>
    <w:rsid w:val="002A3D3F"/>
    <w:rsid w:val="002A3E1C"/>
    <w:rsid w:val="002A48F8"/>
    <w:rsid w:val="002A4A8C"/>
    <w:rsid w:val="002A4B2E"/>
    <w:rsid w:val="002A4E2C"/>
    <w:rsid w:val="002A5E81"/>
    <w:rsid w:val="002A6F4E"/>
    <w:rsid w:val="002A73A1"/>
    <w:rsid w:val="002A7D81"/>
    <w:rsid w:val="002B118F"/>
    <w:rsid w:val="002B1929"/>
    <w:rsid w:val="002B23F8"/>
    <w:rsid w:val="002B292B"/>
    <w:rsid w:val="002B36AA"/>
    <w:rsid w:val="002B3CDF"/>
    <w:rsid w:val="002B4614"/>
    <w:rsid w:val="002B4A7C"/>
    <w:rsid w:val="002B4E1F"/>
    <w:rsid w:val="002B6B22"/>
    <w:rsid w:val="002B6DAD"/>
    <w:rsid w:val="002B7185"/>
    <w:rsid w:val="002B742D"/>
    <w:rsid w:val="002B78E8"/>
    <w:rsid w:val="002B790E"/>
    <w:rsid w:val="002B7B5A"/>
    <w:rsid w:val="002C02B3"/>
    <w:rsid w:val="002C19FC"/>
    <w:rsid w:val="002C2A75"/>
    <w:rsid w:val="002C37A5"/>
    <w:rsid w:val="002C3EA5"/>
    <w:rsid w:val="002C55A7"/>
    <w:rsid w:val="002C5D9A"/>
    <w:rsid w:val="002C5DB9"/>
    <w:rsid w:val="002C6858"/>
    <w:rsid w:val="002C687F"/>
    <w:rsid w:val="002C76FE"/>
    <w:rsid w:val="002C79ED"/>
    <w:rsid w:val="002C7BCE"/>
    <w:rsid w:val="002D10C1"/>
    <w:rsid w:val="002D11F9"/>
    <w:rsid w:val="002D163A"/>
    <w:rsid w:val="002D1BB5"/>
    <w:rsid w:val="002D21C9"/>
    <w:rsid w:val="002D2577"/>
    <w:rsid w:val="002D2A80"/>
    <w:rsid w:val="002D2AB4"/>
    <w:rsid w:val="002D2D1D"/>
    <w:rsid w:val="002D3754"/>
    <w:rsid w:val="002D4B23"/>
    <w:rsid w:val="002D6EE6"/>
    <w:rsid w:val="002D6F92"/>
    <w:rsid w:val="002D7AA5"/>
    <w:rsid w:val="002E03B0"/>
    <w:rsid w:val="002E0CDF"/>
    <w:rsid w:val="002E0ED2"/>
    <w:rsid w:val="002E1116"/>
    <w:rsid w:val="002E14EE"/>
    <w:rsid w:val="002E22BE"/>
    <w:rsid w:val="002E3000"/>
    <w:rsid w:val="002E34C5"/>
    <w:rsid w:val="002E3829"/>
    <w:rsid w:val="002E382B"/>
    <w:rsid w:val="002E3B71"/>
    <w:rsid w:val="002E4E4D"/>
    <w:rsid w:val="002E5553"/>
    <w:rsid w:val="002E5C97"/>
    <w:rsid w:val="002E5D33"/>
    <w:rsid w:val="002E5DCF"/>
    <w:rsid w:val="002E5E0C"/>
    <w:rsid w:val="002E6414"/>
    <w:rsid w:val="002E6528"/>
    <w:rsid w:val="002E7557"/>
    <w:rsid w:val="002E7E6F"/>
    <w:rsid w:val="002F07A6"/>
    <w:rsid w:val="002F0F18"/>
    <w:rsid w:val="002F191D"/>
    <w:rsid w:val="002F1E3D"/>
    <w:rsid w:val="002F2D11"/>
    <w:rsid w:val="002F3731"/>
    <w:rsid w:val="002F41ED"/>
    <w:rsid w:val="002F5140"/>
    <w:rsid w:val="002F647B"/>
    <w:rsid w:val="002F6A7D"/>
    <w:rsid w:val="002F782B"/>
    <w:rsid w:val="00300A07"/>
    <w:rsid w:val="00300BB3"/>
    <w:rsid w:val="0030113D"/>
    <w:rsid w:val="00301647"/>
    <w:rsid w:val="0030192B"/>
    <w:rsid w:val="00301AF4"/>
    <w:rsid w:val="0030259D"/>
    <w:rsid w:val="00302A0C"/>
    <w:rsid w:val="0030427C"/>
    <w:rsid w:val="003060A8"/>
    <w:rsid w:val="0030688B"/>
    <w:rsid w:val="0031041C"/>
    <w:rsid w:val="00311756"/>
    <w:rsid w:val="0031211F"/>
    <w:rsid w:val="0031266F"/>
    <w:rsid w:val="00312AE6"/>
    <w:rsid w:val="0031345D"/>
    <w:rsid w:val="003134AD"/>
    <w:rsid w:val="0031470B"/>
    <w:rsid w:val="00315198"/>
    <w:rsid w:val="0031540E"/>
    <w:rsid w:val="003157CD"/>
    <w:rsid w:val="00315DC5"/>
    <w:rsid w:val="00316DFD"/>
    <w:rsid w:val="00316EE4"/>
    <w:rsid w:val="003172A7"/>
    <w:rsid w:val="00317D2D"/>
    <w:rsid w:val="00320BBE"/>
    <w:rsid w:val="00321687"/>
    <w:rsid w:val="003217BB"/>
    <w:rsid w:val="00321A79"/>
    <w:rsid w:val="0032266F"/>
    <w:rsid w:val="00324524"/>
    <w:rsid w:val="00324B61"/>
    <w:rsid w:val="00325018"/>
    <w:rsid w:val="00325069"/>
    <w:rsid w:val="00325A9E"/>
    <w:rsid w:val="00325E0A"/>
    <w:rsid w:val="00326185"/>
    <w:rsid w:val="00326BFC"/>
    <w:rsid w:val="00326E64"/>
    <w:rsid w:val="003306A2"/>
    <w:rsid w:val="00330D46"/>
    <w:rsid w:val="00331625"/>
    <w:rsid w:val="00331931"/>
    <w:rsid w:val="00331B78"/>
    <w:rsid w:val="0033223A"/>
    <w:rsid w:val="003337C6"/>
    <w:rsid w:val="0033440F"/>
    <w:rsid w:val="003347F7"/>
    <w:rsid w:val="0033628F"/>
    <w:rsid w:val="00336AD9"/>
    <w:rsid w:val="00337868"/>
    <w:rsid w:val="003408F0"/>
    <w:rsid w:val="00340F88"/>
    <w:rsid w:val="003416B7"/>
    <w:rsid w:val="00341D4C"/>
    <w:rsid w:val="00341F59"/>
    <w:rsid w:val="0034207F"/>
    <w:rsid w:val="00342297"/>
    <w:rsid w:val="003425C3"/>
    <w:rsid w:val="00343100"/>
    <w:rsid w:val="00343F46"/>
    <w:rsid w:val="00343F93"/>
    <w:rsid w:val="0034494D"/>
    <w:rsid w:val="00346ADF"/>
    <w:rsid w:val="00347812"/>
    <w:rsid w:val="0034794B"/>
    <w:rsid w:val="0035068B"/>
    <w:rsid w:val="00351996"/>
    <w:rsid w:val="0035206E"/>
    <w:rsid w:val="00353511"/>
    <w:rsid w:val="00353CF6"/>
    <w:rsid w:val="00354A7F"/>
    <w:rsid w:val="00354F11"/>
    <w:rsid w:val="00355099"/>
    <w:rsid w:val="00355826"/>
    <w:rsid w:val="003558F6"/>
    <w:rsid w:val="00356026"/>
    <w:rsid w:val="003563B4"/>
    <w:rsid w:val="00356A79"/>
    <w:rsid w:val="003609C1"/>
    <w:rsid w:val="0036126C"/>
    <w:rsid w:val="00361695"/>
    <w:rsid w:val="00361ECA"/>
    <w:rsid w:val="0036200D"/>
    <w:rsid w:val="003624CE"/>
    <w:rsid w:val="0036258B"/>
    <w:rsid w:val="00362A66"/>
    <w:rsid w:val="00364559"/>
    <w:rsid w:val="00365E2D"/>
    <w:rsid w:val="00366355"/>
    <w:rsid w:val="00366E1B"/>
    <w:rsid w:val="00367282"/>
    <w:rsid w:val="0036747C"/>
    <w:rsid w:val="00367697"/>
    <w:rsid w:val="003679DF"/>
    <w:rsid w:val="00367CD1"/>
    <w:rsid w:val="00370000"/>
    <w:rsid w:val="00370C5B"/>
    <w:rsid w:val="00372445"/>
    <w:rsid w:val="00372477"/>
    <w:rsid w:val="003727CD"/>
    <w:rsid w:val="003731E8"/>
    <w:rsid w:val="003735CA"/>
    <w:rsid w:val="00373B96"/>
    <w:rsid w:val="00373CBB"/>
    <w:rsid w:val="003753F7"/>
    <w:rsid w:val="003756A1"/>
    <w:rsid w:val="00375A74"/>
    <w:rsid w:val="00375DE3"/>
    <w:rsid w:val="003763C4"/>
    <w:rsid w:val="00376B76"/>
    <w:rsid w:val="00376FAE"/>
    <w:rsid w:val="0037727C"/>
    <w:rsid w:val="00377B0F"/>
    <w:rsid w:val="003803CA"/>
    <w:rsid w:val="00380438"/>
    <w:rsid w:val="0038051D"/>
    <w:rsid w:val="00380970"/>
    <w:rsid w:val="003809AF"/>
    <w:rsid w:val="00380B69"/>
    <w:rsid w:val="003824AA"/>
    <w:rsid w:val="003838A6"/>
    <w:rsid w:val="00383F3D"/>
    <w:rsid w:val="00383FF6"/>
    <w:rsid w:val="00384ADF"/>
    <w:rsid w:val="0038559E"/>
    <w:rsid w:val="00387193"/>
    <w:rsid w:val="0039112F"/>
    <w:rsid w:val="00391C83"/>
    <w:rsid w:val="00392821"/>
    <w:rsid w:val="00392E2F"/>
    <w:rsid w:val="00393A64"/>
    <w:rsid w:val="00393FAA"/>
    <w:rsid w:val="0039415F"/>
    <w:rsid w:val="003942E6"/>
    <w:rsid w:val="003943DE"/>
    <w:rsid w:val="0039477E"/>
    <w:rsid w:val="003954A4"/>
    <w:rsid w:val="00396D03"/>
    <w:rsid w:val="003970D0"/>
    <w:rsid w:val="003972DF"/>
    <w:rsid w:val="003975FB"/>
    <w:rsid w:val="00397986"/>
    <w:rsid w:val="003A1569"/>
    <w:rsid w:val="003A1FD8"/>
    <w:rsid w:val="003A2BFF"/>
    <w:rsid w:val="003A2DE4"/>
    <w:rsid w:val="003A2FE3"/>
    <w:rsid w:val="003A3301"/>
    <w:rsid w:val="003A3ACA"/>
    <w:rsid w:val="003A3D8A"/>
    <w:rsid w:val="003A3DD7"/>
    <w:rsid w:val="003A3E80"/>
    <w:rsid w:val="003A3F2F"/>
    <w:rsid w:val="003A414F"/>
    <w:rsid w:val="003A4666"/>
    <w:rsid w:val="003A538F"/>
    <w:rsid w:val="003A57C2"/>
    <w:rsid w:val="003A6068"/>
    <w:rsid w:val="003A607D"/>
    <w:rsid w:val="003A64CA"/>
    <w:rsid w:val="003A66BA"/>
    <w:rsid w:val="003A6850"/>
    <w:rsid w:val="003A6A11"/>
    <w:rsid w:val="003A7302"/>
    <w:rsid w:val="003A7753"/>
    <w:rsid w:val="003A7ACC"/>
    <w:rsid w:val="003A7AFC"/>
    <w:rsid w:val="003A7D99"/>
    <w:rsid w:val="003A7E54"/>
    <w:rsid w:val="003A7E6D"/>
    <w:rsid w:val="003B0FCB"/>
    <w:rsid w:val="003B1D62"/>
    <w:rsid w:val="003B28E3"/>
    <w:rsid w:val="003B2E0D"/>
    <w:rsid w:val="003B2F4B"/>
    <w:rsid w:val="003B311A"/>
    <w:rsid w:val="003B3A12"/>
    <w:rsid w:val="003B443D"/>
    <w:rsid w:val="003B4750"/>
    <w:rsid w:val="003B53BD"/>
    <w:rsid w:val="003B6B27"/>
    <w:rsid w:val="003B71A1"/>
    <w:rsid w:val="003B71AC"/>
    <w:rsid w:val="003B74BE"/>
    <w:rsid w:val="003B75ED"/>
    <w:rsid w:val="003B7771"/>
    <w:rsid w:val="003B781C"/>
    <w:rsid w:val="003C144C"/>
    <w:rsid w:val="003C1826"/>
    <w:rsid w:val="003C1F69"/>
    <w:rsid w:val="003C25F9"/>
    <w:rsid w:val="003C2BDA"/>
    <w:rsid w:val="003C2C0D"/>
    <w:rsid w:val="003C2C66"/>
    <w:rsid w:val="003C300B"/>
    <w:rsid w:val="003C3875"/>
    <w:rsid w:val="003C3B57"/>
    <w:rsid w:val="003C57F9"/>
    <w:rsid w:val="003C68ED"/>
    <w:rsid w:val="003C70C2"/>
    <w:rsid w:val="003C75D1"/>
    <w:rsid w:val="003C7D07"/>
    <w:rsid w:val="003D0F80"/>
    <w:rsid w:val="003D1B95"/>
    <w:rsid w:val="003D2616"/>
    <w:rsid w:val="003D4029"/>
    <w:rsid w:val="003D44EC"/>
    <w:rsid w:val="003D4F8B"/>
    <w:rsid w:val="003D5307"/>
    <w:rsid w:val="003D63A1"/>
    <w:rsid w:val="003D66C9"/>
    <w:rsid w:val="003D6F1F"/>
    <w:rsid w:val="003D70B4"/>
    <w:rsid w:val="003D70C8"/>
    <w:rsid w:val="003E07D5"/>
    <w:rsid w:val="003E12EA"/>
    <w:rsid w:val="003E1962"/>
    <w:rsid w:val="003E1BAD"/>
    <w:rsid w:val="003E26E7"/>
    <w:rsid w:val="003E2E1B"/>
    <w:rsid w:val="003E329B"/>
    <w:rsid w:val="003E3A8A"/>
    <w:rsid w:val="003E4809"/>
    <w:rsid w:val="003E48F1"/>
    <w:rsid w:val="003E5011"/>
    <w:rsid w:val="003E55A4"/>
    <w:rsid w:val="003E7911"/>
    <w:rsid w:val="003F009A"/>
    <w:rsid w:val="003F0C6C"/>
    <w:rsid w:val="003F0DBA"/>
    <w:rsid w:val="003F1A32"/>
    <w:rsid w:val="003F1DFD"/>
    <w:rsid w:val="003F1ED4"/>
    <w:rsid w:val="003F3506"/>
    <w:rsid w:val="003F38A2"/>
    <w:rsid w:val="003F3A15"/>
    <w:rsid w:val="003F3DA5"/>
    <w:rsid w:val="003F3FCF"/>
    <w:rsid w:val="003F5238"/>
    <w:rsid w:val="003F5A35"/>
    <w:rsid w:val="003F6637"/>
    <w:rsid w:val="003F6BDD"/>
    <w:rsid w:val="003F6BED"/>
    <w:rsid w:val="003F782D"/>
    <w:rsid w:val="003F7C1A"/>
    <w:rsid w:val="003F7EFB"/>
    <w:rsid w:val="004012A4"/>
    <w:rsid w:val="0040131D"/>
    <w:rsid w:val="00401916"/>
    <w:rsid w:val="0040244A"/>
    <w:rsid w:val="004024A9"/>
    <w:rsid w:val="004028D1"/>
    <w:rsid w:val="0040292D"/>
    <w:rsid w:val="00402A47"/>
    <w:rsid w:val="00402CE5"/>
    <w:rsid w:val="00403073"/>
    <w:rsid w:val="004030D9"/>
    <w:rsid w:val="0040337A"/>
    <w:rsid w:val="004034E3"/>
    <w:rsid w:val="00403D9C"/>
    <w:rsid w:val="004042D4"/>
    <w:rsid w:val="00404DEE"/>
    <w:rsid w:val="00406987"/>
    <w:rsid w:val="00406D0E"/>
    <w:rsid w:val="0040743E"/>
    <w:rsid w:val="0040777B"/>
    <w:rsid w:val="00407885"/>
    <w:rsid w:val="004100F3"/>
    <w:rsid w:val="0041066F"/>
    <w:rsid w:val="00410904"/>
    <w:rsid w:val="0041215F"/>
    <w:rsid w:val="00414C7D"/>
    <w:rsid w:val="00414F4F"/>
    <w:rsid w:val="00415D09"/>
    <w:rsid w:val="00415D45"/>
    <w:rsid w:val="00416180"/>
    <w:rsid w:val="00417039"/>
    <w:rsid w:val="00417333"/>
    <w:rsid w:val="004178B0"/>
    <w:rsid w:val="00417EBE"/>
    <w:rsid w:val="00417F75"/>
    <w:rsid w:val="00420898"/>
    <w:rsid w:val="00423BC4"/>
    <w:rsid w:val="00423F1F"/>
    <w:rsid w:val="0042404A"/>
    <w:rsid w:val="00424493"/>
    <w:rsid w:val="004247A7"/>
    <w:rsid w:val="00424F1D"/>
    <w:rsid w:val="004250E1"/>
    <w:rsid w:val="004253CE"/>
    <w:rsid w:val="0042583F"/>
    <w:rsid w:val="0042596B"/>
    <w:rsid w:val="00425FE5"/>
    <w:rsid w:val="00426153"/>
    <w:rsid w:val="0042685C"/>
    <w:rsid w:val="00426BC2"/>
    <w:rsid w:val="0043104D"/>
    <w:rsid w:val="00431B86"/>
    <w:rsid w:val="0043293F"/>
    <w:rsid w:val="00432FB3"/>
    <w:rsid w:val="004335DB"/>
    <w:rsid w:val="00433F43"/>
    <w:rsid w:val="004342DF"/>
    <w:rsid w:val="004343B1"/>
    <w:rsid w:val="00436175"/>
    <w:rsid w:val="00436C58"/>
    <w:rsid w:val="00437284"/>
    <w:rsid w:val="0043750A"/>
    <w:rsid w:val="0043768B"/>
    <w:rsid w:val="00437842"/>
    <w:rsid w:val="00437C9B"/>
    <w:rsid w:val="00440503"/>
    <w:rsid w:val="00440519"/>
    <w:rsid w:val="0044145F"/>
    <w:rsid w:val="0044148B"/>
    <w:rsid w:val="0044168F"/>
    <w:rsid w:val="004435BE"/>
    <w:rsid w:val="00443A3F"/>
    <w:rsid w:val="00443CB0"/>
    <w:rsid w:val="00444D80"/>
    <w:rsid w:val="00445470"/>
    <w:rsid w:val="00445AED"/>
    <w:rsid w:val="0044611A"/>
    <w:rsid w:val="00446B9A"/>
    <w:rsid w:val="00446E42"/>
    <w:rsid w:val="00447DB0"/>
    <w:rsid w:val="00450144"/>
    <w:rsid w:val="004521BF"/>
    <w:rsid w:val="00452294"/>
    <w:rsid w:val="00452568"/>
    <w:rsid w:val="00453399"/>
    <w:rsid w:val="0045376B"/>
    <w:rsid w:val="004546C8"/>
    <w:rsid w:val="004547DD"/>
    <w:rsid w:val="00454825"/>
    <w:rsid w:val="004551B7"/>
    <w:rsid w:val="00455994"/>
    <w:rsid w:val="0045601E"/>
    <w:rsid w:val="00456971"/>
    <w:rsid w:val="00456F3C"/>
    <w:rsid w:val="00457963"/>
    <w:rsid w:val="0045796F"/>
    <w:rsid w:val="00460B70"/>
    <w:rsid w:val="00460EB8"/>
    <w:rsid w:val="00461309"/>
    <w:rsid w:val="00461991"/>
    <w:rsid w:val="004620C7"/>
    <w:rsid w:val="00463C6E"/>
    <w:rsid w:val="00463E1E"/>
    <w:rsid w:val="0046413C"/>
    <w:rsid w:val="00464371"/>
    <w:rsid w:val="004646F8"/>
    <w:rsid w:val="00464A44"/>
    <w:rsid w:val="0046505F"/>
    <w:rsid w:val="00465072"/>
    <w:rsid w:val="00465844"/>
    <w:rsid w:val="00466199"/>
    <w:rsid w:val="004661E1"/>
    <w:rsid w:val="004664F8"/>
    <w:rsid w:val="00467742"/>
    <w:rsid w:val="00467BF7"/>
    <w:rsid w:val="004703CE"/>
    <w:rsid w:val="00471446"/>
    <w:rsid w:val="00472EC8"/>
    <w:rsid w:val="00472F53"/>
    <w:rsid w:val="00473422"/>
    <w:rsid w:val="00473E66"/>
    <w:rsid w:val="004744DC"/>
    <w:rsid w:val="00475145"/>
    <w:rsid w:val="00475624"/>
    <w:rsid w:val="004756FC"/>
    <w:rsid w:val="00475C60"/>
    <w:rsid w:val="00475F2F"/>
    <w:rsid w:val="00476405"/>
    <w:rsid w:val="004769E9"/>
    <w:rsid w:val="00476C6F"/>
    <w:rsid w:val="004814E7"/>
    <w:rsid w:val="00481819"/>
    <w:rsid w:val="00481A08"/>
    <w:rsid w:val="00482114"/>
    <w:rsid w:val="0048263F"/>
    <w:rsid w:val="00482D14"/>
    <w:rsid w:val="004833C3"/>
    <w:rsid w:val="0048370C"/>
    <w:rsid w:val="00483AF5"/>
    <w:rsid w:val="00483D6C"/>
    <w:rsid w:val="0048430B"/>
    <w:rsid w:val="00484F7A"/>
    <w:rsid w:val="00485885"/>
    <w:rsid w:val="00485B9B"/>
    <w:rsid w:val="0048655D"/>
    <w:rsid w:val="0048667B"/>
    <w:rsid w:val="00486D45"/>
    <w:rsid w:val="00487134"/>
    <w:rsid w:val="00487817"/>
    <w:rsid w:val="00490259"/>
    <w:rsid w:val="004902CA"/>
    <w:rsid w:val="00490510"/>
    <w:rsid w:val="004908C8"/>
    <w:rsid w:val="004918EE"/>
    <w:rsid w:val="0049212D"/>
    <w:rsid w:val="00492A53"/>
    <w:rsid w:val="00494963"/>
    <w:rsid w:val="00494D37"/>
    <w:rsid w:val="004968A0"/>
    <w:rsid w:val="004A0EB5"/>
    <w:rsid w:val="004A10F7"/>
    <w:rsid w:val="004A1288"/>
    <w:rsid w:val="004A1C1F"/>
    <w:rsid w:val="004A26EE"/>
    <w:rsid w:val="004A2AD0"/>
    <w:rsid w:val="004A4D43"/>
    <w:rsid w:val="004A4F34"/>
    <w:rsid w:val="004A69A0"/>
    <w:rsid w:val="004A6FAD"/>
    <w:rsid w:val="004A7370"/>
    <w:rsid w:val="004B01CA"/>
    <w:rsid w:val="004B0C02"/>
    <w:rsid w:val="004B1ACD"/>
    <w:rsid w:val="004B1DC2"/>
    <w:rsid w:val="004B1E98"/>
    <w:rsid w:val="004B244E"/>
    <w:rsid w:val="004B26FF"/>
    <w:rsid w:val="004B2721"/>
    <w:rsid w:val="004B2751"/>
    <w:rsid w:val="004B2CAA"/>
    <w:rsid w:val="004B314F"/>
    <w:rsid w:val="004B40AB"/>
    <w:rsid w:val="004B40C2"/>
    <w:rsid w:val="004B4CE1"/>
    <w:rsid w:val="004B559D"/>
    <w:rsid w:val="004B5725"/>
    <w:rsid w:val="004B5875"/>
    <w:rsid w:val="004B5D78"/>
    <w:rsid w:val="004B66AE"/>
    <w:rsid w:val="004B6BF5"/>
    <w:rsid w:val="004B7E14"/>
    <w:rsid w:val="004C04E3"/>
    <w:rsid w:val="004C0794"/>
    <w:rsid w:val="004C110F"/>
    <w:rsid w:val="004C118A"/>
    <w:rsid w:val="004C2263"/>
    <w:rsid w:val="004C281F"/>
    <w:rsid w:val="004C2DF8"/>
    <w:rsid w:val="004C2EC4"/>
    <w:rsid w:val="004C300E"/>
    <w:rsid w:val="004C4381"/>
    <w:rsid w:val="004C5118"/>
    <w:rsid w:val="004C528B"/>
    <w:rsid w:val="004C5F0B"/>
    <w:rsid w:val="004C630B"/>
    <w:rsid w:val="004C6494"/>
    <w:rsid w:val="004C66EB"/>
    <w:rsid w:val="004C6BD5"/>
    <w:rsid w:val="004C6E0D"/>
    <w:rsid w:val="004C72DA"/>
    <w:rsid w:val="004D0362"/>
    <w:rsid w:val="004D085E"/>
    <w:rsid w:val="004D09C4"/>
    <w:rsid w:val="004D0D2A"/>
    <w:rsid w:val="004D17F8"/>
    <w:rsid w:val="004D2021"/>
    <w:rsid w:val="004D3ACE"/>
    <w:rsid w:val="004D4288"/>
    <w:rsid w:val="004D4616"/>
    <w:rsid w:val="004D4E40"/>
    <w:rsid w:val="004D5882"/>
    <w:rsid w:val="004D633D"/>
    <w:rsid w:val="004D6821"/>
    <w:rsid w:val="004E0223"/>
    <w:rsid w:val="004E0399"/>
    <w:rsid w:val="004E08E2"/>
    <w:rsid w:val="004E0E3E"/>
    <w:rsid w:val="004E22A8"/>
    <w:rsid w:val="004E2407"/>
    <w:rsid w:val="004E248C"/>
    <w:rsid w:val="004E283A"/>
    <w:rsid w:val="004E2E7E"/>
    <w:rsid w:val="004E3F84"/>
    <w:rsid w:val="004E40D8"/>
    <w:rsid w:val="004E4EC0"/>
    <w:rsid w:val="004E60F4"/>
    <w:rsid w:val="004E6EDB"/>
    <w:rsid w:val="004E78B5"/>
    <w:rsid w:val="004F03F3"/>
    <w:rsid w:val="004F040E"/>
    <w:rsid w:val="004F0FB3"/>
    <w:rsid w:val="004F1C43"/>
    <w:rsid w:val="004F1DA3"/>
    <w:rsid w:val="004F22E4"/>
    <w:rsid w:val="004F2BB5"/>
    <w:rsid w:val="004F3941"/>
    <w:rsid w:val="004F3BCC"/>
    <w:rsid w:val="004F404F"/>
    <w:rsid w:val="004F6B8D"/>
    <w:rsid w:val="004F7BAE"/>
    <w:rsid w:val="004F7F2E"/>
    <w:rsid w:val="0050004D"/>
    <w:rsid w:val="00500C6B"/>
    <w:rsid w:val="00501BED"/>
    <w:rsid w:val="0050214D"/>
    <w:rsid w:val="005021BD"/>
    <w:rsid w:val="005023A8"/>
    <w:rsid w:val="005030A8"/>
    <w:rsid w:val="00503599"/>
    <w:rsid w:val="00503F05"/>
    <w:rsid w:val="00504037"/>
    <w:rsid w:val="005040D3"/>
    <w:rsid w:val="005047D7"/>
    <w:rsid w:val="005054EA"/>
    <w:rsid w:val="00505E4F"/>
    <w:rsid w:val="00506B38"/>
    <w:rsid w:val="00507966"/>
    <w:rsid w:val="00507B7B"/>
    <w:rsid w:val="00507F8E"/>
    <w:rsid w:val="00510E09"/>
    <w:rsid w:val="005112A2"/>
    <w:rsid w:val="00511507"/>
    <w:rsid w:val="0051166C"/>
    <w:rsid w:val="00511DD3"/>
    <w:rsid w:val="005126F0"/>
    <w:rsid w:val="005128E1"/>
    <w:rsid w:val="00513D22"/>
    <w:rsid w:val="0051521C"/>
    <w:rsid w:val="0051546F"/>
    <w:rsid w:val="00517156"/>
    <w:rsid w:val="005172CF"/>
    <w:rsid w:val="00520072"/>
    <w:rsid w:val="005220EA"/>
    <w:rsid w:val="00522D70"/>
    <w:rsid w:val="00523560"/>
    <w:rsid w:val="0052383B"/>
    <w:rsid w:val="00524563"/>
    <w:rsid w:val="005247DE"/>
    <w:rsid w:val="00524EFB"/>
    <w:rsid w:val="00525264"/>
    <w:rsid w:val="005254C7"/>
    <w:rsid w:val="00525739"/>
    <w:rsid w:val="00526170"/>
    <w:rsid w:val="005269A1"/>
    <w:rsid w:val="00526A1E"/>
    <w:rsid w:val="00526FB4"/>
    <w:rsid w:val="00527333"/>
    <w:rsid w:val="0052764F"/>
    <w:rsid w:val="0052787A"/>
    <w:rsid w:val="00527CFF"/>
    <w:rsid w:val="005310D1"/>
    <w:rsid w:val="00531B99"/>
    <w:rsid w:val="00531BE4"/>
    <w:rsid w:val="00531C6F"/>
    <w:rsid w:val="00532360"/>
    <w:rsid w:val="0053274D"/>
    <w:rsid w:val="005327B9"/>
    <w:rsid w:val="00533F48"/>
    <w:rsid w:val="005344D9"/>
    <w:rsid w:val="00534DA9"/>
    <w:rsid w:val="00536755"/>
    <w:rsid w:val="0053703D"/>
    <w:rsid w:val="00537084"/>
    <w:rsid w:val="005370D3"/>
    <w:rsid w:val="00537C89"/>
    <w:rsid w:val="00541204"/>
    <w:rsid w:val="00542301"/>
    <w:rsid w:val="005423F5"/>
    <w:rsid w:val="00543087"/>
    <w:rsid w:val="00543DF9"/>
    <w:rsid w:val="005449D3"/>
    <w:rsid w:val="00544D97"/>
    <w:rsid w:val="00546234"/>
    <w:rsid w:val="00546BB4"/>
    <w:rsid w:val="005471ED"/>
    <w:rsid w:val="005516A4"/>
    <w:rsid w:val="00551B57"/>
    <w:rsid w:val="00551D59"/>
    <w:rsid w:val="0055296E"/>
    <w:rsid w:val="005542F9"/>
    <w:rsid w:val="00554A12"/>
    <w:rsid w:val="00554EA2"/>
    <w:rsid w:val="00554FC1"/>
    <w:rsid w:val="00555230"/>
    <w:rsid w:val="00555BDA"/>
    <w:rsid w:val="00556026"/>
    <w:rsid w:val="00556110"/>
    <w:rsid w:val="005567D1"/>
    <w:rsid w:val="00556EBA"/>
    <w:rsid w:val="00557CF6"/>
    <w:rsid w:val="005601B8"/>
    <w:rsid w:val="005602D3"/>
    <w:rsid w:val="00560B95"/>
    <w:rsid w:val="00561B79"/>
    <w:rsid w:val="0056222C"/>
    <w:rsid w:val="00562927"/>
    <w:rsid w:val="00562C57"/>
    <w:rsid w:val="0056395C"/>
    <w:rsid w:val="00564630"/>
    <w:rsid w:val="0056463E"/>
    <w:rsid w:val="00565168"/>
    <w:rsid w:val="005653E7"/>
    <w:rsid w:val="005654D3"/>
    <w:rsid w:val="005664B7"/>
    <w:rsid w:val="0056670D"/>
    <w:rsid w:val="0056681E"/>
    <w:rsid w:val="00566D20"/>
    <w:rsid w:val="00566E04"/>
    <w:rsid w:val="00567685"/>
    <w:rsid w:val="00573E71"/>
    <w:rsid w:val="00575DAA"/>
    <w:rsid w:val="00577A46"/>
    <w:rsid w:val="00577C83"/>
    <w:rsid w:val="005803E6"/>
    <w:rsid w:val="005808C1"/>
    <w:rsid w:val="00580D1B"/>
    <w:rsid w:val="00580E1C"/>
    <w:rsid w:val="0058197D"/>
    <w:rsid w:val="005822D3"/>
    <w:rsid w:val="00582406"/>
    <w:rsid w:val="005824BF"/>
    <w:rsid w:val="00582622"/>
    <w:rsid w:val="00582B69"/>
    <w:rsid w:val="005843D3"/>
    <w:rsid w:val="00584C06"/>
    <w:rsid w:val="00585680"/>
    <w:rsid w:val="0058629F"/>
    <w:rsid w:val="005910E4"/>
    <w:rsid w:val="00591195"/>
    <w:rsid w:val="005916FB"/>
    <w:rsid w:val="00591BB6"/>
    <w:rsid w:val="00592C65"/>
    <w:rsid w:val="00593334"/>
    <w:rsid w:val="0059378B"/>
    <w:rsid w:val="00593EF8"/>
    <w:rsid w:val="0059487F"/>
    <w:rsid w:val="00594B88"/>
    <w:rsid w:val="00594CA7"/>
    <w:rsid w:val="00594F8F"/>
    <w:rsid w:val="0059548C"/>
    <w:rsid w:val="00595D1D"/>
    <w:rsid w:val="0059603B"/>
    <w:rsid w:val="005962B0"/>
    <w:rsid w:val="00596CF7"/>
    <w:rsid w:val="00596F6F"/>
    <w:rsid w:val="0059706F"/>
    <w:rsid w:val="00597959"/>
    <w:rsid w:val="00597C60"/>
    <w:rsid w:val="005A018A"/>
    <w:rsid w:val="005A09FD"/>
    <w:rsid w:val="005A0FD8"/>
    <w:rsid w:val="005A135A"/>
    <w:rsid w:val="005A187B"/>
    <w:rsid w:val="005A24D7"/>
    <w:rsid w:val="005A29F9"/>
    <w:rsid w:val="005A2B11"/>
    <w:rsid w:val="005A2FCF"/>
    <w:rsid w:val="005A3A92"/>
    <w:rsid w:val="005A46E2"/>
    <w:rsid w:val="005A515D"/>
    <w:rsid w:val="005A5EB3"/>
    <w:rsid w:val="005A6085"/>
    <w:rsid w:val="005A644A"/>
    <w:rsid w:val="005A67D7"/>
    <w:rsid w:val="005A722E"/>
    <w:rsid w:val="005A73B1"/>
    <w:rsid w:val="005A793B"/>
    <w:rsid w:val="005A7C8C"/>
    <w:rsid w:val="005A7E86"/>
    <w:rsid w:val="005B0AD2"/>
    <w:rsid w:val="005B166A"/>
    <w:rsid w:val="005B1C61"/>
    <w:rsid w:val="005B38E9"/>
    <w:rsid w:val="005B42A5"/>
    <w:rsid w:val="005B541C"/>
    <w:rsid w:val="005B587B"/>
    <w:rsid w:val="005B5AD3"/>
    <w:rsid w:val="005B5DA0"/>
    <w:rsid w:val="005B6842"/>
    <w:rsid w:val="005B6B22"/>
    <w:rsid w:val="005B6EA1"/>
    <w:rsid w:val="005B75B2"/>
    <w:rsid w:val="005C026B"/>
    <w:rsid w:val="005C04AB"/>
    <w:rsid w:val="005C0DAF"/>
    <w:rsid w:val="005C0FE4"/>
    <w:rsid w:val="005C16B2"/>
    <w:rsid w:val="005C1E38"/>
    <w:rsid w:val="005C2245"/>
    <w:rsid w:val="005C287E"/>
    <w:rsid w:val="005C3AFE"/>
    <w:rsid w:val="005C3EF5"/>
    <w:rsid w:val="005C48BC"/>
    <w:rsid w:val="005C4A6F"/>
    <w:rsid w:val="005C4B58"/>
    <w:rsid w:val="005C693A"/>
    <w:rsid w:val="005D0130"/>
    <w:rsid w:val="005D21B8"/>
    <w:rsid w:val="005D2752"/>
    <w:rsid w:val="005D2E31"/>
    <w:rsid w:val="005D304E"/>
    <w:rsid w:val="005D3645"/>
    <w:rsid w:val="005D3BC3"/>
    <w:rsid w:val="005D4E02"/>
    <w:rsid w:val="005D56AC"/>
    <w:rsid w:val="005D6763"/>
    <w:rsid w:val="005D72DA"/>
    <w:rsid w:val="005D7F05"/>
    <w:rsid w:val="005E07BC"/>
    <w:rsid w:val="005E0D7C"/>
    <w:rsid w:val="005E1294"/>
    <w:rsid w:val="005E22F3"/>
    <w:rsid w:val="005E3C28"/>
    <w:rsid w:val="005E3F3A"/>
    <w:rsid w:val="005E66A6"/>
    <w:rsid w:val="005E69D4"/>
    <w:rsid w:val="005F15E0"/>
    <w:rsid w:val="005F1870"/>
    <w:rsid w:val="005F277D"/>
    <w:rsid w:val="005F2FD2"/>
    <w:rsid w:val="005F3BFD"/>
    <w:rsid w:val="005F4822"/>
    <w:rsid w:val="005F4F76"/>
    <w:rsid w:val="005F586B"/>
    <w:rsid w:val="005F70A7"/>
    <w:rsid w:val="005F75BD"/>
    <w:rsid w:val="00601341"/>
    <w:rsid w:val="0060185C"/>
    <w:rsid w:val="00601E76"/>
    <w:rsid w:val="00602949"/>
    <w:rsid w:val="006035AB"/>
    <w:rsid w:val="0060377B"/>
    <w:rsid w:val="006039DD"/>
    <w:rsid w:val="00603AFA"/>
    <w:rsid w:val="00603CE8"/>
    <w:rsid w:val="00604B4C"/>
    <w:rsid w:val="00605ECF"/>
    <w:rsid w:val="0060668A"/>
    <w:rsid w:val="00607178"/>
    <w:rsid w:val="006077B3"/>
    <w:rsid w:val="00610636"/>
    <w:rsid w:val="006116F7"/>
    <w:rsid w:val="00611BCE"/>
    <w:rsid w:val="00612169"/>
    <w:rsid w:val="006131BC"/>
    <w:rsid w:val="0061394B"/>
    <w:rsid w:val="006139EA"/>
    <w:rsid w:val="0061535D"/>
    <w:rsid w:val="00615673"/>
    <w:rsid w:val="00616561"/>
    <w:rsid w:val="006167EF"/>
    <w:rsid w:val="00616D97"/>
    <w:rsid w:val="00620776"/>
    <w:rsid w:val="00620CEE"/>
    <w:rsid w:val="00620EF9"/>
    <w:rsid w:val="00622CE8"/>
    <w:rsid w:val="00623492"/>
    <w:rsid w:val="00624360"/>
    <w:rsid w:val="00624CFA"/>
    <w:rsid w:val="00625AFA"/>
    <w:rsid w:val="00625CE0"/>
    <w:rsid w:val="00625EF4"/>
    <w:rsid w:val="00625F4C"/>
    <w:rsid w:val="006263B7"/>
    <w:rsid w:val="0062640F"/>
    <w:rsid w:val="0062674D"/>
    <w:rsid w:val="00626A2F"/>
    <w:rsid w:val="006310C1"/>
    <w:rsid w:val="006311C6"/>
    <w:rsid w:val="00631BF9"/>
    <w:rsid w:val="00631E3B"/>
    <w:rsid w:val="00632211"/>
    <w:rsid w:val="0063255D"/>
    <w:rsid w:val="0063284F"/>
    <w:rsid w:val="00632A5C"/>
    <w:rsid w:val="00632F36"/>
    <w:rsid w:val="00634DC0"/>
    <w:rsid w:val="00634EDA"/>
    <w:rsid w:val="006354EF"/>
    <w:rsid w:val="00635C67"/>
    <w:rsid w:val="00636466"/>
    <w:rsid w:val="006364F7"/>
    <w:rsid w:val="0063799B"/>
    <w:rsid w:val="00637C68"/>
    <w:rsid w:val="00637E93"/>
    <w:rsid w:val="0064032E"/>
    <w:rsid w:val="00640A53"/>
    <w:rsid w:val="00641ED0"/>
    <w:rsid w:val="0064251E"/>
    <w:rsid w:val="00642625"/>
    <w:rsid w:val="00644277"/>
    <w:rsid w:val="00644910"/>
    <w:rsid w:val="00644A84"/>
    <w:rsid w:val="00644BFC"/>
    <w:rsid w:val="00644C01"/>
    <w:rsid w:val="00644F09"/>
    <w:rsid w:val="006451D0"/>
    <w:rsid w:val="006455E7"/>
    <w:rsid w:val="00647093"/>
    <w:rsid w:val="006471EC"/>
    <w:rsid w:val="006473AB"/>
    <w:rsid w:val="006473C2"/>
    <w:rsid w:val="00647F32"/>
    <w:rsid w:val="006502C2"/>
    <w:rsid w:val="00650535"/>
    <w:rsid w:val="00650AEC"/>
    <w:rsid w:val="00650F8A"/>
    <w:rsid w:val="006510E4"/>
    <w:rsid w:val="00651E0A"/>
    <w:rsid w:val="0065203B"/>
    <w:rsid w:val="00652245"/>
    <w:rsid w:val="00652B82"/>
    <w:rsid w:val="00652F90"/>
    <w:rsid w:val="00654BFF"/>
    <w:rsid w:val="00655CC6"/>
    <w:rsid w:val="006572F0"/>
    <w:rsid w:val="0065751D"/>
    <w:rsid w:val="00657942"/>
    <w:rsid w:val="0066034F"/>
    <w:rsid w:val="0066072A"/>
    <w:rsid w:val="00660A05"/>
    <w:rsid w:val="00663073"/>
    <w:rsid w:val="00663245"/>
    <w:rsid w:val="0066385B"/>
    <w:rsid w:val="00663BEB"/>
    <w:rsid w:val="00663CDF"/>
    <w:rsid w:val="00663F50"/>
    <w:rsid w:val="00664075"/>
    <w:rsid w:val="00664101"/>
    <w:rsid w:val="00664787"/>
    <w:rsid w:val="0066530D"/>
    <w:rsid w:val="00665B44"/>
    <w:rsid w:val="00667922"/>
    <w:rsid w:val="0067197F"/>
    <w:rsid w:val="00671F73"/>
    <w:rsid w:val="00672D68"/>
    <w:rsid w:val="00672F1B"/>
    <w:rsid w:val="006730D3"/>
    <w:rsid w:val="006736DC"/>
    <w:rsid w:val="0067478C"/>
    <w:rsid w:val="006757AD"/>
    <w:rsid w:val="00675DA4"/>
    <w:rsid w:val="00676908"/>
    <w:rsid w:val="00677476"/>
    <w:rsid w:val="00677B75"/>
    <w:rsid w:val="00677C94"/>
    <w:rsid w:val="00677CF9"/>
    <w:rsid w:val="0068095E"/>
    <w:rsid w:val="006809A2"/>
    <w:rsid w:val="006828B9"/>
    <w:rsid w:val="006830E7"/>
    <w:rsid w:val="006838F2"/>
    <w:rsid w:val="00684604"/>
    <w:rsid w:val="00684AE4"/>
    <w:rsid w:val="00685CEE"/>
    <w:rsid w:val="0068652C"/>
    <w:rsid w:val="00686EA5"/>
    <w:rsid w:val="006905D1"/>
    <w:rsid w:val="006907DD"/>
    <w:rsid w:val="00690968"/>
    <w:rsid w:val="00691311"/>
    <w:rsid w:val="00691348"/>
    <w:rsid w:val="00691E31"/>
    <w:rsid w:val="00691F19"/>
    <w:rsid w:val="00691F77"/>
    <w:rsid w:val="006920A9"/>
    <w:rsid w:val="00692EAB"/>
    <w:rsid w:val="006933DC"/>
    <w:rsid w:val="0069457C"/>
    <w:rsid w:val="00694869"/>
    <w:rsid w:val="00694D4B"/>
    <w:rsid w:val="00694F35"/>
    <w:rsid w:val="0069528A"/>
    <w:rsid w:val="00695A27"/>
    <w:rsid w:val="006A09EE"/>
    <w:rsid w:val="006A0EE1"/>
    <w:rsid w:val="006A1F06"/>
    <w:rsid w:val="006A2255"/>
    <w:rsid w:val="006A30ED"/>
    <w:rsid w:val="006A381E"/>
    <w:rsid w:val="006A384C"/>
    <w:rsid w:val="006A3D28"/>
    <w:rsid w:val="006A60EE"/>
    <w:rsid w:val="006A69CB"/>
    <w:rsid w:val="006A741E"/>
    <w:rsid w:val="006B0408"/>
    <w:rsid w:val="006B0CBB"/>
    <w:rsid w:val="006B17C7"/>
    <w:rsid w:val="006B1823"/>
    <w:rsid w:val="006B190F"/>
    <w:rsid w:val="006B19D4"/>
    <w:rsid w:val="006B286A"/>
    <w:rsid w:val="006B3125"/>
    <w:rsid w:val="006B3256"/>
    <w:rsid w:val="006B36BE"/>
    <w:rsid w:val="006B45FE"/>
    <w:rsid w:val="006B4CED"/>
    <w:rsid w:val="006B511E"/>
    <w:rsid w:val="006B5643"/>
    <w:rsid w:val="006B5E90"/>
    <w:rsid w:val="006B697F"/>
    <w:rsid w:val="006B6A6F"/>
    <w:rsid w:val="006B76E9"/>
    <w:rsid w:val="006B772C"/>
    <w:rsid w:val="006C127D"/>
    <w:rsid w:val="006C1639"/>
    <w:rsid w:val="006C1693"/>
    <w:rsid w:val="006C16F4"/>
    <w:rsid w:val="006C2833"/>
    <w:rsid w:val="006C287F"/>
    <w:rsid w:val="006C44D4"/>
    <w:rsid w:val="006C4636"/>
    <w:rsid w:val="006C520D"/>
    <w:rsid w:val="006C5FC0"/>
    <w:rsid w:val="006C6C2A"/>
    <w:rsid w:val="006C6F24"/>
    <w:rsid w:val="006C7559"/>
    <w:rsid w:val="006C778A"/>
    <w:rsid w:val="006C7ED9"/>
    <w:rsid w:val="006D08FE"/>
    <w:rsid w:val="006D12BC"/>
    <w:rsid w:val="006D1319"/>
    <w:rsid w:val="006D147C"/>
    <w:rsid w:val="006D2896"/>
    <w:rsid w:val="006D29A2"/>
    <w:rsid w:val="006D2DED"/>
    <w:rsid w:val="006D35DB"/>
    <w:rsid w:val="006D35E9"/>
    <w:rsid w:val="006D35F6"/>
    <w:rsid w:val="006D3B3B"/>
    <w:rsid w:val="006D51BE"/>
    <w:rsid w:val="006D60BD"/>
    <w:rsid w:val="006D648A"/>
    <w:rsid w:val="006D6EA3"/>
    <w:rsid w:val="006D7ABD"/>
    <w:rsid w:val="006E0CB1"/>
    <w:rsid w:val="006E0FAB"/>
    <w:rsid w:val="006E172E"/>
    <w:rsid w:val="006E2399"/>
    <w:rsid w:val="006E2719"/>
    <w:rsid w:val="006E3AFA"/>
    <w:rsid w:val="006E3E8F"/>
    <w:rsid w:val="006E5BD9"/>
    <w:rsid w:val="006E6080"/>
    <w:rsid w:val="006E6D63"/>
    <w:rsid w:val="006E78F9"/>
    <w:rsid w:val="006F04BD"/>
    <w:rsid w:val="006F0906"/>
    <w:rsid w:val="006F0A86"/>
    <w:rsid w:val="006F1363"/>
    <w:rsid w:val="006F1CDC"/>
    <w:rsid w:val="006F1DED"/>
    <w:rsid w:val="006F25E5"/>
    <w:rsid w:val="006F2759"/>
    <w:rsid w:val="006F2D33"/>
    <w:rsid w:val="006F2D7A"/>
    <w:rsid w:val="006F4220"/>
    <w:rsid w:val="006F503D"/>
    <w:rsid w:val="006F65CD"/>
    <w:rsid w:val="006F7104"/>
    <w:rsid w:val="0070088E"/>
    <w:rsid w:val="00701020"/>
    <w:rsid w:val="007011CA"/>
    <w:rsid w:val="00701265"/>
    <w:rsid w:val="00701AFC"/>
    <w:rsid w:val="007039E6"/>
    <w:rsid w:val="00703CB5"/>
    <w:rsid w:val="00703CE8"/>
    <w:rsid w:val="00704737"/>
    <w:rsid w:val="00704C1B"/>
    <w:rsid w:val="007051CB"/>
    <w:rsid w:val="007059EA"/>
    <w:rsid w:val="00705D34"/>
    <w:rsid w:val="0070638A"/>
    <w:rsid w:val="007066EA"/>
    <w:rsid w:val="00706C1B"/>
    <w:rsid w:val="00707BAA"/>
    <w:rsid w:val="0071015D"/>
    <w:rsid w:val="00710906"/>
    <w:rsid w:val="007113ED"/>
    <w:rsid w:val="00712157"/>
    <w:rsid w:val="00712433"/>
    <w:rsid w:val="00712566"/>
    <w:rsid w:val="00712E01"/>
    <w:rsid w:val="0071398B"/>
    <w:rsid w:val="00713AB4"/>
    <w:rsid w:val="00714633"/>
    <w:rsid w:val="00715639"/>
    <w:rsid w:val="0071564C"/>
    <w:rsid w:val="00716316"/>
    <w:rsid w:val="00717478"/>
    <w:rsid w:val="007200F0"/>
    <w:rsid w:val="007209A3"/>
    <w:rsid w:val="007215EB"/>
    <w:rsid w:val="00722202"/>
    <w:rsid w:val="00722328"/>
    <w:rsid w:val="0072483E"/>
    <w:rsid w:val="00724E16"/>
    <w:rsid w:val="00724E6E"/>
    <w:rsid w:val="007257E3"/>
    <w:rsid w:val="007272EE"/>
    <w:rsid w:val="007272F6"/>
    <w:rsid w:val="0072744C"/>
    <w:rsid w:val="00727575"/>
    <w:rsid w:val="00727F09"/>
    <w:rsid w:val="00730D1E"/>
    <w:rsid w:val="00731023"/>
    <w:rsid w:val="0073108A"/>
    <w:rsid w:val="00731801"/>
    <w:rsid w:val="00731937"/>
    <w:rsid w:val="0073226C"/>
    <w:rsid w:val="00732288"/>
    <w:rsid w:val="00732488"/>
    <w:rsid w:val="007326A1"/>
    <w:rsid w:val="00732AD8"/>
    <w:rsid w:val="00733C10"/>
    <w:rsid w:val="00734E3B"/>
    <w:rsid w:val="0073663C"/>
    <w:rsid w:val="007378CE"/>
    <w:rsid w:val="00737F14"/>
    <w:rsid w:val="00741E98"/>
    <w:rsid w:val="007429F2"/>
    <w:rsid w:val="00742EC9"/>
    <w:rsid w:val="00743319"/>
    <w:rsid w:val="007433F1"/>
    <w:rsid w:val="00744138"/>
    <w:rsid w:val="0074435F"/>
    <w:rsid w:val="00744814"/>
    <w:rsid w:val="00744862"/>
    <w:rsid w:val="00745468"/>
    <w:rsid w:val="00745645"/>
    <w:rsid w:val="00745750"/>
    <w:rsid w:val="00745894"/>
    <w:rsid w:val="00745BAC"/>
    <w:rsid w:val="00745EFB"/>
    <w:rsid w:val="007475B7"/>
    <w:rsid w:val="00747643"/>
    <w:rsid w:val="007477CD"/>
    <w:rsid w:val="00747BE2"/>
    <w:rsid w:val="007503C3"/>
    <w:rsid w:val="007506D6"/>
    <w:rsid w:val="007510EB"/>
    <w:rsid w:val="0075119A"/>
    <w:rsid w:val="00751412"/>
    <w:rsid w:val="007518BE"/>
    <w:rsid w:val="00751956"/>
    <w:rsid w:val="007519A9"/>
    <w:rsid w:val="00753CBF"/>
    <w:rsid w:val="00753E3C"/>
    <w:rsid w:val="0075649A"/>
    <w:rsid w:val="00756756"/>
    <w:rsid w:val="00756864"/>
    <w:rsid w:val="007575C2"/>
    <w:rsid w:val="00757E58"/>
    <w:rsid w:val="00760C03"/>
    <w:rsid w:val="00760D0A"/>
    <w:rsid w:val="00760DF6"/>
    <w:rsid w:val="0076106D"/>
    <w:rsid w:val="007611A8"/>
    <w:rsid w:val="00761DFA"/>
    <w:rsid w:val="00762184"/>
    <w:rsid w:val="00762550"/>
    <w:rsid w:val="0076295F"/>
    <w:rsid w:val="007635D1"/>
    <w:rsid w:val="007635FF"/>
    <w:rsid w:val="007646DA"/>
    <w:rsid w:val="00764851"/>
    <w:rsid w:val="00764D97"/>
    <w:rsid w:val="00764FFC"/>
    <w:rsid w:val="00765219"/>
    <w:rsid w:val="007661B9"/>
    <w:rsid w:val="007663EC"/>
    <w:rsid w:val="00766D74"/>
    <w:rsid w:val="007706BC"/>
    <w:rsid w:val="00770C42"/>
    <w:rsid w:val="00770D0F"/>
    <w:rsid w:val="00770D3F"/>
    <w:rsid w:val="0077107F"/>
    <w:rsid w:val="007712C5"/>
    <w:rsid w:val="007720A0"/>
    <w:rsid w:val="00772DF7"/>
    <w:rsid w:val="00772F18"/>
    <w:rsid w:val="00772F56"/>
    <w:rsid w:val="00774587"/>
    <w:rsid w:val="00775B73"/>
    <w:rsid w:val="0077612A"/>
    <w:rsid w:val="00776FA8"/>
    <w:rsid w:val="00777355"/>
    <w:rsid w:val="00781783"/>
    <w:rsid w:val="0078194F"/>
    <w:rsid w:val="00781974"/>
    <w:rsid w:val="00781B63"/>
    <w:rsid w:val="00782A2E"/>
    <w:rsid w:val="00782E31"/>
    <w:rsid w:val="0078349E"/>
    <w:rsid w:val="007837DE"/>
    <w:rsid w:val="007837E1"/>
    <w:rsid w:val="00783FF2"/>
    <w:rsid w:val="00784C03"/>
    <w:rsid w:val="00786306"/>
    <w:rsid w:val="00786A3A"/>
    <w:rsid w:val="00786F97"/>
    <w:rsid w:val="007870E2"/>
    <w:rsid w:val="00787561"/>
    <w:rsid w:val="00787BEB"/>
    <w:rsid w:val="00787D27"/>
    <w:rsid w:val="007909A5"/>
    <w:rsid w:val="00791833"/>
    <w:rsid w:val="00791875"/>
    <w:rsid w:val="0079208F"/>
    <w:rsid w:val="007928DD"/>
    <w:rsid w:val="00792D28"/>
    <w:rsid w:val="00793391"/>
    <w:rsid w:val="007934ED"/>
    <w:rsid w:val="007938D0"/>
    <w:rsid w:val="00794FD7"/>
    <w:rsid w:val="007967C5"/>
    <w:rsid w:val="00797622"/>
    <w:rsid w:val="007A03BD"/>
    <w:rsid w:val="007A041B"/>
    <w:rsid w:val="007A04C0"/>
    <w:rsid w:val="007A0878"/>
    <w:rsid w:val="007A2523"/>
    <w:rsid w:val="007A42F5"/>
    <w:rsid w:val="007A4AC1"/>
    <w:rsid w:val="007A5338"/>
    <w:rsid w:val="007A55C4"/>
    <w:rsid w:val="007A56AC"/>
    <w:rsid w:val="007A5822"/>
    <w:rsid w:val="007A69E1"/>
    <w:rsid w:val="007A6D75"/>
    <w:rsid w:val="007A74BE"/>
    <w:rsid w:val="007A7AF2"/>
    <w:rsid w:val="007A7B0C"/>
    <w:rsid w:val="007B1032"/>
    <w:rsid w:val="007B2048"/>
    <w:rsid w:val="007B255D"/>
    <w:rsid w:val="007B2712"/>
    <w:rsid w:val="007B47D3"/>
    <w:rsid w:val="007B56D7"/>
    <w:rsid w:val="007B6704"/>
    <w:rsid w:val="007B6990"/>
    <w:rsid w:val="007B6AE4"/>
    <w:rsid w:val="007B71B3"/>
    <w:rsid w:val="007B724E"/>
    <w:rsid w:val="007B727E"/>
    <w:rsid w:val="007B7A25"/>
    <w:rsid w:val="007C1005"/>
    <w:rsid w:val="007C131B"/>
    <w:rsid w:val="007C22E7"/>
    <w:rsid w:val="007C2FB6"/>
    <w:rsid w:val="007C3BA1"/>
    <w:rsid w:val="007C42C1"/>
    <w:rsid w:val="007C5053"/>
    <w:rsid w:val="007C5D41"/>
    <w:rsid w:val="007C6D10"/>
    <w:rsid w:val="007C71CA"/>
    <w:rsid w:val="007C7F97"/>
    <w:rsid w:val="007D0B9D"/>
    <w:rsid w:val="007D3E13"/>
    <w:rsid w:val="007D47D5"/>
    <w:rsid w:val="007D50CF"/>
    <w:rsid w:val="007D521E"/>
    <w:rsid w:val="007D57D9"/>
    <w:rsid w:val="007D5954"/>
    <w:rsid w:val="007D59C9"/>
    <w:rsid w:val="007D59F2"/>
    <w:rsid w:val="007D6181"/>
    <w:rsid w:val="007D6B92"/>
    <w:rsid w:val="007D7359"/>
    <w:rsid w:val="007D7BA9"/>
    <w:rsid w:val="007E0197"/>
    <w:rsid w:val="007E06EA"/>
    <w:rsid w:val="007E07DB"/>
    <w:rsid w:val="007E0A23"/>
    <w:rsid w:val="007E0CF1"/>
    <w:rsid w:val="007E0F49"/>
    <w:rsid w:val="007E14A8"/>
    <w:rsid w:val="007E16E5"/>
    <w:rsid w:val="007E19A6"/>
    <w:rsid w:val="007E2AD0"/>
    <w:rsid w:val="007E31F7"/>
    <w:rsid w:val="007E35CD"/>
    <w:rsid w:val="007E375A"/>
    <w:rsid w:val="007E396C"/>
    <w:rsid w:val="007E3D4B"/>
    <w:rsid w:val="007E3F57"/>
    <w:rsid w:val="007E44A6"/>
    <w:rsid w:val="007E4932"/>
    <w:rsid w:val="007E4AF8"/>
    <w:rsid w:val="007E5872"/>
    <w:rsid w:val="007E694C"/>
    <w:rsid w:val="007E6965"/>
    <w:rsid w:val="007F0531"/>
    <w:rsid w:val="007F0A80"/>
    <w:rsid w:val="007F12FF"/>
    <w:rsid w:val="007F1526"/>
    <w:rsid w:val="007F17D1"/>
    <w:rsid w:val="007F1A74"/>
    <w:rsid w:val="007F2AD7"/>
    <w:rsid w:val="007F2AD9"/>
    <w:rsid w:val="007F2D48"/>
    <w:rsid w:val="007F360E"/>
    <w:rsid w:val="007F48EF"/>
    <w:rsid w:val="007F4C8C"/>
    <w:rsid w:val="007F62CF"/>
    <w:rsid w:val="007F6922"/>
    <w:rsid w:val="007F7562"/>
    <w:rsid w:val="00800224"/>
    <w:rsid w:val="00800FF1"/>
    <w:rsid w:val="00801030"/>
    <w:rsid w:val="00801064"/>
    <w:rsid w:val="00801DBE"/>
    <w:rsid w:val="0080306D"/>
    <w:rsid w:val="00803778"/>
    <w:rsid w:val="00803CD7"/>
    <w:rsid w:val="00804852"/>
    <w:rsid w:val="00804E32"/>
    <w:rsid w:val="00805BCE"/>
    <w:rsid w:val="008060A1"/>
    <w:rsid w:val="00806AD9"/>
    <w:rsid w:val="008078A9"/>
    <w:rsid w:val="00807FF2"/>
    <w:rsid w:val="00810430"/>
    <w:rsid w:val="008104C8"/>
    <w:rsid w:val="00810747"/>
    <w:rsid w:val="0081135E"/>
    <w:rsid w:val="0081154F"/>
    <w:rsid w:val="00811E79"/>
    <w:rsid w:val="00812114"/>
    <w:rsid w:val="008122A0"/>
    <w:rsid w:val="00812721"/>
    <w:rsid w:val="008130F1"/>
    <w:rsid w:val="0081324A"/>
    <w:rsid w:val="008134B5"/>
    <w:rsid w:val="00813C19"/>
    <w:rsid w:val="00814045"/>
    <w:rsid w:val="00814349"/>
    <w:rsid w:val="008145A3"/>
    <w:rsid w:val="008145DD"/>
    <w:rsid w:val="0081508A"/>
    <w:rsid w:val="00815150"/>
    <w:rsid w:val="0081598A"/>
    <w:rsid w:val="008177C6"/>
    <w:rsid w:val="00817B01"/>
    <w:rsid w:val="0082047E"/>
    <w:rsid w:val="0082050D"/>
    <w:rsid w:val="00820612"/>
    <w:rsid w:val="00820F46"/>
    <w:rsid w:val="0082198A"/>
    <w:rsid w:val="00821C4C"/>
    <w:rsid w:val="00821F31"/>
    <w:rsid w:val="00821FC2"/>
    <w:rsid w:val="0082411F"/>
    <w:rsid w:val="00824B95"/>
    <w:rsid w:val="00824C66"/>
    <w:rsid w:val="00824E09"/>
    <w:rsid w:val="00825935"/>
    <w:rsid w:val="00825A9B"/>
    <w:rsid w:val="008263F2"/>
    <w:rsid w:val="00830A76"/>
    <w:rsid w:val="008310EA"/>
    <w:rsid w:val="00831C65"/>
    <w:rsid w:val="00833F28"/>
    <w:rsid w:val="008343EF"/>
    <w:rsid w:val="008346EA"/>
    <w:rsid w:val="00834C64"/>
    <w:rsid w:val="00834EE1"/>
    <w:rsid w:val="008350DD"/>
    <w:rsid w:val="0083553E"/>
    <w:rsid w:val="00835590"/>
    <w:rsid w:val="00835C6A"/>
    <w:rsid w:val="00836163"/>
    <w:rsid w:val="00836992"/>
    <w:rsid w:val="008369AA"/>
    <w:rsid w:val="008378F6"/>
    <w:rsid w:val="00837F11"/>
    <w:rsid w:val="0084041A"/>
    <w:rsid w:val="00840F2D"/>
    <w:rsid w:val="008413A3"/>
    <w:rsid w:val="00841D9F"/>
    <w:rsid w:val="0084286D"/>
    <w:rsid w:val="0084335D"/>
    <w:rsid w:val="008441F4"/>
    <w:rsid w:val="00844EED"/>
    <w:rsid w:val="00845092"/>
    <w:rsid w:val="008468B6"/>
    <w:rsid w:val="008473E4"/>
    <w:rsid w:val="00851783"/>
    <w:rsid w:val="00852320"/>
    <w:rsid w:val="00852497"/>
    <w:rsid w:val="00852D2C"/>
    <w:rsid w:val="00852E7F"/>
    <w:rsid w:val="008531C1"/>
    <w:rsid w:val="00853F2C"/>
    <w:rsid w:val="00854ED2"/>
    <w:rsid w:val="0085580B"/>
    <w:rsid w:val="00855AB2"/>
    <w:rsid w:val="00855C47"/>
    <w:rsid w:val="00860880"/>
    <w:rsid w:val="00860DDF"/>
    <w:rsid w:val="0086172F"/>
    <w:rsid w:val="00861CA1"/>
    <w:rsid w:val="0086239E"/>
    <w:rsid w:val="008625C9"/>
    <w:rsid w:val="00862AFF"/>
    <w:rsid w:val="00864874"/>
    <w:rsid w:val="0086499C"/>
    <w:rsid w:val="00864D16"/>
    <w:rsid w:val="00864EF0"/>
    <w:rsid w:val="00865D0F"/>
    <w:rsid w:val="00865D11"/>
    <w:rsid w:val="00866346"/>
    <w:rsid w:val="0086785A"/>
    <w:rsid w:val="00867D73"/>
    <w:rsid w:val="00870214"/>
    <w:rsid w:val="008703CC"/>
    <w:rsid w:val="0087043F"/>
    <w:rsid w:val="00870A00"/>
    <w:rsid w:val="008717E0"/>
    <w:rsid w:val="008719A5"/>
    <w:rsid w:val="00871B58"/>
    <w:rsid w:val="00873815"/>
    <w:rsid w:val="00873FA6"/>
    <w:rsid w:val="008740BF"/>
    <w:rsid w:val="00876557"/>
    <w:rsid w:val="008779F2"/>
    <w:rsid w:val="008802B7"/>
    <w:rsid w:val="00880E76"/>
    <w:rsid w:val="00881290"/>
    <w:rsid w:val="00881B71"/>
    <w:rsid w:val="00881E19"/>
    <w:rsid w:val="008830D7"/>
    <w:rsid w:val="008845EE"/>
    <w:rsid w:val="00884822"/>
    <w:rsid w:val="008857B7"/>
    <w:rsid w:val="008862EE"/>
    <w:rsid w:val="008864ED"/>
    <w:rsid w:val="00886755"/>
    <w:rsid w:val="00886D2C"/>
    <w:rsid w:val="0088789A"/>
    <w:rsid w:val="0088791E"/>
    <w:rsid w:val="00890263"/>
    <w:rsid w:val="008908C9"/>
    <w:rsid w:val="00890DA9"/>
    <w:rsid w:val="00892153"/>
    <w:rsid w:val="00893404"/>
    <w:rsid w:val="00893C56"/>
    <w:rsid w:val="00894DB9"/>
    <w:rsid w:val="0089594C"/>
    <w:rsid w:val="0089674B"/>
    <w:rsid w:val="00897187"/>
    <w:rsid w:val="0089732D"/>
    <w:rsid w:val="008973BA"/>
    <w:rsid w:val="0089760C"/>
    <w:rsid w:val="008A0667"/>
    <w:rsid w:val="008A0727"/>
    <w:rsid w:val="008A0940"/>
    <w:rsid w:val="008A17C5"/>
    <w:rsid w:val="008A19B9"/>
    <w:rsid w:val="008A2A93"/>
    <w:rsid w:val="008A32B5"/>
    <w:rsid w:val="008A4B37"/>
    <w:rsid w:val="008A5CD7"/>
    <w:rsid w:val="008A5EEE"/>
    <w:rsid w:val="008A67A7"/>
    <w:rsid w:val="008A6B90"/>
    <w:rsid w:val="008A73E1"/>
    <w:rsid w:val="008A7547"/>
    <w:rsid w:val="008A7EC1"/>
    <w:rsid w:val="008B018D"/>
    <w:rsid w:val="008B0A37"/>
    <w:rsid w:val="008B10A3"/>
    <w:rsid w:val="008B1AD1"/>
    <w:rsid w:val="008B24D2"/>
    <w:rsid w:val="008B26A7"/>
    <w:rsid w:val="008B6489"/>
    <w:rsid w:val="008B6856"/>
    <w:rsid w:val="008B6E5D"/>
    <w:rsid w:val="008C19DB"/>
    <w:rsid w:val="008C1DFB"/>
    <w:rsid w:val="008C1F19"/>
    <w:rsid w:val="008C1F4B"/>
    <w:rsid w:val="008C1F5F"/>
    <w:rsid w:val="008C2509"/>
    <w:rsid w:val="008C2659"/>
    <w:rsid w:val="008C28A9"/>
    <w:rsid w:val="008C2929"/>
    <w:rsid w:val="008C294A"/>
    <w:rsid w:val="008C29E4"/>
    <w:rsid w:val="008C33CA"/>
    <w:rsid w:val="008C34CF"/>
    <w:rsid w:val="008C44C9"/>
    <w:rsid w:val="008C49E2"/>
    <w:rsid w:val="008C4EDA"/>
    <w:rsid w:val="008C5CAF"/>
    <w:rsid w:val="008C625A"/>
    <w:rsid w:val="008C677A"/>
    <w:rsid w:val="008C6D20"/>
    <w:rsid w:val="008D006A"/>
    <w:rsid w:val="008D047A"/>
    <w:rsid w:val="008D080C"/>
    <w:rsid w:val="008D0B5B"/>
    <w:rsid w:val="008D1041"/>
    <w:rsid w:val="008D118E"/>
    <w:rsid w:val="008D2656"/>
    <w:rsid w:val="008D2A7D"/>
    <w:rsid w:val="008D2B7D"/>
    <w:rsid w:val="008D2D24"/>
    <w:rsid w:val="008D2E0B"/>
    <w:rsid w:val="008D3234"/>
    <w:rsid w:val="008D53CB"/>
    <w:rsid w:val="008D5739"/>
    <w:rsid w:val="008D5D50"/>
    <w:rsid w:val="008D6CEE"/>
    <w:rsid w:val="008D6EDE"/>
    <w:rsid w:val="008D7F03"/>
    <w:rsid w:val="008E051A"/>
    <w:rsid w:val="008E0587"/>
    <w:rsid w:val="008E0AAD"/>
    <w:rsid w:val="008E14C9"/>
    <w:rsid w:val="008E1714"/>
    <w:rsid w:val="008E19CC"/>
    <w:rsid w:val="008E1A05"/>
    <w:rsid w:val="008E26C6"/>
    <w:rsid w:val="008E2E96"/>
    <w:rsid w:val="008E34EC"/>
    <w:rsid w:val="008E3B6A"/>
    <w:rsid w:val="008E3B77"/>
    <w:rsid w:val="008E3CC9"/>
    <w:rsid w:val="008E4978"/>
    <w:rsid w:val="008E4B5F"/>
    <w:rsid w:val="008E4BCA"/>
    <w:rsid w:val="008E6956"/>
    <w:rsid w:val="008E7E66"/>
    <w:rsid w:val="008F0467"/>
    <w:rsid w:val="008F1026"/>
    <w:rsid w:val="008F21BA"/>
    <w:rsid w:val="008F26B4"/>
    <w:rsid w:val="008F2B26"/>
    <w:rsid w:val="008F2EF1"/>
    <w:rsid w:val="008F37F3"/>
    <w:rsid w:val="008F50C1"/>
    <w:rsid w:val="008F744E"/>
    <w:rsid w:val="009006D6"/>
    <w:rsid w:val="00900C0C"/>
    <w:rsid w:val="009018CC"/>
    <w:rsid w:val="00901932"/>
    <w:rsid w:val="00903173"/>
    <w:rsid w:val="009035D1"/>
    <w:rsid w:val="009042B7"/>
    <w:rsid w:val="00905657"/>
    <w:rsid w:val="00906DA2"/>
    <w:rsid w:val="0091073A"/>
    <w:rsid w:val="00910879"/>
    <w:rsid w:val="009114B0"/>
    <w:rsid w:val="00911B91"/>
    <w:rsid w:val="00912521"/>
    <w:rsid w:val="009128A3"/>
    <w:rsid w:val="00912DCF"/>
    <w:rsid w:val="00914566"/>
    <w:rsid w:val="009158DC"/>
    <w:rsid w:val="00915F13"/>
    <w:rsid w:val="00920056"/>
    <w:rsid w:val="009207FE"/>
    <w:rsid w:val="00921438"/>
    <w:rsid w:val="00922885"/>
    <w:rsid w:val="009232A6"/>
    <w:rsid w:val="00924539"/>
    <w:rsid w:val="009249A3"/>
    <w:rsid w:val="00925104"/>
    <w:rsid w:val="0092562A"/>
    <w:rsid w:val="009267E3"/>
    <w:rsid w:val="00927D01"/>
    <w:rsid w:val="00930A6C"/>
    <w:rsid w:val="00930BE0"/>
    <w:rsid w:val="00931B7E"/>
    <w:rsid w:val="0093292E"/>
    <w:rsid w:val="00932DCD"/>
    <w:rsid w:val="009337AC"/>
    <w:rsid w:val="009338C0"/>
    <w:rsid w:val="009356DE"/>
    <w:rsid w:val="00935A3E"/>
    <w:rsid w:val="00936AC0"/>
    <w:rsid w:val="009375FB"/>
    <w:rsid w:val="00937B03"/>
    <w:rsid w:val="00937B50"/>
    <w:rsid w:val="00940A90"/>
    <w:rsid w:val="00940FA0"/>
    <w:rsid w:val="00941561"/>
    <w:rsid w:val="00942134"/>
    <w:rsid w:val="009430CE"/>
    <w:rsid w:val="009435EC"/>
    <w:rsid w:val="00943D1A"/>
    <w:rsid w:val="009445B6"/>
    <w:rsid w:val="009446B4"/>
    <w:rsid w:val="0094559C"/>
    <w:rsid w:val="00945CD2"/>
    <w:rsid w:val="00945EB7"/>
    <w:rsid w:val="0094658C"/>
    <w:rsid w:val="0094698A"/>
    <w:rsid w:val="00947C0F"/>
    <w:rsid w:val="00947E13"/>
    <w:rsid w:val="00950429"/>
    <w:rsid w:val="009507FC"/>
    <w:rsid w:val="00952061"/>
    <w:rsid w:val="0095276B"/>
    <w:rsid w:val="00952E11"/>
    <w:rsid w:val="00953333"/>
    <w:rsid w:val="00953A35"/>
    <w:rsid w:val="00953CE3"/>
    <w:rsid w:val="0095484B"/>
    <w:rsid w:val="00954A17"/>
    <w:rsid w:val="00955718"/>
    <w:rsid w:val="00955B70"/>
    <w:rsid w:val="00955D69"/>
    <w:rsid w:val="009562C7"/>
    <w:rsid w:val="00956D8F"/>
    <w:rsid w:val="00957E5D"/>
    <w:rsid w:val="00960095"/>
    <w:rsid w:val="00960535"/>
    <w:rsid w:val="00961EB2"/>
    <w:rsid w:val="009620C5"/>
    <w:rsid w:val="00963163"/>
    <w:rsid w:val="0096446E"/>
    <w:rsid w:val="00964840"/>
    <w:rsid w:val="00964905"/>
    <w:rsid w:val="00964BBF"/>
    <w:rsid w:val="00965518"/>
    <w:rsid w:val="00965DE7"/>
    <w:rsid w:val="00965F68"/>
    <w:rsid w:val="00966595"/>
    <w:rsid w:val="0096705F"/>
    <w:rsid w:val="00967367"/>
    <w:rsid w:val="00967408"/>
    <w:rsid w:val="00967F08"/>
    <w:rsid w:val="00970009"/>
    <w:rsid w:val="00970331"/>
    <w:rsid w:val="0097097C"/>
    <w:rsid w:val="00971624"/>
    <w:rsid w:val="0097248E"/>
    <w:rsid w:val="0097296B"/>
    <w:rsid w:val="009731AC"/>
    <w:rsid w:val="00973EB7"/>
    <w:rsid w:val="00974105"/>
    <w:rsid w:val="00974892"/>
    <w:rsid w:val="0097651A"/>
    <w:rsid w:val="009773C9"/>
    <w:rsid w:val="00977AB7"/>
    <w:rsid w:val="00977D4C"/>
    <w:rsid w:val="00980347"/>
    <w:rsid w:val="00980559"/>
    <w:rsid w:val="00980B72"/>
    <w:rsid w:val="009815A9"/>
    <w:rsid w:val="00983248"/>
    <w:rsid w:val="009832DC"/>
    <w:rsid w:val="00983A78"/>
    <w:rsid w:val="009840C0"/>
    <w:rsid w:val="00984322"/>
    <w:rsid w:val="009848DE"/>
    <w:rsid w:val="00986098"/>
    <w:rsid w:val="009867C6"/>
    <w:rsid w:val="00986BE0"/>
    <w:rsid w:val="00986C2C"/>
    <w:rsid w:val="009901EC"/>
    <w:rsid w:val="00990D01"/>
    <w:rsid w:val="00990EE2"/>
    <w:rsid w:val="00993EF6"/>
    <w:rsid w:val="0099409A"/>
    <w:rsid w:val="00994E74"/>
    <w:rsid w:val="009966AB"/>
    <w:rsid w:val="00997E7B"/>
    <w:rsid w:val="009A083C"/>
    <w:rsid w:val="009A0ADA"/>
    <w:rsid w:val="009A1F4F"/>
    <w:rsid w:val="009A2C7E"/>
    <w:rsid w:val="009A370B"/>
    <w:rsid w:val="009A469F"/>
    <w:rsid w:val="009A4780"/>
    <w:rsid w:val="009A48C3"/>
    <w:rsid w:val="009A4954"/>
    <w:rsid w:val="009A5206"/>
    <w:rsid w:val="009A5A0E"/>
    <w:rsid w:val="009A670D"/>
    <w:rsid w:val="009A757C"/>
    <w:rsid w:val="009A7701"/>
    <w:rsid w:val="009A78D4"/>
    <w:rsid w:val="009B0A62"/>
    <w:rsid w:val="009B0EFB"/>
    <w:rsid w:val="009B0FBD"/>
    <w:rsid w:val="009B1397"/>
    <w:rsid w:val="009B14AB"/>
    <w:rsid w:val="009B235C"/>
    <w:rsid w:val="009B25D0"/>
    <w:rsid w:val="009B2CD2"/>
    <w:rsid w:val="009B314E"/>
    <w:rsid w:val="009B3540"/>
    <w:rsid w:val="009B3B6E"/>
    <w:rsid w:val="009B43B2"/>
    <w:rsid w:val="009B44AB"/>
    <w:rsid w:val="009B4FBA"/>
    <w:rsid w:val="009B52DB"/>
    <w:rsid w:val="009B5FD9"/>
    <w:rsid w:val="009B6509"/>
    <w:rsid w:val="009C00D2"/>
    <w:rsid w:val="009C016A"/>
    <w:rsid w:val="009C0365"/>
    <w:rsid w:val="009C058E"/>
    <w:rsid w:val="009C0B48"/>
    <w:rsid w:val="009C1135"/>
    <w:rsid w:val="009C1209"/>
    <w:rsid w:val="009C27D3"/>
    <w:rsid w:val="009C33A3"/>
    <w:rsid w:val="009C4885"/>
    <w:rsid w:val="009C59EA"/>
    <w:rsid w:val="009C6B5A"/>
    <w:rsid w:val="009C6F97"/>
    <w:rsid w:val="009C76BC"/>
    <w:rsid w:val="009C79FA"/>
    <w:rsid w:val="009C7BFA"/>
    <w:rsid w:val="009C7D2C"/>
    <w:rsid w:val="009C7DD3"/>
    <w:rsid w:val="009C7F85"/>
    <w:rsid w:val="009D01DD"/>
    <w:rsid w:val="009D11B3"/>
    <w:rsid w:val="009D12A4"/>
    <w:rsid w:val="009D1716"/>
    <w:rsid w:val="009D19B4"/>
    <w:rsid w:val="009D1D76"/>
    <w:rsid w:val="009D1E59"/>
    <w:rsid w:val="009D21FE"/>
    <w:rsid w:val="009D246B"/>
    <w:rsid w:val="009D3777"/>
    <w:rsid w:val="009D4706"/>
    <w:rsid w:val="009D4939"/>
    <w:rsid w:val="009D4D34"/>
    <w:rsid w:val="009D5092"/>
    <w:rsid w:val="009D73FF"/>
    <w:rsid w:val="009D7596"/>
    <w:rsid w:val="009E0460"/>
    <w:rsid w:val="009E1664"/>
    <w:rsid w:val="009E1A8E"/>
    <w:rsid w:val="009E248A"/>
    <w:rsid w:val="009E2D0B"/>
    <w:rsid w:val="009E2EA2"/>
    <w:rsid w:val="009E3419"/>
    <w:rsid w:val="009E4719"/>
    <w:rsid w:val="009E4B8B"/>
    <w:rsid w:val="009E51E9"/>
    <w:rsid w:val="009E560A"/>
    <w:rsid w:val="009E6553"/>
    <w:rsid w:val="009E695E"/>
    <w:rsid w:val="009E6F06"/>
    <w:rsid w:val="009E7348"/>
    <w:rsid w:val="009F236E"/>
    <w:rsid w:val="009F2537"/>
    <w:rsid w:val="009F28C7"/>
    <w:rsid w:val="009F3790"/>
    <w:rsid w:val="009F5BAE"/>
    <w:rsid w:val="009F5E08"/>
    <w:rsid w:val="009F5E66"/>
    <w:rsid w:val="009F6066"/>
    <w:rsid w:val="009F7F58"/>
    <w:rsid w:val="00A0005E"/>
    <w:rsid w:val="00A010A7"/>
    <w:rsid w:val="00A0275E"/>
    <w:rsid w:val="00A037E2"/>
    <w:rsid w:val="00A04EC7"/>
    <w:rsid w:val="00A05B0B"/>
    <w:rsid w:val="00A0688C"/>
    <w:rsid w:val="00A06D07"/>
    <w:rsid w:val="00A07952"/>
    <w:rsid w:val="00A07CED"/>
    <w:rsid w:val="00A10499"/>
    <w:rsid w:val="00A12858"/>
    <w:rsid w:val="00A12E40"/>
    <w:rsid w:val="00A134FD"/>
    <w:rsid w:val="00A134FF"/>
    <w:rsid w:val="00A139C5"/>
    <w:rsid w:val="00A13BA1"/>
    <w:rsid w:val="00A14070"/>
    <w:rsid w:val="00A1473C"/>
    <w:rsid w:val="00A148AF"/>
    <w:rsid w:val="00A158EC"/>
    <w:rsid w:val="00A15CE8"/>
    <w:rsid w:val="00A163FA"/>
    <w:rsid w:val="00A20D7A"/>
    <w:rsid w:val="00A20D91"/>
    <w:rsid w:val="00A215CB"/>
    <w:rsid w:val="00A21CFF"/>
    <w:rsid w:val="00A228C8"/>
    <w:rsid w:val="00A22B60"/>
    <w:rsid w:val="00A22E11"/>
    <w:rsid w:val="00A23505"/>
    <w:rsid w:val="00A237AF"/>
    <w:rsid w:val="00A237D9"/>
    <w:rsid w:val="00A23A5B"/>
    <w:rsid w:val="00A23B6C"/>
    <w:rsid w:val="00A246B1"/>
    <w:rsid w:val="00A24A3F"/>
    <w:rsid w:val="00A2568B"/>
    <w:rsid w:val="00A256EF"/>
    <w:rsid w:val="00A26089"/>
    <w:rsid w:val="00A26585"/>
    <w:rsid w:val="00A27277"/>
    <w:rsid w:val="00A272A7"/>
    <w:rsid w:val="00A276B8"/>
    <w:rsid w:val="00A30443"/>
    <w:rsid w:val="00A307E6"/>
    <w:rsid w:val="00A30C5B"/>
    <w:rsid w:val="00A30EE8"/>
    <w:rsid w:val="00A323A9"/>
    <w:rsid w:val="00A32440"/>
    <w:rsid w:val="00A32C09"/>
    <w:rsid w:val="00A33520"/>
    <w:rsid w:val="00A337AC"/>
    <w:rsid w:val="00A342A5"/>
    <w:rsid w:val="00A34A00"/>
    <w:rsid w:val="00A350B8"/>
    <w:rsid w:val="00A35D0A"/>
    <w:rsid w:val="00A3606E"/>
    <w:rsid w:val="00A368AC"/>
    <w:rsid w:val="00A375CF"/>
    <w:rsid w:val="00A37CCB"/>
    <w:rsid w:val="00A407C2"/>
    <w:rsid w:val="00A41381"/>
    <w:rsid w:val="00A4217E"/>
    <w:rsid w:val="00A42A19"/>
    <w:rsid w:val="00A42B29"/>
    <w:rsid w:val="00A44DF1"/>
    <w:rsid w:val="00A451A2"/>
    <w:rsid w:val="00A45318"/>
    <w:rsid w:val="00A4554E"/>
    <w:rsid w:val="00A45760"/>
    <w:rsid w:val="00A457D1"/>
    <w:rsid w:val="00A46F6D"/>
    <w:rsid w:val="00A46FFA"/>
    <w:rsid w:val="00A47371"/>
    <w:rsid w:val="00A47A28"/>
    <w:rsid w:val="00A47B05"/>
    <w:rsid w:val="00A47F9F"/>
    <w:rsid w:val="00A5111C"/>
    <w:rsid w:val="00A516B8"/>
    <w:rsid w:val="00A51A13"/>
    <w:rsid w:val="00A51E51"/>
    <w:rsid w:val="00A527F9"/>
    <w:rsid w:val="00A53751"/>
    <w:rsid w:val="00A547B3"/>
    <w:rsid w:val="00A55AF8"/>
    <w:rsid w:val="00A60E14"/>
    <w:rsid w:val="00A60EFE"/>
    <w:rsid w:val="00A60F2E"/>
    <w:rsid w:val="00A61A2B"/>
    <w:rsid w:val="00A6211F"/>
    <w:rsid w:val="00A62989"/>
    <w:rsid w:val="00A63094"/>
    <w:rsid w:val="00A6309D"/>
    <w:rsid w:val="00A6462D"/>
    <w:rsid w:val="00A647E4"/>
    <w:rsid w:val="00A648A0"/>
    <w:rsid w:val="00A64A53"/>
    <w:rsid w:val="00A6554F"/>
    <w:rsid w:val="00A65B67"/>
    <w:rsid w:val="00A65C5B"/>
    <w:rsid w:val="00A661E9"/>
    <w:rsid w:val="00A6722B"/>
    <w:rsid w:val="00A677D1"/>
    <w:rsid w:val="00A67A2C"/>
    <w:rsid w:val="00A703A3"/>
    <w:rsid w:val="00A705C4"/>
    <w:rsid w:val="00A70957"/>
    <w:rsid w:val="00A70AE6"/>
    <w:rsid w:val="00A71BAC"/>
    <w:rsid w:val="00A71D1D"/>
    <w:rsid w:val="00A7257B"/>
    <w:rsid w:val="00A7336C"/>
    <w:rsid w:val="00A73A1B"/>
    <w:rsid w:val="00A73D14"/>
    <w:rsid w:val="00A73F7E"/>
    <w:rsid w:val="00A747B6"/>
    <w:rsid w:val="00A74990"/>
    <w:rsid w:val="00A7514B"/>
    <w:rsid w:val="00A7585A"/>
    <w:rsid w:val="00A75E13"/>
    <w:rsid w:val="00A760B5"/>
    <w:rsid w:val="00A7637B"/>
    <w:rsid w:val="00A76776"/>
    <w:rsid w:val="00A769E9"/>
    <w:rsid w:val="00A770F0"/>
    <w:rsid w:val="00A77F27"/>
    <w:rsid w:val="00A80B02"/>
    <w:rsid w:val="00A81286"/>
    <w:rsid w:val="00A81BF1"/>
    <w:rsid w:val="00A82495"/>
    <w:rsid w:val="00A82567"/>
    <w:rsid w:val="00A82DC0"/>
    <w:rsid w:val="00A85731"/>
    <w:rsid w:val="00A8679F"/>
    <w:rsid w:val="00A8742A"/>
    <w:rsid w:val="00A90568"/>
    <w:rsid w:val="00A914ED"/>
    <w:rsid w:val="00A91763"/>
    <w:rsid w:val="00A926F0"/>
    <w:rsid w:val="00A932B0"/>
    <w:rsid w:val="00A934FE"/>
    <w:rsid w:val="00A935BE"/>
    <w:rsid w:val="00A94064"/>
    <w:rsid w:val="00A94789"/>
    <w:rsid w:val="00A950FA"/>
    <w:rsid w:val="00A95637"/>
    <w:rsid w:val="00A95854"/>
    <w:rsid w:val="00A95F86"/>
    <w:rsid w:val="00A9679B"/>
    <w:rsid w:val="00A96887"/>
    <w:rsid w:val="00A9720D"/>
    <w:rsid w:val="00A978FE"/>
    <w:rsid w:val="00A97EF3"/>
    <w:rsid w:val="00AA09E0"/>
    <w:rsid w:val="00AA158C"/>
    <w:rsid w:val="00AA1F6F"/>
    <w:rsid w:val="00AA2106"/>
    <w:rsid w:val="00AA252D"/>
    <w:rsid w:val="00AA2855"/>
    <w:rsid w:val="00AA2D15"/>
    <w:rsid w:val="00AA318A"/>
    <w:rsid w:val="00AA378F"/>
    <w:rsid w:val="00AA3D70"/>
    <w:rsid w:val="00AA4213"/>
    <w:rsid w:val="00AA56CF"/>
    <w:rsid w:val="00AA60F4"/>
    <w:rsid w:val="00AA670E"/>
    <w:rsid w:val="00AA676A"/>
    <w:rsid w:val="00AA7BCB"/>
    <w:rsid w:val="00AA7E80"/>
    <w:rsid w:val="00AA7EDF"/>
    <w:rsid w:val="00AB2548"/>
    <w:rsid w:val="00AB36A1"/>
    <w:rsid w:val="00AB40B1"/>
    <w:rsid w:val="00AB48AD"/>
    <w:rsid w:val="00AB4D2B"/>
    <w:rsid w:val="00AB6149"/>
    <w:rsid w:val="00AB6CB2"/>
    <w:rsid w:val="00AB6FD7"/>
    <w:rsid w:val="00AC001C"/>
    <w:rsid w:val="00AC02FA"/>
    <w:rsid w:val="00AC180D"/>
    <w:rsid w:val="00AC1D93"/>
    <w:rsid w:val="00AC21BD"/>
    <w:rsid w:val="00AC2338"/>
    <w:rsid w:val="00AC277F"/>
    <w:rsid w:val="00AC2DE5"/>
    <w:rsid w:val="00AC4F58"/>
    <w:rsid w:val="00AC5D35"/>
    <w:rsid w:val="00AC626F"/>
    <w:rsid w:val="00AC641B"/>
    <w:rsid w:val="00AC646E"/>
    <w:rsid w:val="00AC6A9B"/>
    <w:rsid w:val="00AC6ED0"/>
    <w:rsid w:val="00AC79FC"/>
    <w:rsid w:val="00AD0A37"/>
    <w:rsid w:val="00AD1047"/>
    <w:rsid w:val="00AD1B5F"/>
    <w:rsid w:val="00AD228B"/>
    <w:rsid w:val="00AD28F7"/>
    <w:rsid w:val="00AD2CD6"/>
    <w:rsid w:val="00AD2D7F"/>
    <w:rsid w:val="00AD3168"/>
    <w:rsid w:val="00AD3CD9"/>
    <w:rsid w:val="00AD5316"/>
    <w:rsid w:val="00AD568D"/>
    <w:rsid w:val="00AD57A8"/>
    <w:rsid w:val="00AD5953"/>
    <w:rsid w:val="00AD5CEB"/>
    <w:rsid w:val="00AD648A"/>
    <w:rsid w:val="00AD7026"/>
    <w:rsid w:val="00AD717B"/>
    <w:rsid w:val="00AD725B"/>
    <w:rsid w:val="00AD73A1"/>
    <w:rsid w:val="00AD7B8D"/>
    <w:rsid w:val="00AD7DE3"/>
    <w:rsid w:val="00AE0251"/>
    <w:rsid w:val="00AE0775"/>
    <w:rsid w:val="00AE1158"/>
    <w:rsid w:val="00AE11FA"/>
    <w:rsid w:val="00AE14B1"/>
    <w:rsid w:val="00AE1838"/>
    <w:rsid w:val="00AE1DAD"/>
    <w:rsid w:val="00AE26D8"/>
    <w:rsid w:val="00AE38BF"/>
    <w:rsid w:val="00AE3C51"/>
    <w:rsid w:val="00AE3C69"/>
    <w:rsid w:val="00AE42A8"/>
    <w:rsid w:val="00AE4ABE"/>
    <w:rsid w:val="00AE4AF0"/>
    <w:rsid w:val="00AE4D23"/>
    <w:rsid w:val="00AE5749"/>
    <w:rsid w:val="00AE599C"/>
    <w:rsid w:val="00AE5BE7"/>
    <w:rsid w:val="00AE6FD4"/>
    <w:rsid w:val="00AE6FDF"/>
    <w:rsid w:val="00AE752E"/>
    <w:rsid w:val="00AF1442"/>
    <w:rsid w:val="00AF1E3A"/>
    <w:rsid w:val="00AF1F43"/>
    <w:rsid w:val="00AF2483"/>
    <w:rsid w:val="00AF28CA"/>
    <w:rsid w:val="00AF2DE0"/>
    <w:rsid w:val="00AF3062"/>
    <w:rsid w:val="00AF3D25"/>
    <w:rsid w:val="00AF49BB"/>
    <w:rsid w:val="00AF5F7A"/>
    <w:rsid w:val="00AF6A4A"/>
    <w:rsid w:val="00B004A4"/>
    <w:rsid w:val="00B008AC"/>
    <w:rsid w:val="00B00D4E"/>
    <w:rsid w:val="00B01269"/>
    <w:rsid w:val="00B0144E"/>
    <w:rsid w:val="00B01604"/>
    <w:rsid w:val="00B019C1"/>
    <w:rsid w:val="00B01C0E"/>
    <w:rsid w:val="00B02FEA"/>
    <w:rsid w:val="00B03701"/>
    <w:rsid w:val="00B0441A"/>
    <w:rsid w:val="00B04DFB"/>
    <w:rsid w:val="00B05068"/>
    <w:rsid w:val="00B06077"/>
    <w:rsid w:val="00B06185"/>
    <w:rsid w:val="00B0680D"/>
    <w:rsid w:val="00B100FB"/>
    <w:rsid w:val="00B10517"/>
    <w:rsid w:val="00B1090D"/>
    <w:rsid w:val="00B10C1C"/>
    <w:rsid w:val="00B10D5D"/>
    <w:rsid w:val="00B11DDE"/>
    <w:rsid w:val="00B12E28"/>
    <w:rsid w:val="00B12F24"/>
    <w:rsid w:val="00B148CB"/>
    <w:rsid w:val="00B149D2"/>
    <w:rsid w:val="00B15554"/>
    <w:rsid w:val="00B15E2E"/>
    <w:rsid w:val="00B15FB4"/>
    <w:rsid w:val="00B16B88"/>
    <w:rsid w:val="00B16C3E"/>
    <w:rsid w:val="00B16D88"/>
    <w:rsid w:val="00B16E6E"/>
    <w:rsid w:val="00B2011B"/>
    <w:rsid w:val="00B202A1"/>
    <w:rsid w:val="00B2135B"/>
    <w:rsid w:val="00B213F2"/>
    <w:rsid w:val="00B21904"/>
    <w:rsid w:val="00B21935"/>
    <w:rsid w:val="00B23508"/>
    <w:rsid w:val="00B23C36"/>
    <w:rsid w:val="00B23E94"/>
    <w:rsid w:val="00B2402F"/>
    <w:rsid w:val="00B25A90"/>
    <w:rsid w:val="00B25AF9"/>
    <w:rsid w:val="00B261BF"/>
    <w:rsid w:val="00B26540"/>
    <w:rsid w:val="00B26D0A"/>
    <w:rsid w:val="00B30BDC"/>
    <w:rsid w:val="00B30C90"/>
    <w:rsid w:val="00B31095"/>
    <w:rsid w:val="00B316A1"/>
    <w:rsid w:val="00B33414"/>
    <w:rsid w:val="00B33A95"/>
    <w:rsid w:val="00B34F72"/>
    <w:rsid w:val="00B3507F"/>
    <w:rsid w:val="00B35B06"/>
    <w:rsid w:val="00B35BDC"/>
    <w:rsid w:val="00B36353"/>
    <w:rsid w:val="00B36966"/>
    <w:rsid w:val="00B3776C"/>
    <w:rsid w:val="00B37969"/>
    <w:rsid w:val="00B40FEB"/>
    <w:rsid w:val="00B4269D"/>
    <w:rsid w:val="00B4280D"/>
    <w:rsid w:val="00B42B0A"/>
    <w:rsid w:val="00B43659"/>
    <w:rsid w:val="00B4398B"/>
    <w:rsid w:val="00B439BF"/>
    <w:rsid w:val="00B43FF7"/>
    <w:rsid w:val="00B44180"/>
    <w:rsid w:val="00B44F49"/>
    <w:rsid w:val="00B45D79"/>
    <w:rsid w:val="00B4601B"/>
    <w:rsid w:val="00B4731E"/>
    <w:rsid w:val="00B4748C"/>
    <w:rsid w:val="00B47F6F"/>
    <w:rsid w:val="00B50637"/>
    <w:rsid w:val="00B50B42"/>
    <w:rsid w:val="00B50E2F"/>
    <w:rsid w:val="00B51722"/>
    <w:rsid w:val="00B51E7B"/>
    <w:rsid w:val="00B52A44"/>
    <w:rsid w:val="00B52DEF"/>
    <w:rsid w:val="00B531EB"/>
    <w:rsid w:val="00B542E1"/>
    <w:rsid w:val="00B543C4"/>
    <w:rsid w:val="00B54D75"/>
    <w:rsid w:val="00B54DEE"/>
    <w:rsid w:val="00B57880"/>
    <w:rsid w:val="00B60235"/>
    <w:rsid w:val="00B60BD5"/>
    <w:rsid w:val="00B60C9E"/>
    <w:rsid w:val="00B612D2"/>
    <w:rsid w:val="00B617FF"/>
    <w:rsid w:val="00B620F0"/>
    <w:rsid w:val="00B62F54"/>
    <w:rsid w:val="00B63550"/>
    <w:rsid w:val="00B63EF2"/>
    <w:rsid w:val="00B64019"/>
    <w:rsid w:val="00B64F42"/>
    <w:rsid w:val="00B65A19"/>
    <w:rsid w:val="00B65B86"/>
    <w:rsid w:val="00B66B79"/>
    <w:rsid w:val="00B673B3"/>
    <w:rsid w:val="00B67462"/>
    <w:rsid w:val="00B6778A"/>
    <w:rsid w:val="00B70B15"/>
    <w:rsid w:val="00B712FB"/>
    <w:rsid w:val="00B71339"/>
    <w:rsid w:val="00B713CB"/>
    <w:rsid w:val="00B715F3"/>
    <w:rsid w:val="00B71976"/>
    <w:rsid w:val="00B71E54"/>
    <w:rsid w:val="00B7215D"/>
    <w:rsid w:val="00B73D45"/>
    <w:rsid w:val="00B73DD5"/>
    <w:rsid w:val="00B747CF"/>
    <w:rsid w:val="00B75205"/>
    <w:rsid w:val="00B75970"/>
    <w:rsid w:val="00B75EA4"/>
    <w:rsid w:val="00B76738"/>
    <w:rsid w:val="00B76B40"/>
    <w:rsid w:val="00B77292"/>
    <w:rsid w:val="00B803CA"/>
    <w:rsid w:val="00B80A07"/>
    <w:rsid w:val="00B80A33"/>
    <w:rsid w:val="00B82BE4"/>
    <w:rsid w:val="00B82F38"/>
    <w:rsid w:val="00B8373D"/>
    <w:rsid w:val="00B84C25"/>
    <w:rsid w:val="00B84D6E"/>
    <w:rsid w:val="00B84FDB"/>
    <w:rsid w:val="00B85BF3"/>
    <w:rsid w:val="00B85D6C"/>
    <w:rsid w:val="00B876E2"/>
    <w:rsid w:val="00B909AD"/>
    <w:rsid w:val="00B90E85"/>
    <w:rsid w:val="00B91320"/>
    <w:rsid w:val="00B91935"/>
    <w:rsid w:val="00B92352"/>
    <w:rsid w:val="00B93B66"/>
    <w:rsid w:val="00B93DAB"/>
    <w:rsid w:val="00B9428F"/>
    <w:rsid w:val="00B943E8"/>
    <w:rsid w:val="00B949C5"/>
    <w:rsid w:val="00B96973"/>
    <w:rsid w:val="00B974B5"/>
    <w:rsid w:val="00B97B0F"/>
    <w:rsid w:val="00BA0042"/>
    <w:rsid w:val="00BA0443"/>
    <w:rsid w:val="00BA0796"/>
    <w:rsid w:val="00BA10FB"/>
    <w:rsid w:val="00BA1296"/>
    <w:rsid w:val="00BA1355"/>
    <w:rsid w:val="00BA1458"/>
    <w:rsid w:val="00BA17D0"/>
    <w:rsid w:val="00BA2006"/>
    <w:rsid w:val="00BA2314"/>
    <w:rsid w:val="00BA23C3"/>
    <w:rsid w:val="00BA23FF"/>
    <w:rsid w:val="00BA2645"/>
    <w:rsid w:val="00BA49D3"/>
    <w:rsid w:val="00BA4B7E"/>
    <w:rsid w:val="00BA4BB7"/>
    <w:rsid w:val="00BA4EAE"/>
    <w:rsid w:val="00BA4ED5"/>
    <w:rsid w:val="00BA5B4F"/>
    <w:rsid w:val="00BA621A"/>
    <w:rsid w:val="00BA64BE"/>
    <w:rsid w:val="00BA7064"/>
    <w:rsid w:val="00BA77B4"/>
    <w:rsid w:val="00BB02B1"/>
    <w:rsid w:val="00BB178B"/>
    <w:rsid w:val="00BB1B2F"/>
    <w:rsid w:val="00BB319E"/>
    <w:rsid w:val="00BB3A2F"/>
    <w:rsid w:val="00BB494B"/>
    <w:rsid w:val="00BB75D1"/>
    <w:rsid w:val="00BB7854"/>
    <w:rsid w:val="00BB78B1"/>
    <w:rsid w:val="00BB7B3C"/>
    <w:rsid w:val="00BB7E78"/>
    <w:rsid w:val="00BC186E"/>
    <w:rsid w:val="00BC1B43"/>
    <w:rsid w:val="00BC2021"/>
    <w:rsid w:val="00BC2DF1"/>
    <w:rsid w:val="00BC34BB"/>
    <w:rsid w:val="00BC3A68"/>
    <w:rsid w:val="00BC4434"/>
    <w:rsid w:val="00BC4A6E"/>
    <w:rsid w:val="00BC5397"/>
    <w:rsid w:val="00BC53DE"/>
    <w:rsid w:val="00BC6492"/>
    <w:rsid w:val="00BC674F"/>
    <w:rsid w:val="00BC69FC"/>
    <w:rsid w:val="00BC6D91"/>
    <w:rsid w:val="00BC725D"/>
    <w:rsid w:val="00BC79F3"/>
    <w:rsid w:val="00BD0EED"/>
    <w:rsid w:val="00BD165F"/>
    <w:rsid w:val="00BD17E8"/>
    <w:rsid w:val="00BD1E9F"/>
    <w:rsid w:val="00BD3600"/>
    <w:rsid w:val="00BD3FE0"/>
    <w:rsid w:val="00BD4BF7"/>
    <w:rsid w:val="00BD720F"/>
    <w:rsid w:val="00BD76DA"/>
    <w:rsid w:val="00BE0D93"/>
    <w:rsid w:val="00BE174A"/>
    <w:rsid w:val="00BE258C"/>
    <w:rsid w:val="00BE2975"/>
    <w:rsid w:val="00BE2F31"/>
    <w:rsid w:val="00BE3035"/>
    <w:rsid w:val="00BE3DEB"/>
    <w:rsid w:val="00BE489A"/>
    <w:rsid w:val="00BE584B"/>
    <w:rsid w:val="00BE5933"/>
    <w:rsid w:val="00BE5E33"/>
    <w:rsid w:val="00BE62A6"/>
    <w:rsid w:val="00BE68A7"/>
    <w:rsid w:val="00BF0732"/>
    <w:rsid w:val="00BF0BFA"/>
    <w:rsid w:val="00BF1AE5"/>
    <w:rsid w:val="00BF3B31"/>
    <w:rsid w:val="00BF45D9"/>
    <w:rsid w:val="00BF56F0"/>
    <w:rsid w:val="00BF5A12"/>
    <w:rsid w:val="00BF63B2"/>
    <w:rsid w:val="00BF6A5A"/>
    <w:rsid w:val="00BF6B7F"/>
    <w:rsid w:val="00BF7304"/>
    <w:rsid w:val="00BF74E1"/>
    <w:rsid w:val="00BF7752"/>
    <w:rsid w:val="00BF7E14"/>
    <w:rsid w:val="00C013C1"/>
    <w:rsid w:val="00C01BCA"/>
    <w:rsid w:val="00C026A4"/>
    <w:rsid w:val="00C02F28"/>
    <w:rsid w:val="00C03DCC"/>
    <w:rsid w:val="00C047CD"/>
    <w:rsid w:val="00C04D4E"/>
    <w:rsid w:val="00C05223"/>
    <w:rsid w:val="00C05AF6"/>
    <w:rsid w:val="00C05C9F"/>
    <w:rsid w:val="00C06464"/>
    <w:rsid w:val="00C069DA"/>
    <w:rsid w:val="00C11F72"/>
    <w:rsid w:val="00C134A4"/>
    <w:rsid w:val="00C13EB2"/>
    <w:rsid w:val="00C14B58"/>
    <w:rsid w:val="00C15C6A"/>
    <w:rsid w:val="00C15ECF"/>
    <w:rsid w:val="00C162DB"/>
    <w:rsid w:val="00C20DFF"/>
    <w:rsid w:val="00C21042"/>
    <w:rsid w:val="00C2115E"/>
    <w:rsid w:val="00C213EE"/>
    <w:rsid w:val="00C2398B"/>
    <w:rsid w:val="00C239AC"/>
    <w:rsid w:val="00C23B58"/>
    <w:rsid w:val="00C2495E"/>
    <w:rsid w:val="00C24DBE"/>
    <w:rsid w:val="00C2579B"/>
    <w:rsid w:val="00C25EC4"/>
    <w:rsid w:val="00C263F1"/>
    <w:rsid w:val="00C27679"/>
    <w:rsid w:val="00C31760"/>
    <w:rsid w:val="00C322C5"/>
    <w:rsid w:val="00C32994"/>
    <w:rsid w:val="00C339C7"/>
    <w:rsid w:val="00C33F24"/>
    <w:rsid w:val="00C34819"/>
    <w:rsid w:val="00C35E15"/>
    <w:rsid w:val="00C3759B"/>
    <w:rsid w:val="00C378EA"/>
    <w:rsid w:val="00C37DCF"/>
    <w:rsid w:val="00C3CFC7"/>
    <w:rsid w:val="00C407F3"/>
    <w:rsid w:val="00C41448"/>
    <w:rsid w:val="00C41E93"/>
    <w:rsid w:val="00C42D93"/>
    <w:rsid w:val="00C43FCE"/>
    <w:rsid w:val="00C44908"/>
    <w:rsid w:val="00C450B6"/>
    <w:rsid w:val="00C457BC"/>
    <w:rsid w:val="00C4667C"/>
    <w:rsid w:val="00C4752A"/>
    <w:rsid w:val="00C47D5A"/>
    <w:rsid w:val="00C47E51"/>
    <w:rsid w:val="00C50900"/>
    <w:rsid w:val="00C50C02"/>
    <w:rsid w:val="00C50E37"/>
    <w:rsid w:val="00C53E10"/>
    <w:rsid w:val="00C5482D"/>
    <w:rsid w:val="00C54AF2"/>
    <w:rsid w:val="00C54CD7"/>
    <w:rsid w:val="00C54FDA"/>
    <w:rsid w:val="00C55251"/>
    <w:rsid w:val="00C553D1"/>
    <w:rsid w:val="00C554B5"/>
    <w:rsid w:val="00C555C0"/>
    <w:rsid w:val="00C5572F"/>
    <w:rsid w:val="00C55C65"/>
    <w:rsid w:val="00C55D3C"/>
    <w:rsid w:val="00C56143"/>
    <w:rsid w:val="00C56A00"/>
    <w:rsid w:val="00C56C4F"/>
    <w:rsid w:val="00C57049"/>
    <w:rsid w:val="00C57817"/>
    <w:rsid w:val="00C57A78"/>
    <w:rsid w:val="00C6015E"/>
    <w:rsid w:val="00C6084A"/>
    <w:rsid w:val="00C61C93"/>
    <w:rsid w:val="00C624EE"/>
    <w:rsid w:val="00C629A4"/>
    <w:rsid w:val="00C62C3A"/>
    <w:rsid w:val="00C62EBF"/>
    <w:rsid w:val="00C62FF8"/>
    <w:rsid w:val="00C631B2"/>
    <w:rsid w:val="00C63D8D"/>
    <w:rsid w:val="00C64A4E"/>
    <w:rsid w:val="00C65F8D"/>
    <w:rsid w:val="00C67C64"/>
    <w:rsid w:val="00C70F76"/>
    <w:rsid w:val="00C70FAC"/>
    <w:rsid w:val="00C7103A"/>
    <w:rsid w:val="00C71541"/>
    <w:rsid w:val="00C71883"/>
    <w:rsid w:val="00C719F6"/>
    <w:rsid w:val="00C725CF"/>
    <w:rsid w:val="00C72CDA"/>
    <w:rsid w:val="00C73119"/>
    <w:rsid w:val="00C7361C"/>
    <w:rsid w:val="00C737B8"/>
    <w:rsid w:val="00C74005"/>
    <w:rsid w:val="00C74225"/>
    <w:rsid w:val="00C743EE"/>
    <w:rsid w:val="00C76C27"/>
    <w:rsid w:val="00C8006A"/>
    <w:rsid w:val="00C8043D"/>
    <w:rsid w:val="00C80953"/>
    <w:rsid w:val="00C8159E"/>
    <w:rsid w:val="00C816D0"/>
    <w:rsid w:val="00C825C1"/>
    <w:rsid w:val="00C82D8F"/>
    <w:rsid w:val="00C833AA"/>
    <w:rsid w:val="00C8397E"/>
    <w:rsid w:val="00C84519"/>
    <w:rsid w:val="00C847FA"/>
    <w:rsid w:val="00C8647A"/>
    <w:rsid w:val="00C86516"/>
    <w:rsid w:val="00C870EB"/>
    <w:rsid w:val="00C8777C"/>
    <w:rsid w:val="00C900CD"/>
    <w:rsid w:val="00C9067B"/>
    <w:rsid w:val="00C91656"/>
    <w:rsid w:val="00C91A42"/>
    <w:rsid w:val="00C91F7E"/>
    <w:rsid w:val="00C9286C"/>
    <w:rsid w:val="00C92DA5"/>
    <w:rsid w:val="00C93F94"/>
    <w:rsid w:val="00C94844"/>
    <w:rsid w:val="00C948C4"/>
    <w:rsid w:val="00C94E23"/>
    <w:rsid w:val="00C9584C"/>
    <w:rsid w:val="00C959FD"/>
    <w:rsid w:val="00C95C35"/>
    <w:rsid w:val="00C962B4"/>
    <w:rsid w:val="00C96C0F"/>
    <w:rsid w:val="00C96FF1"/>
    <w:rsid w:val="00C977B5"/>
    <w:rsid w:val="00C97B3A"/>
    <w:rsid w:val="00CA113F"/>
    <w:rsid w:val="00CA11C1"/>
    <w:rsid w:val="00CA1BF5"/>
    <w:rsid w:val="00CA1FAB"/>
    <w:rsid w:val="00CA2E68"/>
    <w:rsid w:val="00CA30A7"/>
    <w:rsid w:val="00CA3884"/>
    <w:rsid w:val="00CA46E7"/>
    <w:rsid w:val="00CA4B34"/>
    <w:rsid w:val="00CA558D"/>
    <w:rsid w:val="00CA56A8"/>
    <w:rsid w:val="00CA6328"/>
    <w:rsid w:val="00CA645F"/>
    <w:rsid w:val="00CA6782"/>
    <w:rsid w:val="00CA74E0"/>
    <w:rsid w:val="00CA7771"/>
    <w:rsid w:val="00CA7B39"/>
    <w:rsid w:val="00CA7BCD"/>
    <w:rsid w:val="00CA7EF8"/>
    <w:rsid w:val="00CB0447"/>
    <w:rsid w:val="00CB0894"/>
    <w:rsid w:val="00CB0DE0"/>
    <w:rsid w:val="00CB12E7"/>
    <w:rsid w:val="00CB2F0A"/>
    <w:rsid w:val="00CB4DFE"/>
    <w:rsid w:val="00CB4EFB"/>
    <w:rsid w:val="00CB6E35"/>
    <w:rsid w:val="00CB7B24"/>
    <w:rsid w:val="00CB7E68"/>
    <w:rsid w:val="00CC0170"/>
    <w:rsid w:val="00CC02F2"/>
    <w:rsid w:val="00CC2156"/>
    <w:rsid w:val="00CC3192"/>
    <w:rsid w:val="00CC3EB4"/>
    <w:rsid w:val="00CC3F2F"/>
    <w:rsid w:val="00CC4129"/>
    <w:rsid w:val="00CC4726"/>
    <w:rsid w:val="00CC4B9E"/>
    <w:rsid w:val="00CC4CF1"/>
    <w:rsid w:val="00CC545D"/>
    <w:rsid w:val="00CC5569"/>
    <w:rsid w:val="00CC5633"/>
    <w:rsid w:val="00CC57C6"/>
    <w:rsid w:val="00CC6734"/>
    <w:rsid w:val="00CC6A6C"/>
    <w:rsid w:val="00CC6F3B"/>
    <w:rsid w:val="00CC70A2"/>
    <w:rsid w:val="00CC77C7"/>
    <w:rsid w:val="00CC7CC6"/>
    <w:rsid w:val="00CD083E"/>
    <w:rsid w:val="00CD0842"/>
    <w:rsid w:val="00CD1992"/>
    <w:rsid w:val="00CD21BC"/>
    <w:rsid w:val="00CD2BF8"/>
    <w:rsid w:val="00CD3943"/>
    <w:rsid w:val="00CD6538"/>
    <w:rsid w:val="00CD69F4"/>
    <w:rsid w:val="00CD7E51"/>
    <w:rsid w:val="00CD7ED1"/>
    <w:rsid w:val="00CE0671"/>
    <w:rsid w:val="00CE0C94"/>
    <w:rsid w:val="00CE102B"/>
    <w:rsid w:val="00CE156E"/>
    <w:rsid w:val="00CE1EC8"/>
    <w:rsid w:val="00CE1ED6"/>
    <w:rsid w:val="00CE23D2"/>
    <w:rsid w:val="00CE2BB8"/>
    <w:rsid w:val="00CE3306"/>
    <w:rsid w:val="00CE3DCB"/>
    <w:rsid w:val="00CE3DFD"/>
    <w:rsid w:val="00CE3EFE"/>
    <w:rsid w:val="00CE3F1E"/>
    <w:rsid w:val="00CE47F0"/>
    <w:rsid w:val="00CE4A69"/>
    <w:rsid w:val="00CE4C6C"/>
    <w:rsid w:val="00CE4D95"/>
    <w:rsid w:val="00CE4DC6"/>
    <w:rsid w:val="00CE5067"/>
    <w:rsid w:val="00CE6590"/>
    <w:rsid w:val="00CE73D9"/>
    <w:rsid w:val="00CE78D3"/>
    <w:rsid w:val="00CE7978"/>
    <w:rsid w:val="00CF02AF"/>
    <w:rsid w:val="00CF0BD9"/>
    <w:rsid w:val="00CF2215"/>
    <w:rsid w:val="00CF3020"/>
    <w:rsid w:val="00CF346F"/>
    <w:rsid w:val="00CF4175"/>
    <w:rsid w:val="00CF49BA"/>
    <w:rsid w:val="00CF4D45"/>
    <w:rsid w:val="00CF4E59"/>
    <w:rsid w:val="00CF4EFF"/>
    <w:rsid w:val="00CF58FE"/>
    <w:rsid w:val="00CF5F17"/>
    <w:rsid w:val="00CF62B7"/>
    <w:rsid w:val="00CF6A86"/>
    <w:rsid w:val="00D0070F"/>
    <w:rsid w:val="00D01AAF"/>
    <w:rsid w:val="00D01F68"/>
    <w:rsid w:val="00D0206E"/>
    <w:rsid w:val="00D02D95"/>
    <w:rsid w:val="00D0326A"/>
    <w:rsid w:val="00D03B2A"/>
    <w:rsid w:val="00D03C13"/>
    <w:rsid w:val="00D03FC6"/>
    <w:rsid w:val="00D04112"/>
    <w:rsid w:val="00D04181"/>
    <w:rsid w:val="00D049BD"/>
    <w:rsid w:val="00D05169"/>
    <w:rsid w:val="00D06726"/>
    <w:rsid w:val="00D06801"/>
    <w:rsid w:val="00D07160"/>
    <w:rsid w:val="00D10458"/>
    <w:rsid w:val="00D10CCF"/>
    <w:rsid w:val="00D11532"/>
    <w:rsid w:val="00D12C84"/>
    <w:rsid w:val="00D13148"/>
    <w:rsid w:val="00D13553"/>
    <w:rsid w:val="00D137CE"/>
    <w:rsid w:val="00D13804"/>
    <w:rsid w:val="00D13B54"/>
    <w:rsid w:val="00D1412F"/>
    <w:rsid w:val="00D15798"/>
    <w:rsid w:val="00D161FC"/>
    <w:rsid w:val="00D1715E"/>
    <w:rsid w:val="00D17349"/>
    <w:rsid w:val="00D174F1"/>
    <w:rsid w:val="00D20214"/>
    <w:rsid w:val="00D20671"/>
    <w:rsid w:val="00D20DAC"/>
    <w:rsid w:val="00D215DE"/>
    <w:rsid w:val="00D21666"/>
    <w:rsid w:val="00D22035"/>
    <w:rsid w:val="00D2215C"/>
    <w:rsid w:val="00D22E4F"/>
    <w:rsid w:val="00D2321D"/>
    <w:rsid w:val="00D2329D"/>
    <w:rsid w:val="00D23787"/>
    <w:rsid w:val="00D23A6D"/>
    <w:rsid w:val="00D2427A"/>
    <w:rsid w:val="00D2641C"/>
    <w:rsid w:val="00D26E53"/>
    <w:rsid w:val="00D274AA"/>
    <w:rsid w:val="00D27DFD"/>
    <w:rsid w:val="00D30722"/>
    <w:rsid w:val="00D309B8"/>
    <w:rsid w:val="00D30A1F"/>
    <w:rsid w:val="00D31BDF"/>
    <w:rsid w:val="00D321CE"/>
    <w:rsid w:val="00D32450"/>
    <w:rsid w:val="00D3295B"/>
    <w:rsid w:val="00D333B0"/>
    <w:rsid w:val="00D33449"/>
    <w:rsid w:val="00D345BA"/>
    <w:rsid w:val="00D3463A"/>
    <w:rsid w:val="00D3585D"/>
    <w:rsid w:val="00D35BC8"/>
    <w:rsid w:val="00D3669C"/>
    <w:rsid w:val="00D37390"/>
    <w:rsid w:val="00D407E4"/>
    <w:rsid w:val="00D409EB"/>
    <w:rsid w:val="00D40A74"/>
    <w:rsid w:val="00D40D70"/>
    <w:rsid w:val="00D437EF"/>
    <w:rsid w:val="00D43D10"/>
    <w:rsid w:val="00D443E1"/>
    <w:rsid w:val="00D447B4"/>
    <w:rsid w:val="00D4710B"/>
    <w:rsid w:val="00D50F74"/>
    <w:rsid w:val="00D5184A"/>
    <w:rsid w:val="00D51E2C"/>
    <w:rsid w:val="00D52A9E"/>
    <w:rsid w:val="00D531B1"/>
    <w:rsid w:val="00D549C5"/>
    <w:rsid w:val="00D55048"/>
    <w:rsid w:val="00D56047"/>
    <w:rsid w:val="00D562A0"/>
    <w:rsid w:val="00D56735"/>
    <w:rsid w:val="00D570AD"/>
    <w:rsid w:val="00D572D1"/>
    <w:rsid w:val="00D57618"/>
    <w:rsid w:val="00D5772F"/>
    <w:rsid w:val="00D57DDF"/>
    <w:rsid w:val="00D61969"/>
    <w:rsid w:val="00D61FAE"/>
    <w:rsid w:val="00D6253D"/>
    <w:rsid w:val="00D6390E"/>
    <w:rsid w:val="00D64ADC"/>
    <w:rsid w:val="00D66682"/>
    <w:rsid w:val="00D6680B"/>
    <w:rsid w:val="00D676E7"/>
    <w:rsid w:val="00D67B71"/>
    <w:rsid w:val="00D67C2A"/>
    <w:rsid w:val="00D67C70"/>
    <w:rsid w:val="00D725F5"/>
    <w:rsid w:val="00D7293C"/>
    <w:rsid w:val="00D72DAB"/>
    <w:rsid w:val="00D741BC"/>
    <w:rsid w:val="00D748BE"/>
    <w:rsid w:val="00D74B68"/>
    <w:rsid w:val="00D813D4"/>
    <w:rsid w:val="00D81BDA"/>
    <w:rsid w:val="00D82DBF"/>
    <w:rsid w:val="00D833E3"/>
    <w:rsid w:val="00D83545"/>
    <w:rsid w:val="00D8387E"/>
    <w:rsid w:val="00D84696"/>
    <w:rsid w:val="00D847FF"/>
    <w:rsid w:val="00D84975"/>
    <w:rsid w:val="00D85B09"/>
    <w:rsid w:val="00D86759"/>
    <w:rsid w:val="00D870B7"/>
    <w:rsid w:val="00D874D7"/>
    <w:rsid w:val="00D87E90"/>
    <w:rsid w:val="00D90680"/>
    <w:rsid w:val="00D9145B"/>
    <w:rsid w:val="00D91D02"/>
    <w:rsid w:val="00D92630"/>
    <w:rsid w:val="00D927AB"/>
    <w:rsid w:val="00D94560"/>
    <w:rsid w:val="00D94B21"/>
    <w:rsid w:val="00D95BF2"/>
    <w:rsid w:val="00D95EA5"/>
    <w:rsid w:val="00D960D1"/>
    <w:rsid w:val="00D96685"/>
    <w:rsid w:val="00D96B71"/>
    <w:rsid w:val="00D96CE0"/>
    <w:rsid w:val="00D9747C"/>
    <w:rsid w:val="00D97BBC"/>
    <w:rsid w:val="00D97F67"/>
    <w:rsid w:val="00DA0167"/>
    <w:rsid w:val="00DA0443"/>
    <w:rsid w:val="00DA0665"/>
    <w:rsid w:val="00DA0696"/>
    <w:rsid w:val="00DA0AC9"/>
    <w:rsid w:val="00DA0C39"/>
    <w:rsid w:val="00DA1968"/>
    <w:rsid w:val="00DA2736"/>
    <w:rsid w:val="00DA3123"/>
    <w:rsid w:val="00DA3248"/>
    <w:rsid w:val="00DA5132"/>
    <w:rsid w:val="00DA589A"/>
    <w:rsid w:val="00DA60D3"/>
    <w:rsid w:val="00DB02F7"/>
    <w:rsid w:val="00DB0EEF"/>
    <w:rsid w:val="00DB2410"/>
    <w:rsid w:val="00DB25B6"/>
    <w:rsid w:val="00DB2A3E"/>
    <w:rsid w:val="00DB2EDD"/>
    <w:rsid w:val="00DB3D1C"/>
    <w:rsid w:val="00DB3EDA"/>
    <w:rsid w:val="00DB4DFF"/>
    <w:rsid w:val="00DB5046"/>
    <w:rsid w:val="00DB506A"/>
    <w:rsid w:val="00DB5112"/>
    <w:rsid w:val="00DB5D9C"/>
    <w:rsid w:val="00DB7D08"/>
    <w:rsid w:val="00DC018F"/>
    <w:rsid w:val="00DC1556"/>
    <w:rsid w:val="00DC208A"/>
    <w:rsid w:val="00DC2DAE"/>
    <w:rsid w:val="00DC2DF5"/>
    <w:rsid w:val="00DC3793"/>
    <w:rsid w:val="00DC44FB"/>
    <w:rsid w:val="00DC52CC"/>
    <w:rsid w:val="00DC540E"/>
    <w:rsid w:val="00DC657F"/>
    <w:rsid w:val="00DC6B63"/>
    <w:rsid w:val="00DC7A6C"/>
    <w:rsid w:val="00DD025C"/>
    <w:rsid w:val="00DD044B"/>
    <w:rsid w:val="00DD0A4D"/>
    <w:rsid w:val="00DD19F5"/>
    <w:rsid w:val="00DD2174"/>
    <w:rsid w:val="00DD2C2C"/>
    <w:rsid w:val="00DD2C71"/>
    <w:rsid w:val="00DD6100"/>
    <w:rsid w:val="00DD6E56"/>
    <w:rsid w:val="00DD7311"/>
    <w:rsid w:val="00DD74BB"/>
    <w:rsid w:val="00DD791E"/>
    <w:rsid w:val="00DD7D99"/>
    <w:rsid w:val="00DE0931"/>
    <w:rsid w:val="00DE0F3F"/>
    <w:rsid w:val="00DE123D"/>
    <w:rsid w:val="00DE1893"/>
    <w:rsid w:val="00DE2ACB"/>
    <w:rsid w:val="00DE3403"/>
    <w:rsid w:val="00DE3C95"/>
    <w:rsid w:val="00DE3E27"/>
    <w:rsid w:val="00DE4070"/>
    <w:rsid w:val="00DE43D7"/>
    <w:rsid w:val="00DE44C8"/>
    <w:rsid w:val="00DE4CFF"/>
    <w:rsid w:val="00DE53A4"/>
    <w:rsid w:val="00DE6024"/>
    <w:rsid w:val="00DE641C"/>
    <w:rsid w:val="00DE657F"/>
    <w:rsid w:val="00DE6A15"/>
    <w:rsid w:val="00DE7316"/>
    <w:rsid w:val="00DF0A0D"/>
    <w:rsid w:val="00DF1EC7"/>
    <w:rsid w:val="00DF200F"/>
    <w:rsid w:val="00DF23FB"/>
    <w:rsid w:val="00DF2537"/>
    <w:rsid w:val="00DF2654"/>
    <w:rsid w:val="00DF280C"/>
    <w:rsid w:val="00DF2E1E"/>
    <w:rsid w:val="00DF313A"/>
    <w:rsid w:val="00DF39C3"/>
    <w:rsid w:val="00DF3CCC"/>
    <w:rsid w:val="00DF3DD0"/>
    <w:rsid w:val="00DF495D"/>
    <w:rsid w:val="00DF4F52"/>
    <w:rsid w:val="00DF4F64"/>
    <w:rsid w:val="00DF562A"/>
    <w:rsid w:val="00DF5767"/>
    <w:rsid w:val="00DF5913"/>
    <w:rsid w:val="00DF5D8D"/>
    <w:rsid w:val="00DF6397"/>
    <w:rsid w:val="00DF67B7"/>
    <w:rsid w:val="00DF6D3F"/>
    <w:rsid w:val="00DF6D8E"/>
    <w:rsid w:val="00DF6FB1"/>
    <w:rsid w:val="00DF6FB9"/>
    <w:rsid w:val="00E00313"/>
    <w:rsid w:val="00E005AA"/>
    <w:rsid w:val="00E009CB"/>
    <w:rsid w:val="00E00D3E"/>
    <w:rsid w:val="00E017F4"/>
    <w:rsid w:val="00E01E11"/>
    <w:rsid w:val="00E0212E"/>
    <w:rsid w:val="00E0334E"/>
    <w:rsid w:val="00E03798"/>
    <w:rsid w:val="00E03EAF"/>
    <w:rsid w:val="00E040F1"/>
    <w:rsid w:val="00E0457D"/>
    <w:rsid w:val="00E04C29"/>
    <w:rsid w:val="00E05291"/>
    <w:rsid w:val="00E05305"/>
    <w:rsid w:val="00E05CB2"/>
    <w:rsid w:val="00E06A21"/>
    <w:rsid w:val="00E06A34"/>
    <w:rsid w:val="00E06BFB"/>
    <w:rsid w:val="00E06F07"/>
    <w:rsid w:val="00E079AF"/>
    <w:rsid w:val="00E07E7C"/>
    <w:rsid w:val="00E10207"/>
    <w:rsid w:val="00E11416"/>
    <w:rsid w:val="00E11662"/>
    <w:rsid w:val="00E11CC1"/>
    <w:rsid w:val="00E11CD4"/>
    <w:rsid w:val="00E12775"/>
    <w:rsid w:val="00E12937"/>
    <w:rsid w:val="00E13296"/>
    <w:rsid w:val="00E13A68"/>
    <w:rsid w:val="00E13E43"/>
    <w:rsid w:val="00E14CC5"/>
    <w:rsid w:val="00E14E35"/>
    <w:rsid w:val="00E15CAB"/>
    <w:rsid w:val="00E165BB"/>
    <w:rsid w:val="00E177BC"/>
    <w:rsid w:val="00E20745"/>
    <w:rsid w:val="00E20FAC"/>
    <w:rsid w:val="00E21989"/>
    <w:rsid w:val="00E21AFB"/>
    <w:rsid w:val="00E21E66"/>
    <w:rsid w:val="00E2352F"/>
    <w:rsid w:val="00E2365A"/>
    <w:rsid w:val="00E23AF1"/>
    <w:rsid w:val="00E23E29"/>
    <w:rsid w:val="00E24CF0"/>
    <w:rsid w:val="00E250BC"/>
    <w:rsid w:val="00E25311"/>
    <w:rsid w:val="00E254C4"/>
    <w:rsid w:val="00E25B75"/>
    <w:rsid w:val="00E26215"/>
    <w:rsid w:val="00E26A5F"/>
    <w:rsid w:val="00E270BE"/>
    <w:rsid w:val="00E30AE6"/>
    <w:rsid w:val="00E316D8"/>
    <w:rsid w:val="00E31769"/>
    <w:rsid w:val="00E31F77"/>
    <w:rsid w:val="00E320EE"/>
    <w:rsid w:val="00E32E84"/>
    <w:rsid w:val="00E33E6A"/>
    <w:rsid w:val="00E35136"/>
    <w:rsid w:val="00E35BAD"/>
    <w:rsid w:val="00E36130"/>
    <w:rsid w:val="00E36A79"/>
    <w:rsid w:val="00E36C40"/>
    <w:rsid w:val="00E36C79"/>
    <w:rsid w:val="00E37D35"/>
    <w:rsid w:val="00E40750"/>
    <w:rsid w:val="00E41993"/>
    <w:rsid w:val="00E42480"/>
    <w:rsid w:val="00E434E5"/>
    <w:rsid w:val="00E43CC1"/>
    <w:rsid w:val="00E44586"/>
    <w:rsid w:val="00E44D87"/>
    <w:rsid w:val="00E44F49"/>
    <w:rsid w:val="00E4511B"/>
    <w:rsid w:val="00E452D2"/>
    <w:rsid w:val="00E45317"/>
    <w:rsid w:val="00E45866"/>
    <w:rsid w:val="00E45DDA"/>
    <w:rsid w:val="00E45FB1"/>
    <w:rsid w:val="00E4675C"/>
    <w:rsid w:val="00E470F3"/>
    <w:rsid w:val="00E51351"/>
    <w:rsid w:val="00E514E3"/>
    <w:rsid w:val="00E51A05"/>
    <w:rsid w:val="00E51A74"/>
    <w:rsid w:val="00E51AFD"/>
    <w:rsid w:val="00E5229A"/>
    <w:rsid w:val="00E5234E"/>
    <w:rsid w:val="00E52A1E"/>
    <w:rsid w:val="00E532F9"/>
    <w:rsid w:val="00E53BCD"/>
    <w:rsid w:val="00E5409A"/>
    <w:rsid w:val="00E547E1"/>
    <w:rsid w:val="00E54D85"/>
    <w:rsid w:val="00E56B40"/>
    <w:rsid w:val="00E578E2"/>
    <w:rsid w:val="00E60148"/>
    <w:rsid w:val="00E61AEC"/>
    <w:rsid w:val="00E62624"/>
    <w:rsid w:val="00E6276B"/>
    <w:rsid w:val="00E63D14"/>
    <w:rsid w:val="00E64A11"/>
    <w:rsid w:val="00E64DCE"/>
    <w:rsid w:val="00E65977"/>
    <w:rsid w:val="00E65D1E"/>
    <w:rsid w:val="00E66A4B"/>
    <w:rsid w:val="00E66C5F"/>
    <w:rsid w:val="00E66DDE"/>
    <w:rsid w:val="00E671AC"/>
    <w:rsid w:val="00E67CA6"/>
    <w:rsid w:val="00E7013C"/>
    <w:rsid w:val="00E72AE2"/>
    <w:rsid w:val="00E730E4"/>
    <w:rsid w:val="00E73712"/>
    <w:rsid w:val="00E73D2E"/>
    <w:rsid w:val="00E73E49"/>
    <w:rsid w:val="00E7400C"/>
    <w:rsid w:val="00E74644"/>
    <w:rsid w:val="00E749E2"/>
    <w:rsid w:val="00E74D9D"/>
    <w:rsid w:val="00E75213"/>
    <w:rsid w:val="00E75952"/>
    <w:rsid w:val="00E75955"/>
    <w:rsid w:val="00E76492"/>
    <w:rsid w:val="00E76731"/>
    <w:rsid w:val="00E7685C"/>
    <w:rsid w:val="00E76ECB"/>
    <w:rsid w:val="00E7705E"/>
    <w:rsid w:val="00E80B65"/>
    <w:rsid w:val="00E81B30"/>
    <w:rsid w:val="00E82473"/>
    <w:rsid w:val="00E825DF"/>
    <w:rsid w:val="00E8280C"/>
    <w:rsid w:val="00E82A2A"/>
    <w:rsid w:val="00E8384D"/>
    <w:rsid w:val="00E849F1"/>
    <w:rsid w:val="00E856A1"/>
    <w:rsid w:val="00E85D47"/>
    <w:rsid w:val="00E86096"/>
    <w:rsid w:val="00E8627F"/>
    <w:rsid w:val="00E879DA"/>
    <w:rsid w:val="00E91F3D"/>
    <w:rsid w:val="00E94CE2"/>
    <w:rsid w:val="00E955AC"/>
    <w:rsid w:val="00E95DD2"/>
    <w:rsid w:val="00E96F9D"/>
    <w:rsid w:val="00E97CF9"/>
    <w:rsid w:val="00EA0725"/>
    <w:rsid w:val="00EA116F"/>
    <w:rsid w:val="00EA1366"/>
    <w:rsid w:val="00EA1FF3"/>
    <w:rsid w:val="00EA2529"/>
    <w:rsid w:val="00EA329B"/>
    <w:rsid w:val="00EA62F5"/>
    <w:rsid w:val="00EA742F"/>
    <w:rsid w:val="00EA7580"/>
    <w:rsid w:val="00EA7AC4"/>
    <w:rsid w:val="00EA7ACF"/>
    <w:rsid w:val="00EB0270"/>
    <w:rsid w:val="00EB0C2E"/>
    <w:rsid w:val="00EB149F"/>
    <w:rsid w:val="00EB15A2"/>
    <w:rsid w:val="00EB1929"/>
    <w:rsid w:val="00EB1C36"/>
    <w:rsid w:val="00EB1DAD"/>
    <w:rsid w:val="00EB1E59"/>
    <w:rsid w:val="00EB2037"/>
    <w:rsid w:val="00EB2B13"/>
    <w:rsid w:val="00EB46A3"/>
    <w:rsid w:val="00EB55A7"/>
    <w:rsid w:val="00EB5642"/>
    <w:rsid w:val="00EB591A"/>
    <w:rsid w:val="00EB611E"/>
    <w:rsid w:val="00EB66D2"/>
    <w:rsid w:val="00EB7629"/>
    <w:rsid w:val="00EC03C3"/>
    <w:rsid w:val="00EC092D"/>
    <w:rsid w:val="00EC118B"/>
    <w:rsid w:val="00EC245D"/>
    <w:rsid w:val="00EC3CF8"/>
    <w:rsid w:val="00EC439D"/>
    <w:rsid w:val="00EC488D"/>
    <w:rsid w:val="00EC49A0"/>
    <w:rsid w:val="00EC54B6"/>
    <w:rsid w:val="00EC591E"/>
    <w:rsid w:val="00EC594C"/>
    <w:rsid w:val="00EC6106"/>
    <w:rsid w:val="00EC6A36"/>
    <w:rsid w:val="00EC6CDA"/>
    <w:rsid w:val="00EC7B57"/>
    <w:rsid w:val="00ED03C0"/>
    <w:rsid w:val="00ED087A"/>
    <w:rsid w:val="00ED09E4"/>
    <w:rsid w:val="00ED14EC"/>
    <w:rsid w:val="00ED277F"/>
    <w:rsid w:val="00ED326C"/>
    <w:rsid w:val="00ED38D4"/>
    <w:rsid w:val="00ED513F"/>
    <w:rsid w:val="00ED5A10"/>
    <w:rsid w:val="00ED6179"/>
    <w:rsid w:val="00ED6642"/>
    <w:rsid w:val="00ED6CBF"/>
    <w:rsid w:val="00ED6D61"/>
    <w:rsid w:val="00ED76B2"/>
    <w:rsid w:val="00ED7B8A"/>
    <w:rsid w:val="00EE082F"/>
    <w:rsid w:val="00EE2318"/>
    <w:rsid w:val="00EE393C"/>
    <w:rsid w:val="00EE47B3"/>
    <w:rsid w:val="00EE521D"/>
    <w:rsid w:val="00EE59CC"/>
    <w:rsid w:val="00EE5A30"/>
    <w:rsid w:val="00EE6632"/>
    <w:rsid w:val="00EF0174"/>
    <w:rsid w:val="00EF05F4"/>
    <w:rsid w:val="00EF0FE0"/>
    <w:rsid w:val="00EF1B03"/>
    <w:rsid w:val="00EF2744"/>
    <w:rsid w:val="00EF2922"/>
    <w:rsid w:val="00EF2DB4"/>
    <w:rsid w:val="00EF2E32"/>
    <w:rsid w:val="00EF34B2"/>
    <w:rsid w:val="00EF379A"/>
    <w:rsid w:val="00EF3860"/>
    <w:rsid w:val="00EF3AA0"/>
    <w:rsid w:val="00EF46A9"/>
    <w:rsid w:val="00EF498D"/>
    <w:rsid w:val="00EF4E32"/>
    <w:rsid w:val="00EF5561"/>
    <w:rsid w:val="00EF635B"/>
    <w:rsid w:val="00EF6780"/>
    <w:rsid w:val="00EF6A1E"/>
    <w:rsid w:val="00EF7543"/>
    <w:rsid w:val="00EF78F0"/>
    <w:rsid w:val="00EF7932"/>
    <w:rsid w:val="00EF7E6E"/>
    <w:rsid w:val="00F00C15"/>
    <w:rsid w:val="00F00C2C"/>
    <w:rsid w:val="00F00F3E"/>
    <w:rsid w:val="00F01263"/>
    <w:rsid w:val="00F01C62"/>
    <w:rsid w:val="00F02BF5"/>
    <w:rsid w:val="00F03016"/>
    <w:rsid w:val="00F03D99"/>
    <w:rsid w:val="00F04174"/>
    <w:rsid w:val="00F048AE"/>
    <w:rsid w:val="00F04EF2"/>
    <w:rsid w:val="00F05636"/>
    <w:rsid w:val="00F0680F"/>
    <w:rsid w:val="00F07FCB"/>
    <w:rsid w:val="00F10860"/>
    <w:rsid w:val="00F117C2"/>
    <w:rsid w:val="00F1218E"/>
    <w:rsid w:val="00F12536"/>
    <w:rsid w:val="00F12CCF"/>
    <w:rsid w:val="00F13794"/>
    <w:rsid w:val="00F14519"/>
    <w:rsid w:val="00F14B21"/>
    <w:rsid w:val="00F14EA6"/>
    <w:rsid w:val="00F14F09"/>
    <w:rsid w:val="00F161C4"/>
    <w:rsid w:val="00F16871"/>
    <w:rsid w:val="00F17081"/>
    <w:rsid w:val="00F1797A"/>
    <w:rsid w:val="00F17AB1"/>
    <w:rsid w:val="00F203B6"/>
    <w:rsid w:val="00F20C33"/>
    <w:rsid w:val="00F2299F"/>
    <w:rsid w:val="00F22AC0"/>
    <w:rsid w:val="00F22FAF"/>
    <w:rsid w:val="00F243E5"/>
    <w:rsid w:val="00F2441B"/>
    <w:rsid w:val="00F244FA"/>
    <w:rsid w:val="00F248F6"/>
    <w:rsid w:val="00F24A79"/>
    <w:rsid w:val="00F255FB"/>
    <w:rsid w:val="00F260A8"/>
    <w:rsid w:val="00F2617F"/>
    <w:rsid w:val="00F263F0"/>
    <w:rsid w:val="00F26570"/>
    <w:rsid w:val="00F26E98"/>
    <w:rsid w:val="00F31664"/>
    <w:rsid w:val="00F33891"/>
    <w:rsid w:val="00F3573D"/>
    <w:rsid w:val="00F359B0"/>
    <w:rsid w:val="00F3676B"/>
    <w:rsid w:val="00F36BDC"/>
    <w:rsid w:val="00F378E7"/>
    <w:rsid w:val="00F37BFA"/>
    <w:rsid w:val="00F413F9"/>
    <w:rsid w:val="00F41513"/>
    <w:rsid w:val="00F41AE7"/>
    <w:rsid w:val="00F42509"/>
    <w:rsid w:val="00F44BF3"/>
    <w:rsid w:val="00F45C2B"/>
    <w:rsid w:val="00F462E1"/>
    <w:rsid w:val="00F46454"/>
    <w:rsid w:val="00F465AB"/>
    <w:rsid w:val="00F469D4"/>
    <w:rsid w:val="00F472DD"/>
    <w:rsid w:val="00F47A38"/>
    <w:rsid w:val="00F47CC6"/>
    <w:rsid w:val="00F52E92"/>
    <w:rsid w:val="00F53AB5"/>
    <w:rsid w:val="00F549BC"/>
    <w:rsid w:val="00F54A26"/>
    <w:rsid w:val="00F55054"/>
    <w:rsid w:val="00F555C1"/>
    <w:rsid w:val="00F559CE"/>
    <w:rsid w:val="00F565B0"/>
    <w:rsid w:val="00F57230"/>
    <w:rsid w:val="00F60195"/>
    <w:rsid w:val="00F615E4"/>
    <w:rsid w:val="00F625B2"/>
    <w:rsid w:val="00F62CF9"/>
    <w:rsid w:val="00F62E41"/>
    <w:rsid w:val="00F636BD"/>
    <w:rsid w:val="00F637DD"/>
    <w:rsid w:val="00F6444D"/>
    <w:rsid w:val="00F65323"/>
    <w:rsid w:val="00F65643"/>
    <w:rsid w:val="00F673B1"/>
    <w:rsid w:val="00F67FA3"/>
    <w:rsid w:val="00F7002B"/>
    <w:rsid w:val="00F70464"/>
    <w:rsid w:val="00F7059A"/>
    <w:rsid w:val="00F7124C"/>
    <w:rsid w:val="00F720DA"/>
    <w:rsid w:val="00F72E85"/>
    <w:rsid w:val="00F730C1"/>
    <w:rsid w:val="00F740B7"/>
    <w:rsid w:val="00F75A91"/>
    <w:rsid w:val="00F7619D"/>
    <w:rsid w:val="00F76A30"/>
    <w:rsid w:val="00F76DD6"/>
    <w:rsid w:val="00F778CF"/>
    <w:rsid w:val="00F80BD7"/>
    <w:rsid w:val="00F81895"/>
    <w:rsid w:val="00F81C81"/>
    <w:rsid w:val="00F822C5"/>
    <w:rsid w:val="00F82A2C"/>
    <w:rsid w:val="00F83668"/>
    <w:rsid w:val="00F836F3"/>
    <w:rsid w:val="00F83807"/>
    <w:rsid w:val="00F83BB6"/>
    <w:rsid w:val="00F851EF"/>
    <w:rsid w:val="00F85DA4"/>
    <w:rsid w:val="00F85ECB"/>
    <w:rsid w:val="00F86448"/>
    <w:rsid w:val="00F86E31"/>
    <w:rsid w:val="00F874AD"/>
    <w:rsid w:val="00F9104D"/>
    <w:rsid w:val="00F910D6"/>
    <w:rsid w:val="00F91F3D"/>
    <w:rsid w:val="00F9224D"/>
    <w:rsid w:val="00F92490"/>
    <w:rsid w:val="00F92719"/>
    <w:rsid w:val="00F92BE3"/>
    <w:rsid w:val="00F930A6"/>
    <w:rsid w:val="00F9333C"/>
    <w:rsid w:val="00F93948"/>
    <w:rsid w:val="00F93D1E"/>
    <w:rsid w:val="00F93E21"/>
    <w:rsid w:val="00F93F7C"/>
    <w:rsid w:val="00F9492D"/>
    <w:rsid w:val="00F9531F"/>
    <w:rsid w:val="00F95807"/>
    <w:rsid w:val="00F95C1A"/>
    <w:rsid w:val="00F960F4"/>
    <w:rsid w:val="00F9624B"/>
    <w:rsid w:val="00F966D2"/>
    <w:rsid w:val="00F96C8D"/>
    <w:rsid w:val="00F97FBB"/>
    <w:rsid w:val="00FA08E0"/>
    <w:rsid w:val="00FA108D"/>
    <w:rsid w:val="00FA10C8"/>
    <w:rsid w:val="00FA1604"/>
    <w:rsid w:val="00FA3EB8"/>
    <w:rsid w:val="00FA3F60"/>
    <w:rsid w:val="00FA4029"/>
    <w:rsid w:val="00FA4605"/>
    <w:rsid w:val="00FA4E7E"/>
    <w:rsid w:val="00FA4F87"/>
    <w:rsid w:val="00FA52E1"/>
    <w:rsid w:val="00FA5ADB"/>
    <w:rsid w:val="00FA6D98"/>
    <w:rsid w:val="00FA7886"/>
    <w:rsid w:val="00FA7B43"/>
    <w:rsid w:val="00FB00F9"/>
    <w:rsid w:val="00FB054C"/>
    <w:rsid w:val="00FB0D9F"/>
    <w:rsid w:val="00FB2155"/>
    <w:rsid w:val="00FB2D0E"/>
    <w:rsid w:val="00FB3FD2"/>
    <w:rsid w:val="00FB41C7"/>
    <w:rsid w:val="00FB484B"/>
    <w:rsid w:val="00FB495D"/>
    <w:rsid w:val="00FB4B75"/>
    <w:rsid w:val="00FB5502"/>
    <w:rsid w:val="00FB55ED"/>
    <w:rsid w:val="00FB595F"/>
    <w:rsid w:val="00FB67E8"/>
    <w:rsid w:val="00FB6CC5"/>
    <w:rsid w:val="00FB70B4"/>
    <w:rsid w:val="00FB7131"/>
    <w:rsid w:val="00FB7293"/>
    <w:rsid w:val="00FB7307"/>
    <w:rsid w:val="00FB789E"/>
    <w:rsid w:val="00FB7FFD"/>
    <w:rsid w:val="00FC003B"/>
    <w:rsid w:val="00FC09DA"/>
    <w:rsid w:val="00FC0A40"/>
    <w:rsid w:val="00FC1115"/>
    <w:rsid w:val="00FC1EC1"/>
    <w:rsid w:val="00FC213C"/>
    <w:rsid w:val="00FC2BDE"/>
    <w:rsid w:val="00FC434E"/>
    <w:rsid w:val="00FC62B0"/>
    <w:rsid w:val="00FC656A"/>
    <w:rsid w:val="00FC65E9"/>
    <w:rsid w:val="00FC66A8"/>
    <w:rsid w:val="00FC68D7"/>
    <w:rsid w:val="00FC6BD9"/>
    <w:rsid w:val="00FC6D6E"/>
    <w:rsid w:val="00FC77C0"/>
    <w:rsid w:val="00FC7E20"/>
    <w:rsid w:val="00FD1288"/>
    <w:rsid w:val="00FD1C2F"/>
    <w:rsid w:val="00FD307E"/>
    <w:rsid w:val="00FD30A3"/>
    <w:rsid w:val="00FD32C6"/>
    <w:rsid w:val="00FD38E2"/>
    <w:rsid w:val="00FD49EB"/>
    <w:rsid w:val="00FD4CF8"/>
    <w:rsid w:val="00FD52A0"/>
    <w:rsid w:val="00FD56CF"/>
    <w:rsid w:val="00FD583D"/>
    <w:rsid w:val="00FD5DF7"/>
    <w:rsid w:val="00FD6A00"/>
    <w:rsid w:val="00FD6AD9"/>
    <w:rsid w:val="00FD6F7E"/>
    <w:rsid w:val="00FD7C8D"/>
    <w:rsid w:val="00FE0953"/>
    <w:rsid w:val="00FE0EC2"/>
    <w:rsid w:val="00FE158A"/>
    <w:rsid w:val="00FE166F"/>
    <w:rsid w:val="00FE19EE"/>
    <w:rsid w:val="00FE19F9"/>
    <w:rsid w:val="00FE21C1"/>
    <w:rsid w:val="00FE28E4"/>
    <w:rsid w:val="00FE2D0D"/>
    <w:rsid w:val="00FE2F05"/>
    <w:rsid w:val="00FE34F4"/>
    <w:rsid w:val="00FE3ECC"/>
    <w:rsid w:val="00FE48F1"/>
    <w:rsid w:val="00FE4BA0"/>
    <w:rsid w:val="00FE4F64"/>
    <w:rsid w:val="00FE5587"/>
    <w:rsid w:val="00FE5915"/>
    <w:rsid w:val="00FE67E3"/>
    <w:rsid w:val="00FE6A61"/>
    <w:rsid w:val="00FE6F09"/>
    <w:rsid w:val="00FE7083"/>
    <w:rsid w:val="00FE7768"/>
    <w:rsid w:val="00FF09C3"/>
    <w:rsid w:val="00FF0B8C"/>
    <w:rsid w:val="00FF0E0E"/>
    <w:rsid w:val="00FF1407"/>
    <w:rsid w:val="00FF1919"/>
    <w:rsid w:val="00FF2ACF"/>
    <w:rsid w:val="00FF2E49"/>
    <w:rsid w:val="00FF3963"/>
    <w:rsid w:val="00FF3AFF"/>
    <w:rsid w:val="00FF4206"/>
    <w:rsid w:val="00FF45F6"/>
    <w:rsid w:val="00FF4667"/>
    <w:rsid w:val="00FF532B"/>
    <w:rsid w:val="00FF579E"/>
    <w:rsid w:val="00FF6CAE"/>
    <w:rsid w:val="00FF6D3E"/>
    <w:rsid w:val="00FF6FA8"/>
    <w:rsid w:val="00FF71D4"/>
    <w:rsid w:val="00FF737E"/>
    <w:rsid w:val="00FF75A4"/>
    <w:rsid w:val="00FF7694"/>
    <w:rsid w:val="00FF7D96"/>
    <w:rsid w:val="010E7601"/>
    <w:rsid w:val="01390073"/>
    <w:rsid w:val="02221DBA"/>
    <w:rsid w:val="03C3AB85"/>
    <w:rsid w:val="0407042E"/>
    <w:rsid w:val="049DEC5D"/>
    <w:rsid w:val="04D6C965"/>
    <w:rsid w:val="05A46EAC"/>
    <w:rsid w:val="067AF52A"/>
    <w:rsid w:val="07C87382"/>
    <w:rsid w:val="07DCB78A"/>
    <w:rsid w:val="07ED97A2"/>
    <w:rsid w:val="0940B443"/>
    <w:rsid w:val="09620113"/>
    <w:rsid w:val="09709B7E"/>
    <w:rsid w:val="0A2029DA"/>
    <w:rsid w:val="0B03330F"/>
    <w:rsid w:val="0B965E94"/>
    <w:rsid w:val="0C0AE701"/>
    <w:rsid w:val="0CC13FF6"/>
    <w:rsid w:val="0DA408DD"/>
    <w:rsid w:val="0EB77824"/>
    <w:rsid w:val="10B8078C"/>
    <w:rsid w:val="11A22CDC"/>
    <w:rsid w:val="123B7130"/>
    <w:rsid w:val="125D924F"/>
    <w:rsid w:val="148005CB"/>
    <w:rsid w:val="14811594"/>
    <w:rsid w:val="14FD5D6A"/>
    <w:rsid w:val="153D3B94"/>
    <w:rsid w:val="15B8AFB4"/>
    <w:rsid w:val="15E83044"/>
    <w:rsid w:val="15E9CDD3"/>
    <w:rsid w:val="16568AD4"/>
    <w:rsid w:val="1663AE9A"/>
    <w:rsid w:val="1674374E"/>
    <w:rsid w:val="16927B50"/>
    <w:rsid w:val="179B702A"/>
    <w:rsid w:val="17D82100"/>
    <w:rsid w:val="17FF7236"/>
    <w:rsid w:val="188C44A4"/>
    <w:rsid w:val="1A70E062"/>
    <w:rsid w:val="1A792CA0"/>
    <w:rsid w:val="1AB5BF31"/>
    <w:rsid w:val="1D92A3ED"/>
    <w:rsid w:val="1ECE8A8D"/>
    <w:rsid w:val="1FA50BAF"/>
    <w:rsid w:val="23357875"/>
    <w:rsid w:val="23407A05"/>
    <w:rsid w:val="266DF7A5"/>
    <w:rsid w:val="26CCE6EA"/>
    <w:rsid w:val="27815557"/>
    <w:rsid w:val="278C3A38"/>
    <w:rsid w:val="286F572C"/>
    <w:rsid w:val="2916A972"/>
    <w:rsid w:val="29458E3E"/>
    <w:rsid w:val="29D82FAC"/>
    <w:rsid w:val="29F17344"/>
    <w:rsid w:val="2D17D4FF"/>
    <w:rsid w:val="2D7F13BE"/>
    <w:rsid w:val="2E02E9A2"/>
    <w:rsid w:val="2F872857"/>
    <w:rsid w:val="30014F8C"/>
    <w:rsid w:val="310FF5BA"/>
    <w:rsid w:val="321FF566"/>
    <w:rsid w:val="32621A43"/>
    <w:rsid w:val="326237D7"/>
    <w:rsid w:val="3289BA0D"/>
    <w:rsid w:val="34EEAAB3"/>
    <w:rsid w:val="35414C10"/>
    <w:rsid w:val="361C39F0"/>
    <w:rsid w:val="368E0879"/>
    <w:rsid w:val="36A408D8"/>
    <w:rsid w:val="373854EE"/>
    <w:rsid w:val="38639F79"/>
    <w:rsid w:val="38B40F1A"/>
    <w:rsid w:val="39DE68E9"/>
    <w:rsid w:val="3A7A1ED2"/>
    <w:rsid w:val="3A8D9267"/>
    <w:rsid w:val="3A9B0233"/>
    <w:rsid w:val="3AC3AC07"/>
    <w:rsid w:val="3BA3F669"/>
    <w:rsid w:val="3C5DD9A8"/>
    <w:rsid w:val="3CFE940E"/>
    <w:rsid w:val="3D15E27C"/>
    <w:rsid w:val="3D20CC93"/>
    <w:rsid w:val="3D69D9F7"/>
    <w:rsid w:val="3EFF96FF"/>
    <w:rsid w:val="403E0B1A"/>
    <w:rsid w:val="404FA234"/>
    <w:rsid w:val="409E059C"/>
    <w:rsid w:val="40F04F62"/>
    <w:rsid w:val="410E2D6A"/>
    <w:rsid w:val="41B7FF4D"/>
    <w:rsid w:val="43A64E6D"/>
    <w:rsid w:val="44836B55"/>
    <w:rsid w:val="44AC2DCC"/>
    <w:rsid w:val="44D9B3B2"/>
    <w:rsid w:val="44FBCACC"/>
    <w:rsid w:val="4652FA94"/>
    <w:rsid w:val="4673887C"/>
    <w:rsid w:val="4751EA4E"/>
    <w:rsid w:val="477BE9EE"/>
    <w:rsid w:val="479B97AB"/>
    <w:rsid w:val="48419100"/>
    <w:rsid w:val="492A2A00"/>
    <w:rsid w:val="49FC0950"/>
    <w:rsid w:val="4A75EB49"/>
    <w:rsid w:val="4AB5DF44"/>
    <w:rsid w:val="4B8D2010"/>
    <w:rsid w:val="4CA17AE7"/>
    <w:rsid w:val="4CDD431E"/>
    <w:rsid w:val="4D729150"/>
    <w:rsid w:val="4D92C552"/>
    <w:rsid w:val="4EA078C0"/>
    <w:rsid w:val="4EA13709"/>
    <w:rsid w:val="4F24E294"/>
    <w:rsid w:val="504A0B9B"/>
    <w:rsid w:val="5268D059"/>
    <w:rsid w:val="5294C27B"/>
    <w:rsid w:val="53424F84"/>
    <w:rsid w:val="557E6322"/>
    <w:rsid w:val="56768628"/>
    <w:rsid w:val="572CDF4E"/>
    <w:rsid w:val="5A7679F4"/>
    <w:rsid w:val="5ADDFA89"/>
    <w:rsid w:val="5B3FB769"/>
    <w:rsid w:val="5CF738EE"/>
    <w:rsid w:val="5D81C2E7"/>
    <w:rsid w:val="5D8269B1"/>
    <w:rsid w:val="5DADB770"/>
    <w:rsid w:val="5DCCC043"/>
    <w:rsid w:val="5E42B476"/>
    <w:rsid w:val="5EBD7F5D"/>
    <w:rsid w:val="60EF2204"/>
    <w:rsid w:val="62EF4FE4"/>
    <w:rsid w:val="638D7514"/>
    <w:rsid w:val="63BE895E"/>
    <w:rsid w:val="64558506"/>
    <w:rsid w:val="64C88120"/>
    <w:rsid w:val="6734032E"/>
    <w:rsid w:val="67B99FA2"/>
    <w:rsid w:val="690EBB70"/>
    <w:rsid w:val="6A4A1B98"/>
    <w:rsid w:val="6A5ABC50"/>
    <w:rsid w:val="6BE9778F"/>
    <w:rsid w:val="6C296895"/>
    <w:rsid w:val="6D000A10"/>
    <w:rsid w:val="6EEE31DC"/>
    <w:rsid w:val="6F05C581"/>
    <w:rsid w:val="7112A8DE"/>
    <w:rsid w:val="7372271C"/>
    <w:rsid w:val="73FBC17A"/>
    <w:rsid w:val="74E94CDE"/>
    <w:rsid w:val="74FD5C28"/>
    <w:rsid w:val="7764CB60"/>
    <w:rsid w:val="778F0FCC"/>
    <w:rsid w:val="78ED491E"/>
    <w:rsid w:val="78F08EE2"/>
    <w:rsid w:val="7957E9C0"/>
    <w:rsid w:val="796FC4FC"/>
    <w:rsid w:val="7B547A83"/>
    <w:rsid w:val="7BF038E1"/>
    <w:rsid w:val="7C256096"/>
    <w:rsid w:val="7D592196"/>
    <w:rsid w:val="7EA107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D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cs="Times New Roman" w:asciiTheme="minorHAnsi" w:hAnsiTheme="minorHAnsi"/>
        <w:color w:val="000000" w:themeColor="text1"/>
        <w:lang w:val="en-AU" w:eastAsia="en-AU" w:bidi="ar-SA"/>
      </w:rPr>
    </w:rPrDefault>
    <w:pPrDefault>
      <w:pPr>
        <w:spacing w:before="160" w:after="160" w:line="26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3" w:semiHidden="1" w:unhideWhenUsed="1"/>
    <w:lsdException w:name="heading 9" w:uiPriority="2"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uiPriority="39"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uiPriority="1"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uiPriority="3"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99"/>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8513C"/>
    <w:pPr>
      <w:spacing w:line="259" w:lineRule="auto"/>
    </w:pPr>
  </w:style>
  <w:style w:type="paragraph" w:styleId="Heading1">
    <w:name w:val="heading 1"/>
    <w:basedOn w:val="Normal"/>
    <w:next w:val="Normal"/>
    <w:link w:val="Heading1Char"/>
    <w:qFormat/>
    <w:rsid w:val="0028513C"/>
    <w:pPr>
      <w:keepNext/>
      <w:keepLines/>
      <w:spacing w:before="360" w:line="240" w:lineRule="auto"/>
      <w:outlineLvl w:val="0"/>
    </w:pPr>
    <w:rPr>
      <w:rFonts w:eastAsiaTheme="majorEastAsia" w:cstheme="majorBidi"/>
      <w:bCs/>
      <w:color w:val="009364" w:themeColor="accent2"/>
      <w:sz w:val="48"/>
      <w:szCs w:val="40"/>
    </w:rPr>
  </w:style>
  <w:style w:type="paragraph" w:styleId="Heading2">
    <w:name w:val="heading 2"/>
    <w:basedOn w:val="Normal"/>
    <w:next w:val="Normal"/>
    <w:link w:val="Heading2Char"/>
    <w:qFormat/>
    <w:rsid w:val="0028513C"/>
    <w:pPr>
      <w:keepNext/>
      <w:keepLines/>
      <w:spacing w:before="360" w:line="240" w:lineRule="auto"/>
      <w:outlineLvl w:val="1"/>
    </w:pPr>
    <w:rPr>
      <w:rFonts w:eastAsiaTheme="majorEastAsia" w:cstheme="majorBidi"/>
      <w:b/>
      <w:bCs/>
      <w:color w:val="001032" w:themeColor="text2"/>
      <w:sz w:val="32"/>
      <w:szCs w:val="26"/>
    </w:rPr>
  </w:style>
  <w:style w:type="paragraph" w:styleId="Heading3">
    <w:name w:val="heading 3"/>
    <w:basedOn w:val="Normal"/>
    <w:next w:val="Normal"/>
    <w:link w:val="Heading3Char"/>
    <w:qFormat/>
    <w:rsid w:val="00E72AE2"/>
    <w:pPr>
      <w:keepNext/>
      <w:keepLines/>
      <w:spacing w:before="360" w:line="240" w:lineRule="auto"/>
      <w:outlineLvl w:val="2"/>
    </w:pPr>
    <w:rPr>
      <w:rFonts w:asciiTheme="majorHAnsi" w:hAnsiTheme="majorHAnsi" w:eastAsiaTheme="majorEastAsia" w:cstheme="majorBidi"/>
      <w:b/>
      <w:bCs/>
      <w:color w:val="009364" w:themeColor="accent2"/>
      <w:sz w:val="28"/>
    </w:rPr>
  </w:style>
  <w:style w:type="paragraph" w:styleId="Heading4">
    <w:name w:val="heading 4"/>
    <w:basedOn w:val="Normal"/>
    <w:next w:val="Normal"/>
    <w:link w:val="Heading4Char"/>
    <w:qFormat/>
    <w:rsid w:val="0028513C"/>
    <w:pPr>
      <w:keepNext/>
      <w:keepLines/>
      <w:spacing w:before="360" w:line="240" w:lineRule="auto"/>
      <w:outlineLvl w:val="3"/>
    </w:pPr>
    <w:rPr>
      <w:rFonts w:asciiTheme="majorHAnsi" w:hAnsiTheme="majorHAnsi" w:eastAsiaTheme="majorEastAsia" w:cstheme="majorBidi"/>
      <w:b/>
      <w:bCs/>
      <w:iCs/>
      <w:color w:val="001032" w:themeColor="text2"/>
      <w:sz w:val="24"/>
    </w:rPr>
  </w:style>
  <w:style w:type="paragraph" w:styleId="Heading5">
    <w:name w:val="heading 5"/>
    <w:basedOn w:val="Normal"/>
    <w:next w:val="Normal"/>
    <w:link w:val="Heading5Char"/>
    <w:qFormat/>
    <w:rsid w:val="0028513C"/>
    <w:pPr>
      <w:keepNext/>
      <w:keepLines/>
      <w:tabs>
        <w:tab w:val="left" w:pos="794"/>
      </w:tabs>
      <w:spacing w:before="360" w:line="240" w:lineRule="auto"/>
      <w:outlineLvl w:val="4"/>
    </w:pPr>
    <w:rPr>
      <w:rFonts w:asciiTheme="majorHAnsi" w:hAnsiTheme="majorHAnsi" w:eastAsiaTheme="majorEastAsia" w:cstheme="majorBidi"/>
      <w:b/>
      <w:color w:val="001032" w:themeColor="text2"/>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hAnsiTheme="majorHAnsi" w:eastAsiaTheme="majorEastAsia" w:cstheme="majorBidi"/>
      <w:i/>
      <w:iCs/>
      <w:spacing w:val="4"/>
      <w:sz w:val="24"/>
      <w:lang w:eastAsia="en-US"/>
    </w:rPr>
  </w:style>
  <w:style w:type="paragraph" w:styleId="Heading7">
    <w:name w:val="heading 7"/>
    <w:basedOn w:val="Normal"/>
    <w:next w:val="Normal"/>
    <w:link w:val="Heading7Char"/>
    <w:semiHidden/>
    <w:unhideWhenUsed/>
    <w:qFormat/>
    <w:rsid w:val="00E05291"/>
    <w:pPr>
      <w:keepNext/>
      <w:keepLines/>
      <w:pageBreakBefore/>
      <w:spacing w:before="260" w:afterLines="100"/>
      <w:outlineLvl w:val="6"/>
    </w:pPr>
    <w:rPr>
      <w:rFonts w:ascii="Calibri Light" w:hAnsi="Calibri Light" w:eastAsiaTheme="majorEastAsia" w:cstheme="majorBidi"/>
      <w:i/>
      <w:iCs/>
      <w:sz w:val="24"/>
    </w:rPr>
  </w:style>
  <w:style w:type="paragraph" w:styleId="Heading8">
    <w:name w:val="heading 8"/>
    <w:basedOn w:val="Normal"/>
    <w:next w:val="Normal"/>
    <w:link w:val="Heading8Char"/>
    <w:semiHidden/>
    <w:rsid w:val="0058629F"/>
    <w:pPr>
      <w:keepNext/>
      <w:keepLines/>
      <w:pageBreakBefore/>
      <w:numPr>
        <w:numId w:val="3"/>
      </w:numPr>
      <w:tabs>
        <w:tab w:val="right" w:pos="9639"/>
      </w:tabs>
      <w:spacing w:after="320" w:line="240" w:lineRule="auto"/>
      <w:outlineLvl w:val="7"/>
    </w:pPr>
    <w:rPr>
      <w:rFonts w:cs="Arial" w:asciiTheme="majorHAnsi" w:hAnsiTheme="majorHAnsi" w:eastAsiaTheme="majorEastAsia"/>
      <w:caps/>
      <w:color w:val="001032" w:themeColor="text2"/>
      <w:sz w:val="36"/>
      <w:lang w:eastAsia="en-US"/>
    </w:rPr>
  </w:style>
  <w:style w:type="paragraph" w:styleId="Heading9">
    <w:name w:val="heading 9"/>
    <w:basedOn w:val="Normal"/>
    <w:next w:val="Normal"/>
    <w:link w:val="Heading9Char"/>
    <w:semiHidden/>
    <w:qFormat/>
    <w:rsid w:val="000809F5"/>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lockText">
    <w:name w:val="Block Text"/>
    <w:basedOn w:val="Normal"/>
    <w:semiHidden/>
    <w:unhideWhenUsed/>
    <w:rsid w:val="0028513C"/>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31"/>
    <w:rsid w:val="00625F4C"/>
    <w:pPr>
      <w:tabs>
        <w:tab w:val="right" w:pos="9639"/>
      </w:tabs>
      <w:spacing w:before="0" w:after="0" w:line="240" w:lineRule="auto"/>
      <w:jc w:val="right"/>
    </w:pPr>
    <w:rPr>
      <w:b/>
    </w:rPr>
  </w:style>
  <w:style w:type="character" w:styleId="FooterChar" w:customStyle="1">
    <w:name w:val="Footer Char"/>
    <w:basedOn w:val="DefaultParagraphFont"/>
    <w:link w:val="Footer"/>
    <w:uiPriority w:val="31"/>
    <w:rsid w:val="00865D11"/>
    <w:rPr>
      <w:b/>
    </w:rPr>
  </w:style>
  <w:style w:type="numbering" w:styleId="HangingList" w:customStyle="1">
    <w:name w:val="HangingList"/>
    <w:uiPriority w:val="99"/>
    <w:rsid w:val="00B2011B"/>
    <w:pPr>
      <w:numPr>
        <w:numId w:val="2"/>
      </w:numPr>
    </w:pPr>
  </w:style>
  <w:style w:type="paragraph" w:styleId="Header">
    <w:name w:val="header"/>
    <w:basedOn w:val="Normal"/>
    <w:link w:val="HeaderChar"/>
    <w:uiPriority w:val="31"/>
    <w:rsid w:val="003B7771"/>
    <w:pPr>
      <w:tabs>
        <w:tab w:val="left" w:pos="1860"/>
        <w:tab w:val="left" w:pos="2730"/>
      </w:tabs>
      <w:spacing w:before="0" w:after="0" w:line="240" w:lineRule="auto"/>
    </w:pPr>
    <w:rPr>
      <w:spacing w:val="2"/>
      <w:sz w:val="16"/>
    </w:rPr>
  </w:style>
  <w:style w:type="character" w:styleId="HeaderChar" w:customStyle="1">
    <w:name w:val="Header Char"/>
    <w:basedOn w:val="DefaultParagraphFont"/>
    <w:link w:val="Header"/>
    <w:uiPriority w:val="31"/>
    <w:rsid w:val="00865D11"/>
    <w:rPr>
      <w:spacing w:val="2"/>
      <w:sz w:val="16"/>
    </w:rPr>
  </w:style>
  <w:style w:type="character" w:styleId="Heading1Char" w:customStyle="1">
    <w:name w:val="Heading 1 Char"/>
    <w:basedOn w:val="DefaultParagraphFont"/>
    <w:link w:val="Heading1"/>
    <w:rsid w:val="0028513C"/>
    <w:rPr>
      <w:rFonts w:eastAsiaTheme="majorEastAsia" w:cstheme="majorBidi"/>
      <w:bCs/>
      <w:color w:val="009364" w:themeColor="accent2"/>
      <w:sz w:val="48"/>
      <w:szCs w:val="40"/>
    </w:rPr>
  </w:style>
  <w:style w:type="character" w:styleId="Heading2Char" w:customStyle="1">
    <w:name w:val="Heading 2 Char"/>
    <w:basedOn w:val="DefaultParagraphFont"/>
    <w:link w:val="Heading2"/>
    <w:rsid w:val="0028513C"/>
    <w:rPr>
      <w:rFonts w:eastAsiaTheme="majorEastAsia" w:cstheme="majorBidi"/>
      <w:b/>
      <w:bCs/>
      <w:color w:val="001032" w:themeColor="text2"/>
      <w:sz w:val="32"/>
      <w:szCs w:val="26"/>
    </w:rPr>
  </w:style>
  <w:style w:type="character" w:styleId="Heading3Char" w:customStyle="1">
    <w:name w:val="Heading 3 Char"/>
    <w:basedOn w:val="DefaultParagraphFont"/>
    <w:link w:val="Heading3"/>
    <w:rsid w:val="00E72AE2"/>
    <w:rPr>
      <w:rFonts w:asciiTheme="majorHAnsi" w:hAnsiTheme="majorHAnsi" w:eastAsiaTheme="majorEastAsia" w:cstheme="majorBidi"/>
      <w:b/>
      <w:bCs/>
      <w:color w:val="009364" w:themeColor="accent2"/>
      <w:sz w:val="28"/>
    </w:rPr>
  </w:style>
  <w:style w:type="character" w:styleId="Heading4Char" w:customStyle="1">
    <w:name w:val="Heading 4 Char"/>
    <w:basedOn w:val="DefaultParagraphFont"/>
    <w:link w:val="Heading4"/>
    <w:rsid w:val="0028513C"/>
    <w:rPr>
      <w:rFonts w:asciiTheme="majorHAnsi" w:hAnsiTheme="majorHAnsi" w:eastAsiaTheme="majorEastAsia" w:cstheme="majorBidi"/>
      <w:b/>
      <w:bCs/>
      <w:iCs/>
      <w:color w:val="001032" w:themeColor="text2"/>
      <w:sz w:val="24"/>
    </w:rPr>
  </w:style>
  <w:style w:type="character" w:styleId="Heading7Char" w:customStyle="1">
    <w:name w:val="Heading 7 Char"/>
    <w:basedOn w:val="DefaultParagraphFont"/>
    <w:link w:val="Heading7"/>
    <w:semiHidden/>
    <w:rsid w:val="00E05291"/>
    <w:rPr>
      <w:rFonts w:ascii="Calibri Light" w:hAnsi="Calibri Light" w:eastAsiaTheme="majorEastAsia" w:cstheme="majorBidi"/>
      <w:i/>
      <w:iCs/>
      <w:sz w:val="24"/>
    </w:rPr>
  </w:style>
  <w:style w:type="character" w:styleId="Heading8Char" w:customStyle="1">
    <w:name w:val="Heading 8 Char"/>
    <w:basedOn w:val="DefaultParagraphFont"/>
    <w:link w:val="Heading8"/>
    <w:semiHidden/>
    <w:rsid w:val="000809F5"/>
    <w:rPr>
      <w:rFonts w:cs="Arial" w:asciiTheme="majorHAnsi" w:hAnsiTheme="majorHAnsi" w:eastAsiaTheme="majorEastAsia"/>
      <w:caps/>
      <w:color w:val="001032" w:themeColor="text2"/>
      <w:sz w:val="36"/>
      <w:lang w:eastAsia="en-US"/>
    </w:rPr>
  </w:style>
  <w:style w:type="character" w:styleId="Heading9Char" w:customStyle="1">
    <w:name w:val="Heading 9 Char"/>
    <w:basedOn w:val="DefaultParagraphFont"/>
    <w:link w:val="Heading9"/>
    <w:semiHidden/>
    <w:rsid w:val="000809F5"/>
  </w:style>
  <w:style w:type="numbering" w:styleId="LstStandardNumbering" w:customStyle="1">
    <w:name w:val="Lst_StandardNumbering"/>
    <w:uiPriority w:val="99"/>
    <w:rsid w:val="00B44180"/>
    <w:pPr>
      <w:numPr>
        <w:numId w:val="6"/>
      </w:numPr>
    </w:pPr>
  </w:style>
  <w:style w:type="character" w:styleId="Hyperlink">
    <w:name w:val="Hyperlink"/>
    <w:basedOn w:val="DefaultParagraphFont"/>
    <w:uiPriority w:val="99"/>
    <w:unhideWhenUsed/>
    <w:rsid w:val="0028513C"/>
    <w:rPr>
      <w:color w:val="000000" w:themeColor="text1"/>
      <w:u w:val="single" w:color="009364" w:themeColor="accent2"/>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Normal"/>
    <w:qFormat/>
    <w:rsid w:val="0028513C"/>
    <w:pPr>
      <w:numPr>
        <w:numId w:val="16"/>
      </w:numPr>
    </w:pPr>
  </w:style>
  <w:style w:type="paragraph" w:styleId="ListBullet2">
    <w:name w:val="List Bullet 2"/>
    <w:basedOn w:val="ListBullet"/>
    <w:qFormat/>
    <w:rsid w:val="00156BC1"/>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ListContinue2"/>
    <w:qFormat/>
    <w:rsid w:val="00BA0796"/>
    <w:pPr>
      <w:numPr>
        <w:ilvl w:val="0"/>
      </w:numPr>
    </w:pPr>
  </w:style>
  <w:style w:type="paragraph" w:styleId="ListNumber">
    <w:name w:val="List Number"/>
    <w:basedOn w:val="Normal"/>
    <w:qFormat/>
    <w:rsid w:val="0028513C"/>
    <w:pPr>
      <w:numPr>
        <w:numId w:val="11"/>
      </w:numPr>
    </w:pPr>
  </w:style>
  <w:style w:type="paragraph" w:styleId="ListNumber2">
    <w:name w:val="List Number 2"/>
    <w:basedOn w:val="ListNumber"/>
    <w:qFormat/>
    <w:rsid w:val="00AB6CB2"/>
    <w:pPr>
      <w:numPr>
        <w:ilvl w:val="1"/>
      </w:numPr>
    </w:pPr>
  </w:style>
  <w:style w:type="paragraph" w:styleId="ListNumber3">
    <w:name w:val="List Number 3"/>
    <w:basedOn w:val="ListNumber2"/>
    <w:qFormat/>
    <w:rsid w:val="00AB6CB2"/>
    <w:pPr>
      <w:numPr>
        <w:ilvl w:val="2"/>
      </w:numPr>
    </w:pPr>
  </w:style>
  <w:style w:type="paragraph" w:styleId="DisclaimerTextinFrame" w:customStyle="1">
    <w:name w:val="Disclaimer Text in Frame"/>
    <w:basedOn w:val="Normal"/>
    <w:uiPriority w:val="31"/>
    <w:rsid w:val="00625F4C"/>
    <w:pPr>
      <w:framePr w:w="9185" w:wrap="around" w:hAnchor="text" w:yAlign="bottom"/>
      <w:spacing w:after="100"/>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9"/>
    <w:rsid w:val="00057C60"/>
    <w:pPr>
      <w:spacing w:before="0" w:after="0" w:line="720" w:lineRule="atLeast"/>
      <w:contextualSpacing/>
    </w:pPr>
    <w:rPr>
      <w:rFonts w:asciiTheme="majorHAnsi" w:hAnsiTheme="majorHAnsi"/>
      <w:sz w:val="60"/>
    </w:rPr>
  </w:style>
  <w:style w:type="character" w:styleId="TitleChar" w:customStyle="1">
    <w:name w:val="Title Char"/>
    <w:basedOn w:val="DefaultParagraphFont"/>
    <w:link w:val="Title"/>
    <w:uiPriority w:val="29"/>
    <w:rsid w:val="00057C60"/>
    <w:rPr>
      <w:rFonts w:asciiTheme="majorHAnsi" w:hAnsiTheme="majorHAnsi"/>
      <w:sz w:val="60"/>
    </w:rPr>
  </w:style>
  <w:style w:type="paragraph" w:styleId="Subtitle">
    <w:name w:val="Subtitle"/>
    <w:basedOn w:val="Normal"/>
    <w:next w:val="Normal"/>
    <w:link w:val="SubtitleChar"/>
    <w:uiPriority w:val="30"/>
    <w:rsid w:val="00057C60"/>
    <w:pPr>
      <w:numPr>
        <w:ilvl w:val="1"/>
      </w:numPr>
      <w:spacing w:before="660" w:after="0" w:line="336" w:lineRule="atLeast"/>
      <w:contextualSpacing/>
    </w:pPr>
    <w:rPr>
      <w:rFonts w:eastAsiaTheme="majorEastAsia" w:cstheme="majorBidi"/>
      <w:iCs/>
      <w:sz w:val="28"/>
      <w:szCs w:val="24"/>
    </w:rPr>
  </w:style>
  <w:style w:type="paragraph" w:styleId="TOC5">
    <w:name w:val="toc 5"/>
    <w:basedOn w:val="Normal"/>
    <w:next w:val="Normal"/>
    <w:autoRedefine/>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character" w:styleId="SubtitleChar" w:customStyle="1">
    <w:name w:val="Subtitle Char"/>
    <w:basedOn w:val="DefaultParagraphFont"/>
    <w:link w:val="Subtitle"/>
    <w:uiPriority w:val="30"/>
    <w:rsid w:val="00057C60"/>
    <w:rPr>
      <w:rFonts w:eastAsiaTheme="majorEastAsia" w:cstheme="majorBidi"/>
      <w:iCs/>
      <w:sz w:val="28"/>
      <w:szCs w:val="24"/>
    </w:rPr>
  </w:style>
  <w:style w:type="paragraph" w:styleId="ListContinue2">
    <w:name w:val="List Continue 2"/>
    <w:basedOn w:val="ListContinue3"/>
    <w:qFormat/>
    <w:rsid w:val="00BA0796"/>
    <w:pPr>
      <w:numPr>
        <w:ilvl w:val="1"/>
      </w:numPr>
    </w:pPr>
  </w:style>
  <w:style w:type="paragraph" w:styleId="ListContinue3">
    <w:name w:val="List Continue 3"/>
    <w:basedOn w:val="Normal"/>
    <w:qFormat/>
    <w:rsid w:val="00DB4DFF"/>
    <w:pPr>
      <w:numPr>
        <w:ilvl w:val="2"/>
        <w:numId w:val="7"/>
      </w:numPr>
      <w:spacing w:before="90" w:after="90"/>
    </w:pPr>
  </w:style>
  <w:style w:type="paragraph" w:styleId="NoSpacing">
    <w:name w:val="No Spacing"/>
    <w:basedOn w:val="Normal"/>
    <w:qFormat/>
    <w:rsid w:val="00FB7293"/>
    <w:pPr>
      <w:spacing w:before="0" w:after="0"/>
    </w:pPr>
  </w:style>
  <w:style w:type="paragraph" w:styleId="TableofFiguresHeading" w:customStyle="1">
    <w:name w:val="Table of Figures Heading"/>
    <w:basedOn w:val="Normal"/>
    <w:uiPriority w:val="99"/>
    <w:semiHidden/>
    <w:rsid w:val="0058629F"/>
    <w:pPr>
      <w:spacing w:before="240" w:line="240" w:lineRule="auto"/>
    </w:pPr>
    <w:rPr>
      <w:b/>
      <w:bCs/>
      <w:noProof/>
    </w:rPr>
  </w:style>
  <w:style w:type="character" w:styleId="Heading5Char" w:customStyle="1">
    <w:name w:val="Heading 5 Char"/>
    <w:basedOn w:val="DefaultParagraphFont"/>
    <w:link w:val="Heading5"/>
    <w:rsid w:val="0028513C"/>
    <w:rPr>
      <w:rFonts w:asciiTheme="majorHAnsi" w:hAnsiTheme="majorHAnsi" w:eastAsiaTheme="majorEastAsia" w:cstheme="majorBidi"/>
      <w:b/>
      <w:color w:val="001032" w:themeColor="text2"/>
    </w:rPr>
  </w:style>
  <w:style w:type="character" w:styleId="Heading6Char" w:customStyle="1">
    <w:name w:val="Heading 6 Char"/>
    <w:basedOn w:val="DefaultParagraphFont"/>
    <w:link w:val="Heading6"/>
    <w:semiHidden/>
    <w:rsid w:val="00DB4DFF"/>
    <w:rPr>
      <w:rFonts w:asciiTheme="majorHAnsi" w:hAnsiTheme="majorHAnsi" w:eastAsiaTheme="majorEastAsia" w:cstheme="majorBidi"/>
      <w:i/>
      <w:iCs/>
      <w:spacing w:val="4"/>
      <w:sz w:val="24"/>
      <w:lang w:eastAsia="en-US"/>
    </w:rPr>
  </w:style>
  <w:style w:type="paragraph" w:styleId="Revision">
    <w:name w:val="Revision"/>
    <w:hidden/>
    <w:uiPriority w:val="99"/>
    <w:semiHidden/>
    <w:rsid w:val="009E7348"/>
    <w:pPr>
      <w:spacing w:line="240" w:lineRule="auto"/>
    </w:pPr>
    <w:rPr>
      <w:rFonts w:ascii="Calibri" w:hAnsi="Calibri" w:eastAsia="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color="7F7F7F" w:themeColor="text1" w:themeTint="80" w:sz="4" w:space="0"/>
        <w:bottom w:val="single" w:color="7F7F7F" w:themeColor="text1" w:themeTint="80" w:sz="4" w:space="0"/>
      </w:tblBorders>
      <w:tblCellMar>
        <w:top w:w="227" w:type="dxa"/>
        <w:bottom w:w="227" w:type="dxa"/>
      </w:tblCellMar>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pPr>
      <w:spacing w:line="240" w:lineRule="auto"/>
    </w:pPr>
  </w:style>
  <w:style w:type="character" w:styleId="CommentTextChar" w:customStyle="1">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styleId="CommentSubjectChar" w:customStyle="1">
    <w:name w:val="Comment Subject Char"/>
    <w:basedOn w:val="CommentTextChar"/>
    <w:link w:val="CommentSubject"/>
    <w:uiPriority w:val="99"/>
    <w:semiHidden/>
    <w:rsid w:val="0058629F"/>
    <w:rPr>
      <w:b/>
      <w:bCs/>
    </w:rPr>
  </w:style>
  <w:style w:type="paragraph" w:styleId="TOCHeading">
    <w:name w:val="TOC Heading"/>
    <w:basedOn w:val="Normal"/>
    <w:next w:val="Normal"/>
    <w:uiPriority w:val="38"/>
    <w:unhideWhenUsed/>
    <w:rsid w:val="00F1218E"/>
    <w:pPr>
      <w:pageBreakBefore/>
      <w:spacing w:before="180" w:after="1080" w:line="240" w:lineRule="auto"/>
    </w:pPr>
    <w:rPr>
      <w:rFonts w:asciiTheme="majorHAnsi" w:hAnsiTheme="majorHAnsi"/>
      <w:bCs/>
      <w:color w:val="009364" w:themeColor="accent2"/>
      <w:sz w:val="52"/>
    </w:rPr>
  </w:style>
  <w:style w:type="paragraph" w:styleId="TOC1">
    <w:name w:val="toc 1"/>
    <w:basedOn w:val="Normal"/>
    <w:next w:val="Normal"/>
    <w:link w:val="TOC1Char"/>
    <w:autoRedefine/>
    <w:uiPriority w:val="39"/>
    <w:rsid w:val="007B6704"/>
    <w:pPr>
      <w:tabs>
        <w:tab w:val="right" w:pos="9582"/>
      </w:tabs>
      <w:spacing w:before="360" w:after="240" w:line="292" w:lineRule="atLeast"/>
      <w:ind w:right="510"/>
    </w:pPr>
    <w:rPr>
      <w:b/>
      <w:noProof/>
      <w:sz w:val="24"/>
    </w:rPr>
  </w:style>
  <w:style w:type="paragraph" w:styleId="TOC2">
    <w:name w:val="toc 2"/>
    <w:basedOn w:val="Normal"/>
    <w:next w:val="Normal"/>
    <w:autoRedefine/>
    <w:uiPriority w:val="39"/>
    <w:rsid w:val="007B6704"/>
    <w:pPr>
      <w:tabs>
        <w:tab w:val="right" w:pos="9582"/>
      </w:tabs>
      <w:spacing w:before="240" w:after="240" w:line="292" w:lineRule="atLeast"/>
      <w:ind w:left="851" w:right="567" w:hanging="624"/>
    </w:pPr>
    <w:rPr>
      <w:rFonts w:eastAsiaTheme="minorEastAsia" w:cstheme="minorBidi"/>
      <w:noProof/>
      <w:sz w:val="24"/>
    </w:rPr>
  </w:style>
  <w:style w:type="table" w:styleId="TablePlaceholder" w:customStyle="1">
    <w:name w:val="Table Placeholder"/>
    <w:basedOn w:val="TableNormal"/>
    <w:uiPriority w:val="99"/>
    <w:rsid w:val="0058629F"/>
    <w:pPr>
      <w:spacing w:line="240" w:lineRule="auto"/>
    </w:pPr>
    <w:tblPr>
      <w:tblCellMar>
        <w:left w:w="0" w:type="dxa"/>
        <w:right w:w="0" w:type="dxa"/>
      </w:tblCellMar>
    </w:tblPr>
  </w:style>
  <w:style w:type="paragraph" w:styleId="Caption">
    <w:name w:val="caption"/>
    <w:basedOn w:val="Normal"/>
    <w:next w:val="Normal"/>
    <w:qFormat/>
    <w:rsid w:val="00397986"/>
    <w:pPr>
      <w:keepNext/>
      <w:tabs>
        <w:tab w:val="left" w:pos="1134"/>
      </w:tabs>
      <w:spacing w:before="0"/>
    </w:pPr>
    <w:rPr>
      <w:b/>
      <w:iCs/>
      <w:color w:val="auto"/>
      <w:szCs w:val="18"/>
    </w:rPr>
  </w:style>
  <w:style w:type="paragraph" w:styleId="FootnoteText">
    <w:name w:val="footnote text"/>
    <w:basedOn w:val="Normal"/>
    <w:link w:val="FootnoteTextChar"/>
    <w:rsid w:val="00D96685"/>
    <w:pPr>
      <w:spacing w:before="40" w:after="0" w:line="220" w:lineRule="atLeast"/>
    </w:pPr>
    <w:rPr>
      <w:sz w:val="16"/>
    </w:rPr>
  </w:style>
  <w:style w:type="character" w:styleId="FootnoteReference">
    <w:name w:val="footnote reference"/>
    <w:basedOn w:val="DefaultParagraphFont"/>
    <w:semiHidden/>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BAECE7" w:themeFill="accent1" w:themeFillTint="33"/>
    </w:tcPr>
    <w:tblStylePr w:type="firstRow">
      <w:rPr>
        <w:b/>
        <w:bCs/>
      </w:rPr>
      <w:tblPr/>
      <w:tcPr>
        <w:shd w:val="clear" w:color="auto" w:fill="76D9CF" w:themeFill="accent1" w:themeFillTint="66"/>
      </w:tcPr>
    </w:tblStylePr>
    <w:tblStylePr w:type="lastRow">
      <w:rPr>
        <w:b/>
        <w:bCs/>
        <w:color w:val="000000" w:themeColor="text1"/>
      </w:rPr>
      <w:tblPr/>
      <w:tcPr>
        <w:shd w:val="clear" w:color="auto" w:fill="76D9CF" w:themeFill="accent1" w:themeFillTint="66"/>
      </w:tcPr>
    </w:tblStylePr>
    <w:tblStylePr w:type="firstCol">
      <w:rPr>
        <w:color w:val="FFFFFF" w:themeColor="background1"/>
      </w:rPr>
      <w:tblPr/>
      <w:tcPr>
        <w:shd w:val="clear" w:color="auto" w:fill="0C2B28" w:themeFill="accent1" w:themeFillShade="BF"/>
      </w:tcPr>
    </w:tblStylePr>
    <w:tblStylePr w:type="lastCol">
      <w:rPr>
        <w:color w:val="FFFFFF" w:themeColor="background1"/>
      </w:rPr>
      <w:tblPr/>
      <w:tcPr>
        <w:shd w:val="clear" w:color="auto" w:fill="0C2B28" w:themeFill="accent1" w:themeFillShade="BF"/>
      </w:tcPr>
    </w:tblStylePr>
    <w:tblStylePr w:type="band1Vert">
      <w:tblPr/>
      <w:tcPr>
        <w:shd w:val="clear" w:color="auto" w:fill="54D0C3" w:themeFill="accent1" w:themeFillTint="7F"/>
      </w:tcPr>
    </w:tblStylePr>
    <w:tblStylePr w:type="band1Horz">
      <w:tblPr/>
      <w:tcPr>
        <w:shd w:val="clear" w:color="auto" w:fill="54D0C3"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B6FFE7" w:themeFill="accent2" w:themeFillTint="33"/>
    </w:tcPr>
    <w:tblStylePr w:type="firstRow">
      <w:rPr>
        <w:b/>
        <w:bCs/>
      </w:rPr>
      <w:tblPr/>
      <w:tcPr>
        <w:shd w:val="clear" w:color="auto" w:fill="6DFFD0" w:themeFill="accent2" w:themeFillTint="66"/>
      </w:tcPr>
    </w:tblStylePr>
    <w:tblStylePr w:type="lastRow">
      <w:rPr>
        <w:b/>
        <w:bCs/>
        <w:color w:val="000000" w:themeColor="text1"/>
      </w:rPr>
      <w:tblPr/>
      <w:tcPr>
        <w:shd w:val="clear" w:color="auto" w:fill="6DFFD0" w:themeFill="accent2" w:themeFillTint="66"/>
      </w:tcPr>
    </w:tblStylePr>
    <w:tblStylePr w:type="firstCol">
      <w:rPr>
        <w:color w:val="FFFFFF" w:themeColor="background1"/>
      </w:rPr>
      <w:tblPr/>
      <w:tcPr>
        <w:shd w:val="clear" w:color="auto" w:fill="006E4A" w:themeFill="accent2" w:themeFillShade="BF"/>
      </w:tcPr>
    </w:tblStylePr>
    <w:tblStylePr w:type="lastCol">
      <w:rPr>
        <w:color w:val="FFFFFF" w:themeColor="background1"/>
      </w:rPr>
      <w:tblPr/>
      <w:tcPr>
        <w:shd w:val="clear" w:color="auto" w:fill="006E4A" w:themeFill="accent2" w:themeFillShade="BF"/>
      </w:tcPr>
    </w:tblStylePr>
    <w:tblStylePr w:type="band1Vert">
      <w:tblPr/>
      <w:tcPr>
        <w:shd w:val="clear" w:color="auto" w:fill="4AFFC4" w:themeFill="accent2" w:themeFillTint="7F"/>
      </w:tcPr>
    </w:tblStylePr>
    <w:tblStylePr w:type="band1Horz">
      <w:tblPr/>
      <w:tcPr>
        <w:shd w:val="clear" w:color="auto" w:fill="4AFFC4"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FDF9E0" w:themeFill="accent3" w:themeFillTint="33"/>
    </w:tcPr>
    <w:tblStylePr w:type="firstRow">
      <w:rPr>
        <w:b/>
        <w:bCs/>
      </w:rPr>
      <w:tblPr/>
      <w:tcPr>
        <w:shd w:val="clear" w:color="auto" w:fill="FBF3C1" w:themeFill="accent3" w:themeFillTint="66"/>
      </w:tcPr>
    </w:tblStylePr>
    <w:tblStylePr w:type="lastRow">
      <w:rPr>
        <w:b/>
        <w:bCs/>
        <w:color w:val="000000" w:themeColor="text1"/>
      </w:rPr>
      <w:tblPr/>
      <w:tcPr>
        <w:shd w:val="clear" w:color="auto" w:fill="FBF3C1" w:themeFill="accent3" w:themeFillTint="66"/>
      </w:tcPr>
    </w:tblStylePr>
    <w:tblStylePr w:type="firstCol">
      <w:rPr>
        <w:color w:val="FFFFFF" w:themeColor="background1"/>
      </w:rPr>
      <w:tblPr/>
      <w:tcPr>
        <w:shd w:val="clear" w:color="auto" w:fill="F1D112" w:themeFill="accent3" w:themeFillShade="BF"/>
      </w:tcPr>
    </w:tblStylePr>
    <w:tblStylePr w:type="lastCol">
      <w:rPr>
        <w:color w:val="FFFFFF" w:themeColor="background1"/>
      </w:rPr>
      <w:tblPr/>
      <w:tcPr>
        <w:shd w:val="clear" w:color="auto" w:fill="F1D112" w:themeFill="accent3" w:themeFillShade="BF"/>
      </w:tcPr>
    </w:tblStylePr>
    <w:tblStylePr w:type="band1Vert">
      <w:tblPr/>
      <w:tcPr>
        <w:shd w:val="clear" w:color="auto" w:fill="FAF0B2" w:themeFill="accent3" w:themeFillTint="7F"/>
      </w:tcPr>
    </w:tblStylePr>
    <w:tblStylePr w:type="band1Horz">
      <w:tblPr/>
      <w:tcPr>
        <w:shd w:val="clear" w:color="auto" w:fill="FAF0B2"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FFF3E3" w:themeFill="accent4" w:themeFillTint="33"/>
    </w:tcPr>
    <w:tblStylePr w:type="firstRow">
      <w:rPr>
        <w:b/>
        <w:bCs/>
      </w:rPr>
      <w:tblPr/>
      <w:tcPr>
        <w:shd w:val="clear" w:color="auto" w:fill="FFE8C8" w:themeFill="accent4" w:themeFillTint="66"/>
      </w:tcPr>
    </w:tblStylePr>
    <w:tblStylePr w:type="lastRow">
      <w:rPr>
        <w:b/>
        <w:bCs/>
        <w:color w:val="000000" w:themeColor="text1"/>
      </w:rPr>
      <w:tblPr/>
      <w:tcPr>
        <w:shd w:val="clear" w:color="auto" w:fill="FFE8C8" w:themeFill="accent4" w:themeFillTint="66"/>
      </w:tcPr>
    </w:tblStylePr>
    <w:tblStylePr w:type="firstCol">
      <w:rPr>
        <w:color w:val="FFFFFF" w:themeColor="background1"/>
      </w:rPr>
      <w:tblPr/>
      <w:tcPr>
        <w:shd w:val="clear" w:color="auto" w:fill="FF9E19" w:themeFill="accent4" w:themeFillShade="BF"/>
      </w:tcPr>
    </w:tblStylePr>
    <w:tblStylePr w:type="lastCol">
      <w:rPr>
        <w:color w:val="FFFFFF" w:themeColor="background1"/>
      </w:rPr>
      <w:tblPr/>
      <w:tcPr>
        <w:shd w:val="clear" w:color="auto" w:fill="FF9E19" w:themeFill="accent4" w:themeFillShade="BF"/>
      </w:tcPr>
    </w:tblStylePr>
    <w:tblStylePr w:type="band1Vert">
      <w:tblPr/>
      <w:tcPr>
        <w:shd w:val="clear" w:color="auto" w:fill="FFE2BB" w:themeFill="accent4" w:themeFillTint="7F"/>
      </w:tcPr>
    </w:tblStylePr>
    <w:tblStylePr w:type="band1Horz">
      <w:tblPr/>
      <w:tcPr>
        <w:shd w:val="clear" w:color="auto" w:fill="FFE2BB"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FFE4D6" w:themeFill="accent5" w:themeFillTint="33"/>
    </w:tcPr>
    <w:tblStylePr w:type="firstRow">
      <w:rPr>
        <w:b/>
        <w:bCs/>
      </w:rPr>
      <w:tblPr/>
      <w:tcPr>
        <w:shd w:val="clear" w:color="auto" w:fill="FFC9AD" w:themeFill="accent5" w:themeFillTint="66"/>
      </w:tcPr>
    </w:tblStylePr>
    <w:tblStylePr w:type="lastRow">
      <w:rPr>
        <w:b/>
        <w:bCs/>
        <w:color w:val="000000" w:themeColor="text1"/>
      </w:rPr>
      <w:tblPr/>
      <w:tcPr>
        <w:shd w:val="clear" w:color="auto" w:fill="FFC9AD" w:themeFill="accent5" w:themeFillTint="66"/>
      </w:tcPr>
    </w:tblStylePr>
    <w:tblStylePr w:type="firstCol">
      <w:rPr>
        <w:color w:val="FFFFFF" w:themeColor="background1"/>
      </w:rPr>
      <w:tblPr/>
      <w:tcPr>
        <w:shd w:val="clear" w:color="auto" w:fill="E54E00" w:themeFill="accent5" w:themeFillShade="BF"/>
      </w:tcPr>
    </w:tblStylePr>
    <w:tblStylePr w:type="lastCol">
      <w:rPr>
        <w:color w:val="FFFFFF" w:themeColor="background1"/>
      </w:rPr>
      <w:tblPr/>
      <w:tcPr>
        <w:shd w:val="clear" w:color="auto" w:fill="E54E00" w:themeFill="accent5" w:themeFillShade="BF"/>
      </w:tcPr>
    </w:tblStylePr>
    <w:tblStylePr w:type="band1Vert">
      <w:tblPr/>
      <w:tcPr>
        <w:shd w:val="clear" w:color="auto" w:fill="FFBC99" w:themeFill="accent5" w:themeFillTint="7F"/>
      </w:tcPr>
    </w:tblStylePr>
    <w:tblStylePr w:type="band1Horz">
      <w:tblPr/>
      <w:tcPr>
        <w:shd w:val="clear" w:color="auto" w:fill="FFBC99"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FCD8DB" w:themeFill="accent6" w:themeFillTint="33"/>
    </w:tcPr>
    <w:tblStylePr w:type="firstRow">
      <w:rPr>
        <w:b/>
        <w:bCs/>
      </w:rPr>
      <w:tblPr/>
      <w:tcPr>
        <w:shd w:val="clear" w:color="auto" w:fill="F9B2B8" w:themeFill="accent6" w:themeFillTint="66"/>
      </w:tcPr>
    </w:tblStylePr>
    <w:tblStylePr w:type="lastRow">
      <w:rPr>
        <w:b/>
        <w:bCs/>
        <w:color w:val="000000" w:themeColor="text1"/>
      </w:rPr>
      <w:tblPr/>
      <w:tcPr>
        <w:shd w:val="clear" w:color="auto" w:fill="F9B2B8" w:themeFill="accent6" w:themeFillTint="66"/>
      </w:tcPr>
    </w:tblStylePr>
    <w:tblStylePr w:type="firstCol">
      <w:rPr>
        <w:color w:val="FFFFFF" w:themeColor="background1"/>
      </w:rPr>
      <w:tblPr/>
      <w:tcPr>
        <w:shd w:val="clear" w:color="auto" w:fill="D31020" w:themeFill="accent6" w:themeFillShade="BF"/>
      </w:tcPr>
    </w:tblStylePr>
    <w:tblStylePr w:type="lastCol">
      <w:rPr>
        <w:color w:val="FFFFFF" w:themeColor="background1"/>
      </w:rPr>
      <w:tblPr/>
      <w:tcPr>
        <w:shd w:val="clear" w:color="auto" w:fill="D31020" w:themeFill="accent6" w:themeFillShade="BF"/>
      </w:tcPr>
    </w:tblStylePr>
    <w:tblStylePr w:type="band1Vert">
      <w:tblPr/>
      <w:tcPr>
        <w:shd w:val="clear" w:color="auto" w:fill="F79FA6" w:themeFill="accent6" w:themeFillTint="7F"/>
      </w:tcPr>
    </w:tblStylePr>
    <w:tblStylePr w:type="band1Horz">
      <w:tblPr/>
      <w:tcPr>
        <w:shd w:val="clear" w:color="auto" w:fill="F79FA6"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00754F" w:themeFill="accent2" w:themeFillShade="CC"/>
      </w:tcPr>
    </w:tblStylePr>
    <w:tblStylePr w:type="lastRow">
      <w:rPr>
        <w:b/>
        <w:bCs/>
        <w:color w:val="00754F"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DDF5F3" w:themeFill="accent1" w:themeFillTint="19"/>
    </w:tcPr>
    <w:tblStylePr w:type="firstRow">
      <w:rPr>
        <w:b/>
        <w:bCs/>
        <w:color w:val="FFFFFF" w:themeColor="background1"/>
      </w:rPr>
      <w:tblPr/>
      <w:tcPr>
        <w:tcBorders>
          <w:bottom w:val="single" w:color="FFFFFF" w:themeColor="background1" w:sz="12" w:space="0"/>
        </w:tcBorders>
        <w:shd w:val="clear" w:color="auto" w:fill="00754F" w:themeFill="accent2" w:themeFillShade="CC"/>
      </w:tcPr>
    </w:tblStylePr>
    <w:tblStylePr w:type="lastRow">
      <w:rPr>
        <w:b/>
        <w:bCs/>
        <w:color w:val="00754F"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7E1" w:themeFill="accent1" w:themeFillTint="3F"/>
      </w:tcPr>
    </w:tblStylePr>
    <w:tblStylePr w:type="band1Horz">
      <w:tblPr/>
      <w:tcPr>
        <w:shd w:val="clear" w:color="auto" w:fill="BAECE7" w:themeFill="accent1" w:themeFillTint="33"/>
      </w:tcPr>
    </w:tblStylePr>
  </w:style>
  <w:style w:type="table" w:styleId="ColorfulList-Accent2">
    <w:name w:val="Colorful List Accent 2"/>
    <w:basedOn w:val="TableNormal"/>
    <w:uiPriority w:val="72"/>
    <w:semiHidden/>
    <w:rsid w:val="0058629F"/>
    <w:pPr>
      <w:spacing w:line="240" w:lineRule="auto"/>
    </w:pPr>
    <w:tblPr>
      <w:tblStyleRowBandSize w:val="1"/>
      <w:tblStyleColBandSize w:val="1"/>
    </w:tblPr>
    <w:tcPr>
      <w:shd w:val="clear" w:color="auto" w:fill="DBFFF3" w:themeFill="accent2" w:themeFillTint="19"/>
    </w:tcPr>
    <w:tblStylePr w:type="firstRow">
      <w:rPr>
        <w:b/>
        <w:bCs/>
        <w:color w:val="FFFFFF" w:themeColor="background1"/>
      </w:rPr>
      <w:tblPr/>
      <w:tcPr>
        <w:tcBorders>
          <w:bottom w:val="single" w:color="FFFFFF" w:themeColor="background1" w:sz="12" w:space="0"/>
        </w:tcBorders>
        <w:shd w:val="clear" w:color="auto" w:fill="00754F" w:themeFill="accent2" w:themeFillShade="CC"/>
      </w:tcPr>
    </w:tblStylePr>
    <w:tblStylePr w:type="lastRow">
      <w:rPr>
        <w:b/>
        <w:bCs/>
        <w:color w:val="00754F"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FE2" w:themeFill="accent2" w:themeFillTint="3F"/>
      </w:tcPr>
    </w:tblStylePr>
    <w:tblStylePr w:type="band1Horz">
      <w:tblPr/>
      <w:tcPr>
        <w:shd w:val="clear" w:color="auto" w:fill="B6FFE7"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FEFCEF" w:themeFill="accent3" w:themeFillTint="19"/>
    </w:tcPr>
    <w:tblStylePr w:type="firstRow">
      <w:rPr>
        <w:b/>
        <w:bCs/>
        <w:color w:val="FFFFFF" w:themeColor="background1"/>
      </w:rPr>
      <w:tblPr/>
      <w:tcPr>
        <w:tcBorders>
          <w:bottom w:val="single" w:color="FFFFFF" w:themeColor="background1" w:sz="12" w:space="0"/>
        </w:tcBorders>
        <w:shd w:val="clear" w:color="auto" w:fill="FFA62C" w:themeFill="accent4" w:themeFillShade="CC"/>
      </w:tcPr>
    </w:tblStylePr>
    <w:tblStylePr w:type="lastRow">
      <w:rPr>
        <w:b/>
        <w:bCs/>
        <w:color w:val="FFA62C"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D8" w:themeFill="accent3" w:themeFillTint="3F"/>
      </w:tcPr>
    </w:tblStylePr>
    <w:tblStylePr w:type="band1Horz">
      <w:tblPr/>
      <w:tcPr>
        <w:shd w:val="clear" w:color="auto" w:fill="FDF9E0"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FF9F1" w:themeFill="accent4" w:themeFillTint="19"/>
    </w:tcPr>
    <w:tblStylePr w:type="firstRow">
      <w:rPr>
        <w:b/>
        <w:bCs/>
        <w:color w:val="FFFFFF" w:themeColor="background1"/>
      </w:rPr>
      <w:tblPr/>
      <w:tcPr>
        <w:tcBorders>
          <w:bottom w:val="single" w:color="FFFFFF" w:themeColor="background1" w:sz="12" w:space="0"/>
        </w:tcBorders>
        <w:shd w:val="clear" w:color="auto" w:fill="F2D423" w:themeFill="accent3" w:themeFillShade="CC"/>
      </w:tcPr>
    </w:tblStylePr>
    <w:tblStylePr w:type="lastRow">
      <w:rPr>
        <w:b/>
        <w:bCs/>
        <w:color w:val="F2D423"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DD" w:themeFill="accent4" w:themeFillTint="3F"/>
      </w:tcPr>
    </w:tblStylePr>
    <w:tblStylePr w:type="band1Horz">
      <w:tblPr/>
      <w:tcPr>
        <w:shd w:val="clear" w:color="auto" w:fill="FFF3E3"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FFF1EB" w:themeFill="accent5" w:themeFillTint="19"/>
    </w:tcPr>
    <w:tblStylePr w:type="firstRow">
      <w:rPr>
        <w:b/>
        <w:bCs/>
        <w:color w:val="FFFFFF" w:themeColor="background1"/>
      </w:rPr>
      <w:tblPr/>
      <w:tcPr>
        <w:tcBorders>
          <w:bottom w:val="single" w:color="FFFFFF" w:themeColor="background1" w:sz="12" w:space="0"/>
        </w:tcBorders>
        <w:shd w:val="clear" w:color="auto" w:fill="E11122" w:themeFill="accent6" w:themeFillShade="CC"/>
      </w:tcPr>
    </w:tblStylePr>
    <w:tblStylePr w:type="lastRow">
      <w:rPr>
        <w:b/>
        <w:bCs/>
        <w:color w:val="E11122"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DCC" w:themeFill="accent5" w:themeFillTint="3F"/>
      </w:tcPr>
    </w:tblStylePr>
    <w:tblStylePr w:type="band1Horz">
      <w:tblPr/>
      <w:tcPr>
        <w:shd w:val="clear" w:color="auto" w:fill="FFE4D6"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FDECED" w:themeFill="accent6" w:themeFillTint="19"/>
    </w:tcPr>
    <w:tblStylePr w:type="firstRow">
      <w:rPr>
        <w:b/>
        <w:bCs/>
        <w:color w:val="FFFFFF" w:themeColor="background1"/>
      </w:rPr>
      <w:tblPr/>
      <w:tcPr>
        <w:tcBorders>
          <w:bottom w:val="single" w:color="FFFFFF" w:themeColor="background1" w:sz="12" w:space="0"/>
        </w:tcBorders>
        <w:shd w:val="clear" w:color="auto" w:fill="F55300" w:themeFill="accent5" w:themeFillShade="CC"/>
      </w:tcPr>
    </w:tblStylePr>
    <w:tblStylePr w:type="lastRow">
      <w:rPr>
        <w:b/>
        <w:bCs/>
        <w:color w:val="F55300"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CFD3" w:themeFill="accent6" w:themeFillTint="3F"/>
      </w:tcPr>
    </w:tblStylePr>
    <w:tblStylePr w:type="band1Horz">
      <w:tblPr/>
      <w:tcPr>
        <w:shd w:val="clear" w:color="auto" w:fill="FCD8DB"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color="009364"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009364"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color="009364" w:themeColor="accent2" w:sz="24" w:space="0"/>
        <w:left w:val="single" w:color="103A36" w:themeColor="accent1" w:sz="4" w:space="0"/>
        <w:bottom w:val="single" w:color="103A36" w:themeColor="accent1" w:sz="4" w:space="0"/>
        <w:right w:val="single" w:color="103A36" w:themeColor="accent1" w:sz="4" w:space="0"/>
        <w:insideH w:val="single" w:color="FFFFFF" w:themeColor="background1" w:sz="4" w:space="0"/>
        <w:insideV w:val="single" w:color="FFFFFF" w:themeColor="background1" w:sz="4" w:space="0"/>
      </w:tblBorders>
    </w:tblPr>
    <w:tcPr>
      <w:shd w:val="clear" w:color="auto" w:fill="DDF5F3" w:themeFill="accent1" w:themeFillTint="19"/>
    </w:tcPr>
    <w:tblStylePr w:type="firstRow">
      <w:rPr>
        <w:b/>
        <w:bCs/>
      </w:rPr>
      <w:tblPr/>
      <w:tcPr>
        <w:tcBorders>
          <w:top w:val="nil"/>
          <w:left w:val="nil"/>
          <w:bottom w:val="single" w:color="009364"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92220" w:themeFill="accent1" w:themeFillShade="99"/>
      </w:tcPr>
    </w:tblStylePr>
    <w:tblStylePr w:type="firstCol">
      <w:rPr>
        <w:color w:val="FFFFFF" w:themeColor="background1"/>
      </w:rPr>
      <w:tblPr/>
      <w:tcPr>
        <w:tcBorders>
          <w:top w:val="nil"/>
          <w:left w:val="nil"/>
          <w:bottom w:val="nil"/>
          <w:right w:val="nil"/>
          <w:insideH w:val="single" w:color="092220" w:themeColor="accent1" w:themeShade="99" w:sz="4" w:space="0"/>
          <w:insideV w:val="nil"/>
        </w:tcBorders>
        <w:shd w:val="clear" w:color="auto" w:fill="09222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2220" w:themeFill="accent1" w:themeFillShade="99"/>
      </w:tcPr>
    </w:tblStylePr>
    <w:tblStylePr w:type="band1Vert">
      <w:tblPr/>
      <w:tcPr>
        <w:shd w:val="clear" w:color="auto" w:fill="76D9CF" w:themeFill="accent1" w:themeFillTint="66"/>
      </w:tcPr>
    </w:tblStylePr>
    <w:tblStylePr w:type="band1Horz">
      <w:tblPr/>
      <w:tcPr>
        <w:shd w:val="clear" w:color="auto" w:fill="54D0C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color="009364" w:themeColor="accent2" w:sz="24" w:space="0"/>
        <w:left w:val="single" w:color="009364" w:themeColor="accent2" w:sz="4" w:space="0"/>
        <w:bottom w:val="single" w:color="009364" w:themeColor="accent2" w:sz="4" w:space="0"/>
        <w:right w:val="single" w:color="009364" w:themeColor="accent2" w:sz="4" w:space="0"/>
        <w:insideH w:val="single" w:color="FFFFFF" w:themeColor="background1" w:sz="4" w:space="0"/>
        <w:insideV w:val="single" w:color="FFFFFF" w:themeColor="background1" w:sz="4" w:space="0"/>
      </w:tblBorders>
    </w:tblPr>
    <w:tcPr>
      <w:shd w:val="clear" w:color="auto" w:fill="DBFFF3" w:themeFill="accent2" w:themeFillTint="19"/>
    </w:tcPr>
    <w:tblStylePr w:type="firstRow">
      <w:rPr>
        <w:b/>
        <w:bCs/>
      </w:rPr>
      <w:tblPr/>
      <w:tcPr>
        <w:tcBorders>
          <w:top w:val="nil"/>
          <w:left w:val="nil"/>
          <w:bottom w:val="single" w:color="009364"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583B" w:themeFill="accent2" w:themeFillShade="99"/>
      </w:tcPr>
    </w:tblStylePr>
    <w:tblStylePr w:type="firstCol">
      <w:rPr>
        <w:color w:val="FFFFFF" w:themeColor="background1"/>
      </w:rPr>
      <w:tblPr/>
      <w:tcPr>
        <w:tcBorders>
          <w:top w:val="nil"/>
          <w:left w:val="nil"/>
          <w:bottom w:val="nil"/>
          <w:right w:val="nil"/>
          <w:insideH w:val="single" w:color="00583B" w:themeColor="accent2" w:themeShade="99" w:sz="4" w:space="0"/>
          <w:insideV w:val="nil"/>
        </w:tcBorders>
        <w:shd w:val="clear" w:color="auto" w:fill="0058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83B" w:themeFill="accent2" w:themeFillShade="99"/>
      </w:tcPr>
    </w:tblStylePr>
    <w:tblStylePr w:type="band1Vert">
      <w:tblPr/>
      <w:tcPr>
        <w:shd w:val="clear" w:color="auto" w:fill="6DFFD0" w:themeFill="accent2" w:themeFillTint="66"/>
      </w:tcPr>
    </w:tblStylePr>
    <w:tblStylePr w:type="band1Horz">
      <w:tblPr/>
      <w:tcPr>
        <w:shd w:val="clear" w:color="auto" w:fill="4AFFC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color="FFC677" w:themeColor="accent4" w:sz="24" w:space="0"/>
        <w:left w:val="single" w:color="F6E265" w:themeColor="accent3" w:sz="4" w:space="0"/>
        <w:bottom w:val="single" w:color="F6E265" w:themeColor="accent3" w:sz="4" w:space="0"/>
        <w:right w:val="single" w:color="F6E265" w:themeColor="accent3" w:sz="4" w:space="0"/>
        <w:insideH w:val="single" w:color="FFFFFF" w:themeColor="background1" w:sz="4" w:space="0"/>
        <w:insideV w:val="single" w:color="FFFFFF" w:themeColor="background1" w:sz="4" w:space="0"/>
      </w:tblBorders>
    </w:tblPr>
    <w:tcPr>
      <w:shd w:val="clear" w:color="auto" w:fill="FEFCEF" w:themeFill="accent3" w:themeFillTint="19"/>
    </w:tcPr>
    <w:tblStylePr w:type="firstRow">
      <w:rPr>
        <w:b/>
        <w:bCs/>
      </w:rPr>
      <w:tblPr/>
      <w:tcPr>
        <w:tcBorders>
          <w:top w:val="nil"/>
          <w:left w:val="nil"/>
          <w:bottom w:val="single" w:color="FFC677"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C4AA0B" w:themeFill="accent3" w:themeFillShade="99"/>
      </w:tcPr>
    </w:tblStylePr>
    <w:tblStylePr w:type="firstCol">
      <w:rPr>
        <w:color w:val="FFFFFF" w:themeColor="background1"/>
      </w:rPr>
      <w:tblPr/>
      <w:tcPr>
        <w:tcBorders>
          <w:top w:val="nil"/>
          <w:left w:val="nil"/>
          <w:bottom w:val="nil"/>
          <w:right w:val="nil"/>
          <w:insideH w:val="single" w:color="C4AA0B" w:themeColor="accent3" w:themeShade="99" w:sz="4" w:space="0"/>
          <w:insideV w:val="nil"/>
        </w:tcBorders>
        <w:shd w:val="clear" w:color="auto" w:fill="C4AA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4AA0B" w:themeFill="accent3" w:themeFillShade="99"/>
      </w:tcPr>
    </w:tblStylePr>
    <w:tblStylePr w:type="band1Vert">
      <w:tblPr/>
      <w:tcPr>
        <w:shd w:val="clear" w:color="auto" w:fill="FBF3C1" w:themeFill="accent3" w:themeFillTint="66"/>
      </w:tcPr>
    </w:tblStylePr>
    <w:tblStylePr w:type="band1Horz">
      <w:tblPr/>
      <w:tcPr>
        <w:shd w:val="clear" w:color="auto" w:fill="FAF0B2"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color="F6E265" w:themeColor="accent3" w:sz="24" w:space="0"/>
        <w:left w:val="single" w:color="FFC677" w:themeColor="accent4" w:sz="4" w:space="0"/>
        <w:bottom w:val="single" w:color="FFC677" w:themeColor="accent4" w:sz="4" w:space="0"/>
        <w:right w:val="single" w:color="FFC677" w:themeColor="accent4" w:sz="4" w:space="0"/>
        <w:insideH w:val="single" w:color="FFFFFF" w:themeColor="background1" w:sz="4" w:space="0"/>
        <w:insideV w:val="single" w:color="FFFFFF" w:themeColor="background1" w:sz="4" w:space="0"/>
      </w:tblBorders>
    </w:tblPr>
    <w:tcPr>
      <w:shd w:val="clear" w:color="auto" w:fill="FFF9F1" w:themeFill="accent4" w:themeFillTint="19"/>
    </w:tcPr>
    <w:tblStylePr w:type="firstRow">
      <w:rPr>
        <w:b/>
        <w:bCs/>
      </w:rPr>
      <w:tblPr/>
      <w:tcPr>
        <w:tcBorders>
          <w:top w:val="nil"/>
          <w:left w:val="nil"/>
          <w:bottom w:val="single" w:color="F6E26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E08200" w:themeFill="accent4" w:themeFillShade="99"/>
      </w:tcPr>
    </w:tblStylePr>
    <w:tblStylePr w:type="firstCol">
      <w:rPr>
        <w:color w:val="FFFFFF" w:themeColor="background1"/>
      </w:rPr>
      <w:tblPr/>
      <w:tcPr>
        <w:tcBorders>
          <w:top w:val="nil"/>
          <w:left w:val="nil"/>
          <w:bottom w:val="nil"/>
          <w:right w:val="nil"/>
          <w:insideH w:val="single" w:color="E08200" w:themeColor="accent4" w:themeShade="99" w:sz="4" w:space="0"/>
          <w:insideV w:val="nil"/>
        </w:tcBorders>
        <w:shd w:val="clear" w:color="auto" w:fill="E082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E08200" w:themeFill="accent4" w:themeFillShade="99"/>
      </w:tcPr>
    </w:tblStylePr>
    <w:tblStylePr w:type="band1Vert">
      <w:tblPr/>
      <w:tcPr>
        <w:shd w:val="clear" w:color="auto" w:fill="FFE8C8" w:themeFill="accent4" w:themeFillTint="66"/>
      </w:tcPr>
    </w:tblStylePr>
    <w:tblStylePr w:type="band1Horz">
      <w:tblPr/>
      <w:tcPr>
        <w:shd w:val="clear" w:color="auto" w:fill="FFE2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color="F0404F" w:themeColor="accent6" w:sz="24" w:space="0"/>
        <w:left w:val="single" w:color="FF7A34" w:themeColor="accent5" w:sz="4" w:space="0"/>
        <w:bottom w:val="single" w:color="FF7A34" w:themeColor="accent5" w:sz="4" w:space="0"/>
        <w:right w:val="single" w:color="FF7A34" w:themeColor="accent5" w:sz="4" w:space="0"/>
        <w:insideH w:val="single" w:color="FFFFFF" w:themeColor="background1" w:sz="4" w:space="0"/>
        <w:insideV w:val="single" w:color="FFFFFF" w:themeColor="background1" w:sz="4" w:space="0"/>
      </w:tblBorders>
    </w:tblPr>
    <w:tcPr>
      <w:shd w:val="clear" w:color="auto" w:fill="FFF1EB" w:themeFill="accent5" w:themeFillTint="19"/>
    </w:tcPr>
    <w:tblStylePr w:type="firstRow">
      <w:rPr>
        <w:b/>
        <w:bCs/>
      </w:rPr>
      <w:tblPr/>
      <w:tcPr>
        <w:tcBorders>
          <w:top w:val="nil"/>
          <w:left w:val="nil"/>
          <w:bottom w:val="single" w:color="F0404F"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83E00" w:themeFill="accent5" w:themeFillShade="99"/>
      </w:tcPr>
    </w:tblStylePr>
    <w:tblStylePr w:type="firstCol">
      <w:rPr>
        <w:color w:val="FFFFFF" w:themeColor="background1"/>
      </w:rPr>
      <w:tblPr/>
      <w:tcPr>
        <w:tcBorders>
          <w:top w:val="nil"/>
          <w:left w:val="nil"/>
          <w:bottom w:val="nil"/>
          <w:right w:val="nil"/>
          <w:insideH w:val="single" w:color="B83E00" w:themeColor="accent5" w:themeShade="99" w:sz="4" w:space="0"/>
          <w:insideV w:val="nil"/>
        </w:tcBorders>
        <w:shd w:val="clear" w:color="auto" w:fill="B83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83E00" w:themeFill="accent5" w:themeFillShade="99"/>
      </w:tcPr>
    </w:tblStylePr>
    <w:tblStylePr w:type="band1Vert">
      <w:tblPr/>
      <w:tcPr>
        <w:shd w:val="clear" w:color="auto" w:fill="FFC9AD" w:themeFill="accent5" w:themeFillTint="66"/>
      </w:tcPr>
    </w:tblStylePr>
    <w:tblStylePr w:type="band1Horz">
      <w:tblPr/>
      <w:tcPr>
        <w:shd w:val="clear" w:color="auto" w:fill="FFBC9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color="FF7A34" w:themeColor="accent5" w:sz="24" w:space="0"/>
        <w:left w:val="single" w:color="F0404F" w:themeColor="accent6" w:sz="4" w:space="0"/>
        <w:bottom w:val="single" w:color="F0404F" w:themeColor="accent6" w:sz="4" w:space="0"/>
        <w:right w:val="single" w:color="F0404F" w:themeColor="accent6" w:sz="4" w:space="0"/>
        <w:insideH w:val="single" w:color="FFFFFF" w:themeColor="background1" w:sz="4" w:space="0"/>
        <w:insideV w:val="single" w:color="FFFFFF" w:themeColor="background1" w:sz="4" w:space="0"/>
      </w:tblBorders>
    </w:tblPr>
    <w:tcPr>
      <w:shd w:val="clear" w:color="auto" w:fill="FDECED" w:themeFill="accent6" w:themeFillTint="19"/>
    </w:tcPr>
    <w:tblStylePr w:type="firstRow">
      <w:rPr>
        <w:b/>
        <w:bCs/>
      </w:rPr>
      <w:tblPr/>
      <w:tcPr>
        <w:tcBorders>
          <w:top w:val="nil"/>
          <w:left w:val="nil"/>
          <w:bottom w:val="single" w:color="FF7A3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A90D1A" w:themeFill="accent6" w:themeFillShade="99"/>
      </w:tcPr>
    </w:tblStylePr>
    <w:tblStylePr w:type="firstCol">
      <w:rPr>
        <w:color w:val="FFFFFF" w:themeColor="background1"/>
      </w:rPr>
      <w:tblPr/>
      <w:tcPr>
        <w:tcBorders>
          <w:top w:val="nil"/>
          <w:left w:val="nil"/>
          <w:bottom w:val="nil"/>
          <w:right w:val="nil"/>
          <w:insideH w:val="single" w:color="A90D1A" w:themeColor="accent6" w:themeShade="99" w:sz="4" w:space="0"/>
          <w:insideV w:val="nil"/>
        </w:tcBorders>
        <w:shd w:val="clear" w:color="auto" w:fill="A90D1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90D1A" w:themeFill="accent6" w:themeFillShade="99"/>
      </w:tcPr>
    </w:tblStylePr>
    <w:tblStylePr w:type="band1Vert">
      <w:tblPr/>
      <w:tcPr>
        <w:shd w:val="clear" w:color="auto" w:fill="F9B2B8" w:themeFill="accent6" w:themeFillTint="66"/>
      </w:tcPr>
    </w:tblStylePr>
    <w:tblStylePr w:type="band1Horz">
      <w:tblPr/>
      <w:tcPr>
        <w:shd w:val="clear" w:color="auto" w:fill="F79F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103A36"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81C1A"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C2B28"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C2B28" w:themeFill="accent1" w:themeFillShade="BF"/>
      </w:tcPr>
    </w:tblStylePr>
    <w:tblStylePr w:type="band1Vert">
      <w:tblPr/>
      <w:tcPr>
        <w:tcBorders>
          <w:top w:val="nil"/>
          <w:left w:val="nil"/>
          <w:bottom w:val="nil"/>
          <w:right w:val="nil"/>
          <w:insideH w:val="nil"/>
          <w:insideV w:val="nil"/>
        </w:tcBorders>
        <w:shd w:val="clear" w:color="auto" w:fill="0C2B28" w:themeFill="accent1" w:themeFillShade="BF"/>
      </w:tcPr>
    </w:tblStylePr>
    <w:tblStylePr w:type="band1Horz">
      <w:tblPr/>
      <w:tcPr>
        <w:tcBorders>
          <w:top w:val="nil"/>
          <w:left w:val="nil"/>
          <w:bottom w:val="nil"/>
          <w:right w:val="nil"/>
          <w:insideH w:val="nil"/>
          <w:insideV w:val="nil"/>
        </w:tcBorders>
        <w:shd w:val="clear" w:color="auto" w:fill="0C2B28"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009364"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4931"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006E4A"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006E4A" w:themeFill="accent2" w:themeFillShade="BF"/>
      </w:tcPr>
    </w:tblStylePr>
    <w:tblStylePr w:type="band1Vert">
      <w:tblPr/>
      <w:tcPr>
        <w:tcBorders>
          <w:top w:val="nil"/>
          <w:left w:val="nil"/>
          <w:bottom w:val="nil"/>
          <w:right w:val="nil"/>
          <w:insideH w:val="nil"/>
          <w:insideV w:val="nil"/>
        </w:tcBorders>
        <w:shd w:val="clear" w:color="auto" w:fill="006E4A" w:themeFill="accent2" w:themeFillShade="BF"/>
      </w:tcPr>
    </w:tblStylePr>
    <w:tblStylePr w:type="band1Horz">
      <w:tblPr/>
      <w:tcPr>
        <w:tcBorders>
          <w:top w:val="nil"/>
          <w:left w:val="nil"/>
          <w:bottom w:val="nil"/>
          <w:right w:val="nil"/>
          <w:insideH w:val="nil"/>
          <w:insideV w:val="nil"/>
        </w:tcBorders>
        <w:shd w:val="clear" w:color="auto" w:fill="006E4A"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F6E26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A38D09"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F1D112"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F1D112" w:themeFill="accent3" w:themeFillShade="BF"/>
      </w:tcPr>
    </w:tblStylePr>
    <w:tblStylePr w:type="band1Vert">
      <w:tblPr/>
      <w:tcPr>
        <w:tcBorders>
          <w:top w:val="nil"/>
          <w:left w:val="nil"/>
          <w:bottom w:val="nil"/>
          <w:right w:val="nil"/>
          <w:insideH w:val="nil"/>
          <w:insideV w:val="nil"/>
        </w:tcBorders>
        <w:shd w:val="clear" w:color="auto" w:fill="F1D112" w:themeFill="accent3" w:themeFillShade="BF"/>
      </w:tcPr>
    </w:tblStylePr>
    <w:tblStylePr w:type="band1Horz">
      <w:tblPr/>
      <w:tcPr>
        <w:tcBorders>
          <w:top w:val="nil"/>
          <w:left w:val="nil"/>
          <w:bottom w:val="nil"/>
          <w:right w:val="nil"/>
          <w:insideH w:val="nil"/>
          <w:insideV w:val="nil"/>
        </w:tcBorders>
        <w:shd w:val="clear" w:color="auto" w:fill="F1D112"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FFC677"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BA6B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FF9E19"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FF9E19" w:themeFill="accent4" w:themeFillShade="BF"/>
      </w:tcPr>
    </w:tblStylePr>
    <w:tblStylePr w:type="band1Vert">
      <w:tblPr/>
      <w:tcPr>
        <w:tcBorders>
          <w:top w:val="nil"/>
          <w:left w:val="nil"/>
          <w:bottom w:val="nil"/>
          <w:right w:val="nil"/>
          <w:insideH w:val="nil"/>
          <w:insideV w:val="nil"/>
        </w:tcBorders>
        <w:shd w:val="clear" w:color="auto" w:fill="FF9E19" w:themeFill="accent4" w:themeFillShade="BF"/>
      </w:tcPr>
    </w:tblStylePr>
    <w:tblStylePr w:type="band1Horz">
      <w:tblPr/>
      <w:tcPr>
        <w:tcBorders>
          <w:top w:val="nil"/>
          <w:left w:val="nil"/>
          <w:bottom w:val="nil"/>
          <w:right w:val="nil"/>
          <w:insideH w:val="nil"/>
          <w:insideV w:val="nil"/>
        </w:tcBorders>
        <w:shd w:val="clear" w:color="auto" w:fill="FF9E19"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FF7A3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83400"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E54E00"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E54E00" w:themeFill="accent5" w:themeFillShade="BF"/>
      </w:tcPr>
    </w:tblStylePr>
    <w:tblStylePr w:type="band1Vert">
      <w:tblPr/>
      <w:tcPr>
        <w:tcBorders>
          <w:top w:val="nil"/>
          <w:left w:val="nil"/>
          <w:bottom w:val="nil"/>
          <w:right w:val="nil"/>
          <w:insideH w:val="nil"/>
          <w:insideV w:val="nil"/>
        </w:tcBorders>
        <w:shd w:val="clear" w:color="auto" w:fill="E54E00" w:themeFill="accent5" w:themeFillShade="BF"/>
      </w:tcPr>
    </w:tblStylePr>
    <w:tblStylePr w:type="band1Horz">
      <w:tblPr/>
      <w:tcPr>
        <w:tcBorders>
          <w:top w:val="nil"/>
          <w:left w:val="nil"/>
          <w:bottom w:val="nil"/>
          <w:right w:val="nil"/>
          <w:insideH w:val="nil"/>
          <w:insideV w:val="nil"/>
        </w:tcBorders>
        <w:shd w:val="clear" w:color="auto" w:fill="E54E00"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F0404F"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C0B15"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D31020"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D31020" w:themeFill="accent6" w:themeFillShade="BF"/>
      </w:tcPr>
    </w:tblStylePr>
    <w:tblStylePr w:type="band1Vert">
      <w:tblPr/>
      <w:tcPr>
        <w:tcBorders>
          <w:top w:val="nil"/>
          <w:left w:val="nil"/>
          <w:bottom w:val="nil"/>
          <w:right w:val="nil"/>
          <w:insideH w:val="nil"/>
          <w:insideV w:val="nil"/>
        </w:tcBorders>
        <w:shd w:val="clear" w:color="auto" w:fill="D31020" w:themeFill="accent6" w:themeFillShade="BF"/>
      </w:tcPr>
    </w:tblStylePr>
    <w:tblStylePr w:type="band1Horz">
      <w:tblPr/>
      <w:tcPr>
        <w:tcBorders>
          <w:top w:val="nil"/>
          <w:left w:val="nil"/>
          <w:bottom w:val="nil"/>
          <w:right w:val="nil"/>
          <w:insideH w:val="nil"/>
          <w:insideV w:val="nil"/>
        </w:tcBorders>
        <w:shd w:val="clear" w:color="auto" w:fill="D31020" w:themeFill="accent6" w:themeFillShade="BF"/>
      </w:tcPr>
    </w:tblStylePr>
  </w:style>
  <w:style w:type="table" w:styleId="GridTable1Light">
    <w:name w:val="Grid Table 1 Light"/>
    <w:basedOn w:val="TableNormal"/>
    <w:uiPriority w:val="46"/>
    <w:semiHidden/>
    <w:rsid w:val="0058629F"/>
    <w:pPr>
      <w:spacing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RowBandSize w:val="1"/>
      <w:tblStyleColBandSize w:val="1"/>
      <w:tblBorders>
        <w:top w:val="single" w:color="76D9CF" w:themeColor="accent1" w:themeTint="66" w:sz="4" w:space="0"/>
        <w:left w:val="single" w:color="76D9CF" w:themeColor="accent1" w:themeTint="66" w:sz="4" w:space="0"/>
        <w:bottom w:val="single" w:color="76D9CF" w:themeColor="accent1" w:themeTint="66" w:sz="4" w:space="0"/>
        <w:right w:val="single" w:color="76D9CF" w:themeColor="accent1" w:themeTint="66" w:sz="4" w:space="0"/>
        <w:insideH w:val="single" w:color="76D9CF" w:themeColor="accent1" w:themeTint="66" w:sz="4" w:space="0"/>
        <w:insideV w:val="single" w:color="76D9CF" w:themeColor="accent1" w:themeTint="66" w:sz="4" w:space="0"/>
      </w:tblBorders>
    </w:tblPr>
    <w:tblStylePr w:type="firstRow">
      <w:rPr>
        <w:b/>
        <w:bCs/>
      </w:rPr>
      <w:tblPr/>
      <w:tcPr>
        <w:tcBorders>
          <w:bottom w:val="single" w:color="35C2B4" w:themeColor="accent1" w:themeTint="99" w:sz="12" w:space="0"/>
        </w:tcBorders>
      </w:tcPr>
    </w:tblStylePr>
    <w:tblStylePr w:type="lastRow">
      <w:rPr>
        <w:b/>
        <w:bCs/>
      </w:rPr>
      <w:tblPr/>
      <w:tcPr>
        <w:tcBorders>
          <w:top w:val="double" w:color="35C2B4"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RowBandSize w:val="1"/>
      <w:tblStyleColBandSize w:val="1"/>
      <w:tblBorders>
        <w:top w:val="single" w:color="6DFFD0" w:themeColor="accent2" w:themeTint="66" w:sz="4" w:space="0"/>
        <w:left w:val="single" w:color="6DFFD0" w:themeColor="accent2" w:themeTint="66" w:sz="4" w:space="0"/>
        <w:bottom w:val="single" w:color="6DFFD0" w:themeColor="accent2" w:themeTint="66" w:sz="4" w:space="0"/>
        <w:right w:val="single" w:color="6DFFD0" w:themeColor="accent2" w:themeTint="66" w:sz="4" w:space="0"/>
        <w:insideH w:val="single" w:color="6DFFD0" w:themeColor="accent2" w:themeTint="66" w:sz="4" w:space="0"/>
        <w:insideV w:val="single" w:color="6DFFD0" w:themeColor="accent2" w:themeTint="66" w:sz="4" w:space="0"/>
      </w:tblBorders>
    </w:tblPr>
    <w:tblStylePr w:type="firstRow">
      <w:rPr>
        <w:b/>
        <w:bCs/>
      </w:rPr>
      <w:tblPr/>
      <w:tcPr>
        <w:tcBorders>
          <w:bottom w:val="single" w:color="25FFB8" w:themeColor="accent2" w:themeTint="99" w:sz="12" w:space="0"/>
        </w:tcBorders>
      </w:tcPr>
    </w:tblStylePr>
    <w:tblStylePr w:type="lastRow">
      <w:rPr>
        <w:b/>
        <w:bCs/>
      </w:rPr>
      <w:tblPr/>
      <w:tcPr>
        <w:tcBorders>
          <w:top w:val="double" w:color="25FFB8"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RowBandSize w:val="1"/>
      <w:tblStyleColBandSize w:val="1"/>
      <w:tblBorders>
        <w:top w:val="single" w:color="FBF3C1" w:themeColor="accent3" w:themeTint="66" w:sz="4" w:space="0"/>
        <w:left w:val="single" w:color="FBF3C1" w:themeColor="accent3" w:themeTint="66" w:sz="4" w:space="0"/>
        <w:bottom w:val="single" w:color="FBF3C1" w:themeColor="accent3" w:themeTint="66" w:sz="4" w:space="0"/>
        <w:right w:val="single" w:color="FBF3C1" w:themeColor="accent3" w:themeTint="66" w:sz="4" w:space="0"/>
        <w:insideH w:val="single" w:color="FBF3C1" w:themeColor="accent3" w:themeTint="66" w:sz="4" w:space="0"/>
        <w:insideV w:val="single" w:color="FBF3C1" w:themeColor="accent3" w:themeTint="66" w:sz="4" w:space="0"/>
      </w:tblBorders>
    </w:tblPr>
    <w:tblStylePr w:type="firstRow">
      <w:rPr>
        <w:b/>
        <w:bCs/>
      </w:rPr>
      <w:tblPr/>
      <w:tcPr>
        <w:tcBorders>
          <w:bottom w:val="single" w:color="F9EDA2" w:themeColor="accent3" w:themeTint="99" w:sz="12" w:space="0"/>
        </w:tcBorders>
      </w:tcPr>
    </w:tblStylePr>
    <w:tblStylePr w:type="lastRow">
      <w:rPr>
        <w:b/>
        <w:bCs/>
      </w:rPr>
      <w:tblPr/>
      <w:tcPr>
        <w:tcBorders>
          <w:top w:val="double" w:color="F9EDA2"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RowBandSize w:val="1"/>
      <w:tblStyleColBandSize w:val="1"/>
      <w:tblBorders>
        <w:top w:val="single" w:color="FFE8C8" w:themeColor="accent4" w:themeTint="66" w:sz="4" w:space="0"/>
        <w:left w:val="single" w:color="FFE8C8" w:themeColor="accent4" w:themeTint="66" w:sz="4" w:space="0"/>
        <w:bottom w:val="single" w:color="FFE8C8" w:themeColor="accent4" w:themeTint="66" w:sz="4" w:space="0"/>
        <w:right w:val="single" w:color="FFE8C8" w:themeColor="accent4" w:themeTint="66" w:sz="4" w:space="0"/>
        <w:insideH w:val="single" w:color="FFE8C8" w:themeColor="accent4" w:themeTint="66" w:sz="4" w:space="0"/>
        <w:insideV w:val="single" w:color="FFE8C8" w:themeColor="accent4" w:themeTint="66" w:sz="4" w:space="0"/>
      </w:tblBorders>
    </w:tblPr>
    <w:tblStylePr w:type="firstRow">
      <w:rPr>
        <w:b/>
        <w:bCs/>
      </w:rPr>
      <w:tblPr/>
      <w:tcPr>
        <w:tcBorders>
          <w:bottom w:val="single" w:color="FFDCAD" w:themeColor="accent4" w:themeTint="99" w:sz="12" w:space="0"/>
        </w:tcBorders>
      </w:tcPr>
    </w:tblStylePr>
    <w:tblStylePr w:type="lastRow">
      <w:rPr>
        <w:b/>
        <w:bCs/>
      </w:rPr>
      <w:tblPr/>
      <w:tcPr>
        <w:tcBorders>
          <w:top w:val="double" w:color="FFDCAD"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RowBandSize w:val="1"/>
      <w:tblStyleColBandSize w:val="1"/>
      <w:tblBorders>
        <w:top w:val="single" w:color="FFC9AD" w:themeColor="accent5" w:themeTint="66" w:sz="4" w:space="0"/>
        <w:left w:val="single" w:color="FFC9AD" w:themeColor="accent5" w:themeTint="66" w:sz="4" w:space="0"/>
        <w:bottom w:val="single" w:color="FFC9AD" w:themeColor="accent5" w:themeTint="66" w:sz="4" w:space="0"/>
        <w:right w:val="single" w:color="FFC9AD" w:themeColor="accent5" w:themeTint="66" w:sz="4" w:space="0"/>
        <w:insideH w:val="single" w:color="FFC9AD" w:themeColor="accent5" w:themeTint="66" w:sz="4" w:space="0"/>
        <w:insideV w:val="single" w:color="FFC9AD" w:themeColor="accent5" w:themeTint="66" w:sz="4" w:space="0"/>
      </w:tblBorders>
    </w:tblPr>
    <w:tblStylePr w:type="firstRow">
      <w:rPr>
        <w:b/>
        <w:bCs/>
      </w:rPr>
      <w:tblPr/>
      <w:tcPr>
        <w:tcBorders>
          <w:bottom w:val="single" w:color="FFAE85" w:themeColor="accent5" w:themeTint="99" w:sz="12" w:space="0"/>
        </w:tcBorders>
      </w:tcPr>
    </w:tblStylePr>
    <w:tblStylePr w:type="lastRow">
      <w:rPr>
        <w:b/>
        <w:bCs/>
      </w:rPr>
      <w:tblPr/>
      <w:tcPr>
        <w:tcBorders>
          <w:top w:val="double" w:color="FFAE85"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RowBandSize w:val="1"/>
      <w:tblStyleColBandSize w:val="1"/>
      <w:tblBorders>
        <w:top w:val="single" w:color="F9B2B8" w:themeColor="accent6" w:themeTint="66" w:sz="4" w:space="0"/>
        <w:left w:val="single" w:color="F9B2B8" w:themeColor="accent6" w:themeTint="66" w:sz="4" w:space="0"/>
        <w:bottom w:val="single" w:color="F9B2B8" w:themeColor="accent6" w:themeTint="66" w:sz="4" w:space="0"/>
        <w:right w:val="single" w:color="F9B2B8" w:themeColor="accent6" w:themeTint="66" w:sz="4" w:space="0"/>
        <w:insideH w:val="single" w:color="F9B2B8" w:themeColor="accent6" w:themeTint="66" w:sz="4" w:space="0"/>
        <w:insideV w:val="single" w:color="F9B2B8" w:themeColor="accent6" w:themeTint="66" w:sz="4" w:space="0"/>
      </w:tblBorders>
    </w:tblPr>
    <w:tblStylePr w:type="firstRow">
      <w:rPr>
        <w:b/>
        <w:bCs/>
      </w:rPr>
      <w:tblPr/>
      <w:tcPr>
        <w:tcBorders>
          <w:bottom w:val="single" w:color="F68C95" w:themeColor="accent6" w:themeTint="99" w:sz="12" w:space="0"/>
        </w:tcBorders>
      </w:tcPr>
    </w:tblStylePr>
    <w:tblStylePr w:type="lastRow">
      <w:rPr>
        <w:b/>
        <w:bCs/>
      </w:rPr>
      <w:tblPr/>
      <w:tcPr>
        <w:tcBorders>
          <w:top w:val="double" w:color="F68C95"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pPr>
      <w:spacing w:line="240" w:lineRule="auto"/>
    </w:pPr>
    <w:tblPr>
      <w:tblStyleRowBandSize w:val="1"/>
      <w:tblStyleColBandSize w:val="1"/>
      <w:tblBorders>
        <w:top w:val="single" w:color="35C2B4" w:themeColor="accent1" w:themeTint="99" w:sz="2" w:space="0"/>
        <w:bottom w:val="single" w:color="35C2B4" w:themeColor="accent1" w:themeTint="99" w:sz="2" w:space="0"/>
        <w:insideH w:val="single" w:color="35C2B4" w:themeColor="accent1" w:themeTint="99" w:sz="2" w:space="0"/>
        <w:insideV w:val="single" w:color="35C2B4" w:themeColor="accent1" w:themeTint="99" w:sz="2" w:space="0"/>
      </w:tblBorders>
    </w:tblPr>
    <w:tblStylePr w:type="firstRow">
      <w:rPr>
        <w:b/>
        <w:bCs/>
      </w:rPr>
      <w:tblPr/>
      <w:tcPr>
        <w:tcBorders>
          <w:top w:val="nil"/>
          <w:bottom w:val="single" w:color="35C2B4" w:themeColor="accent1" w:themeTint="99" w:sz="12" w:space="0"/>
          <w:insideH w:val="nil"/>
          <w:insideV w:val="nil"/>
        </w:tcBorders>
        <w:shd w:val="clear" w:color="auto" w:fill="FFFFFF" w:themeFill="background1"/>
      </w:tcPr>
    </w:tblStylePr>
    <w:tblStylePr w:type="lastRow">
      <w:rPr>
        <w:b/>
        <w:bCs/>
      </w:rPr>
      <w:tblPr/>
      <w:tcPr>
        <w:tcBorders>
          <w:top w:val="double" w:color="35C2B4"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ECE7" w:themeFill="accent1" w:themeFillTint="33"/>
      </w:tcPr>
    </w:tblStylePr>
    <w:tblStylePr w:type="band1Horz">
      <w:tblPr/>
      <w:tcPr>
        <w:shd w:val="clear" w:color="auto" w:fill="BAECE7" w:themeFill="accent1" w:themeFillTint="33"/>
      </w:tcPr>
    </w:tblStylePr>
  </w:style>
  <w:style w:type="table" w:styleId="GridTable2-Accent2">
    <w:name w:val="Grid Table 2 Accent 2"/>
    <w:basedOn w:val="TableNormal"/>
    <w:uiPriority w:val="47"/>
    <w:semiHidden/>
    <w:rsid w:val="0058629F"/>
    <w:pPr>
      <w:spacing w:line="240" w:lineRule="auto"/>
    </w:pPr>
    <w:tblPr>
      <w:tblStyleRowBandSize w:val="1"/>
      <w:tblStyleColBandSize w:val="1"/>
      <w:tblBorders>
        <w:top w:val="single" w:color="25FFB8" w:themeColor="accent2" w:themeTint="99" w:sz="2" w:space="0"/>
        <w:bottom w:val="single" w:color="25FFB8" w:themeColor="accent2" w:themeTint="99" w:sz="2" w:space="0"/>
        <w:insideH w:val="single" w:color="25FFB8" w:themeColor="accent2" w:themeTint="99" w:sz="2" w:space="0"/>
        <w:insideV w:val="single" w:color="25FFB8" w:themeColor="accent2" w:themeTint="99" w:sz="2" w:space="0"/>
      </w:tblBorders>
    </w:tblPr>
    <w:tblStylePr w:type="firstRow">
      <w:rPr>
        <w:b/>
        <w:bCs/>
      </w:rPr>
      <w:tblPr/>
      <w:tcPr>
        <w:tcBorders>
          <w:top w:val="nil"/>
          <w:bottom w:val="single" w:color="25FFB8" w:themeColor="accent2" w:themeTint="99" w:sz="12" w:space="0"/>
          <w:insideH w:val="nil"/>
          <w:insideV w:val="nil"/>
        </w:tcBorders>
        <w:shd w:val="clear" w:color="auto" w:fill="FFFFFF" w:themeFill="background1"/>
      </w:tcPr>
    </w:tblStylePr>
    <w:tblStylePr w:type="lastRow">
      <w:rPr>
        <w:b/>
        <w:bCs/>
      </w:rPr>
      <w:tblPr/>
      <w:tcPr>
        <w:tcBorders>
          <w:top w:val="double" w:color="25FFB8"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FFE7" w:themeFill="accent2" w:themeFillTint="33"/>
      </w:tcPr>
    </w:tblStylePr>
    <w:tblStylePr w:type="band1Horz">
      <w:tblPr/>
      <w:tcPr>
        <w:shd w:val="clear" w:color="auto" w:fill="B6FFE7" w:themeFill="accent2" w:themeFillTint="33"/>
      </w:tcPr>
    </w:tblStylePr>
  </w:style>
  <w:style w:type="table" w:styleId="GridTable2-Accent3">
    <w:name w:val="Grid Table 2 Accent 3"/>
    <w:basedOn w:val="TableNormal"/>
    <w:uiPriority w:val="47"/>
    <w:semiHidden/>
    <w:rsid w:val="0058629F"/>
    <w:pPr>
      <w:spacing w:line="240" w:lineRule="auto"/>
    </w:pPr>
    <w:tblPr>
      <w:tblStyleRowBandSize w:val="1"/>
      <w:tblStyleColBandSize w:val="1"/>
      <w:tblBorders>
        <w:top w:val="single" w:color="F9EDA2" w:themeColor="accent3" w:themeTint="99" w:sz="2" w:space="0"/>
        <w:bottom w:val="single" w:color="F9EDA2" w:themeColor="accent3" w:themeTint="99" w:sz="2" w:space="0"/>
        <w:insideH w:val="single" w:color="F9EDA2" w:themeColor="accent3" w:themeTint="99" w:sz="2" w:space="0"/>
        <w:insideV w:val="single" w:color="F9EDA2" w:themeColor="accent3" w:themeTint="99" w:sz="2" w:space="0"/>
      </w:tblBorders>
    </w:tblPr>
    <w:tblStylePr w:type="firstRow">
      <w:rPr>
        <w:b/>
        <w:bCs/>
      </w:rPr>
      <w:tblPr/>
      <w:tcPr>
        <w:tcBorders>
          <w:top w:val="nil"/>
          <w:bottom w:val="single" w:color="F9EDA2" w:themeColor="accent3" w:themeTint="99" w:sz="12" w:space="0"/>
          <w:insideH w:val="nil"/>
          <w:insideV w:val="nil"/>
        </w:tcBorders>
        <w:shd w:val="clear" w:color="auto" w:fill="FFFFFF" w:themeFill="background1"/>
      </w:tcPr>
    </w:tblStylePr>
    <w:tblStylePr w:type="lastRow">
      <w:rPr>
        <w:b/>
        <w:bCs/>
      </w:rPr>
      <w:tblPr/>
      <w:tcPr>
        <w:tcBorders>
          <w:top w:val="double" w:color="F9EDA2"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E0" w:themeFill="accent3" w:themeFillTint="33"/>
      </w:tcPr>
    </w:tblStylePr>
    <w:tblStylePr w:type="band1Horz">
      <w:tblPr/>
      <w:tcPr>
        <w:shd w:val="clear" w:color="auto" w:fill="FDF9E0" w:themeFill="accent3" w:themeFillTint="33"/>
      </w:tcPr>
    </w:tblStylePr>
  </w:style>
  <w:style w:type="table" w:styleId="GridTable2-Accent4">
    <w:name w:val="Grid Table 2 Accent 4"/>
    <w:basedOn w:val="TableNormal"/>
    <w:uiPriority w:val="47"/>
    <w:semiHidden/>
    <w:rsid w:val="0058629F"/>
    <w:pPr>
      <w:spacing w:line="240" w:lineRule="auto"/>
    </w:pPr>
    <w:tblPr>
      <w:tblStyleRowBandSize w:val="1"/>
      <w:tblStyleColBandSize w:val="1"/>
      <w:tblBorders>
        <w:top w:val="single" w:color="FFDCAD" w:themeColor="accent4" w:themeTint="99" w:sz="2" w:space="0"/>
        <w:bottom w:val="single" w:color="FFDCAD" w:themeColor="accent4" w:themeTint="99" w:sz="2" w:space="0"/>
        <w:insideH w:val="single" w:color="FFDCAD" w:themeColor="accent4" w:themeTint="99" w:sz="2" w:space="0"/>
        <w:insideV w:val="single" w:color="FFDCAD" w:themeColor="accent4" w:themeTint="99" w:sz="2" w:space="0"/>
      </w:tblBorders>
    </w:tblPr>
    <w:tblStylePr w:type="firstRow">
      <w:rPr>
        <w:b/>
        <w:bCs/>
      </w:rPr>
      <w:tblPr/>
      <w:tcPr>
        <w:tcBorders>
          <w:top w:val="nil"/>
          <w:bottom w:val="single" w:color="FFDCAD" w:themeColor="accent4" w:themeTint="99" w:sz="12" w:space="0"/>
          <w:insideH w:val="nil"/>
          <w:insideV w:val="nil"/>
        </w:tcBorders>
        <w:shd w:val="clear" w:color="auto" w:fill="FFFFFF" w:themeFill="background1"/>
      </w:tcPr>
    </w:tblStylePr>
    <w:tblStylePr w:type="lastRow">
      <w:rPr>
        <w:b/>
        <w:bCs/>
      </w:rPr>
      <w:tblPr/>
      <w:tcPr>
        <w:tcBorders>
          <w:top w:val="double" w:color="FFDCAD"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E3" w:themeFill="accent4" w:themeFillTint="33"/>
      </w:tcPr>
    </w:tblStylePr>
    <w:tblStylePr w:type="band1Horz">
      <w:tblPr/>
      <w:tcPr>
        <w:shd w:val="clear" w:color="auto" w:fill="FFF3E3" w:themeFill="accent4" w:themeFillTint="33"/>
      </w:tcPr>
    </w:tblStylePr>
  </w:style>
  <w:style w:type="table" w:styleId="GridTable2-Accent5">
    <w:name w:val="Grid Table 2 Accent 5"/>
    <w:basedOn w:val="TableNormal"/>
    <w:uiPriority w:val="47"/>
    <w:semiHidden/>
    <w:rsid w:val="0058629F"/>
    <w:pPr>
      <w:spacing w:line="240" w:lineRule="auto"/>
    </w:pPr>
    <w:tblPr>
      <w:tblStyleRowBandSize w:val="1"/>
      <w:tblStyleColBandSize w:val="1"/>
      <w:tblBorders>
        <w:top w:val="single" w:color="FFAE85" w:themeColor="accent5" w:themeTint="99" w:sz="2" w:space="0"/>
        <w:bottom w:val="single" w:color="FFAE85" w:themeColor="accent5" w:themeTint="99" w:sz="2" w:space="0"/>
        <w:insideH w:val="single" w:color="FFAE85" w:themeColor="accent5" w:themeTint="99" w:sz="2" w:space="0"/>
        <w:insideV w:val="single" w:color="FFAE85" w:themeColor="accent5" w:themeTint="99" w:sz="2" w:space="0"/>
      </w:tblBorders>
    </w:tblPr>
    <w:tblStylePr w:type="firstRow">
      <w:rPr>
        <w:b/>
        <w:bCs/>
      </w:rPr>
      <w:tblPr/>
      <w:tcPr>
        <w:tcBorders>
          <w:top w:val="nil"/>
          <w:bottom w:val="single" w:color="FFAE85" w:themeColor="accent5" w:themeTint="99" w:sz="12" w:space="0"/>
          <w:insideH w:val="nil"/>
          <w:insideV w:val="nil"/>
        </w:tcBorders>
        <w:shd w:val="clear" w:color="auto" w:fill="FFFFFF" w:themeFill="background1"/>
      </w:tcPr>
    </w:tblStylePr>
    <w:tblStylePr w:type="lastRow">
      <w:rPr>
        <w:b/>
        <w:bCs/>
      </w:rPr>
      <w:tblPr/>
      <w:tcPr>
        <w:tcBorders>
          <w:top w:val="double" w:color="FFAE85"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D6" w:themeFill="accent5" w:themeFillTint="33"/>
      </w:tcPr>
    </w:tblStylePr>
    <w:tblStylePr w:type="band1Horz">
      <w:tblPr/>
      <w:tcPr>
        <w:shd w:val="clear" w:color="auto" w:fill="FFE4D6" w:themeFill="accent5" w:themeFillTint="33"/>
      </w:tcPr>
    </w:tblStylePr>
  </w:style>
  <w:style w:type="table" w:styleId="GridTable2-Accent6">
    <w:name w:val="Grid Table 2 Accent 6"/>
    <w:basedOn w:val="TableNormal"/>
    <w:uiPriority w:val="47"/>
    <w:semiHidden/>
    <w:rsid w:val="0058629F"/>
    <w:pPr>
      <w:spacing w:line="240" w:lineRule="auto"/>
    </w:pPr>
    <w:tblPr>
      <w:tblStyleRowBandSize w:val="1"/>
      <w:tblStyleColBandSize w:val="1"/>
      <w:tblBorders>
        <w:top w:val="single" w:color="F68C95" w:themeColor="accent6" w:themeTint="99" w:sz="2" w:space="0"/>
        <w:bottom w:val="single" w:color="F68C95" w:themeColor="accent6" w:themeTint="99" w:sz="2" w:space="0"/>
        <w:insideH w:val="single" w:color="F68C95" w:themeColor="accent6" w:themeTint="99" w:sz="2" w:space="0"/>
        <w:insideV w:val="single" w:color="F68C95" w:themeColor="accent6" w:themeTint="99" w:sz="2" w:space="0"/>
      </w:tblBorders>
    </w:tblPr>
    <w:tblStylePr w:type="firstRow">
      <w:rPr>
        <w:b/>
        <w:bCs/>
      </w:rPr>
      <w:tblPr/>
      <w:tcPr>
        <w:tcBorders>
          <w:top w:val="nil"/>
          <w:bottom w:val="single" w:color="F68C95" w:themeColor="accent6" w:themeTint="99" w:sz="12" w:space="0"/>
          <w:insideH w:val="nil"/>
          <w:insideV w:val="nil"/>
        </w:tcBorders>
        <w:shd w:val="clear" w:color="auto" w:fill="FFFFFF" w:themeFill="background1"/>
      </w:tcPr>
    </w:tblStylePr>
    <w:tblStylePr w:type="lastRow">
      <w:rPr>
        <w:b/>
        <w:bCs/>
      </w:rPr>
      <w:tblPr/>
      <w:tcPr>
        <w:tcBorders>
          <w:top w:val="double" w:color="F68C95"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8DB" w:themeFill="accent6" w:themeFillTint="33"/>
      </w:tcPr>
    </w:tblStylePr>
    <w:tblStylePr w:type="band1Horz">
      <w:tblPr/>
      <w:tcPr>
        <w:shd w:val="clear" w:color="auto" w:fill="FCD8DB" w:themeFill="accent6" w:themeFillTint="33"/>
      </w:tcPr>
    </w:tblStylePr>
  </w:style>
  <w:style w:type="table" w:styleId="GridTable3">
    <w:name w:val="Grid Table 3"/>
    <w:basedOn w:val="TableNormal"/>
    <w:uiPriority w:val="48"/>
    <w:semiHidden/>
    <w:rsid w:val="0058629F"/>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semiHidden/>
    <w:rsid w:val="0058629F"/>
    <w:pPr>
      <w:spacing w:line="240" w:lineRule="auto"/>
    </w:pPr>
    <w:tblPr>
      <w:tblStyleRowBandSize w:val="1"/>
      <w:tblStyleColBandSize w:val="1"/>
      <w:tblBorders>
        <w:top w:val="single" w:color="35C2B4" w:themeColor="accent1" w:themeTint="99" w:sz="4" w:space="0"/>
        <w:left w:val="single" w:color="35C2B4" w:themeColor="accent1" w:themeTint="99" w:sz="4" w:space="0"/>
        <w:bottom w:val="single" w:color="35C2B4" w:themeColor="accent1" w:themeTint="99" w:sz="4" w:space="0"/>
        <w:right w:val="single" w:color="35C2B4" w:themeColor="accent1" w:themeTint="99" w:sz="4" w:space="0"/>
        <w:insideH w:val="single" w:color="35C2B4" w:themeColor="accent1" w:themeTint="99" w:sz="4" w:space="0"/>
        <w:insideV w:val="single" w:color="35C2B4"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CE7" w:themeFill="accent1" w:themeFillTint="33"/>
      </w:tcPr>
    </w:tblStylePr>
    <w:tblStylePr w:type="band1Horz">
      <w:tblPr/>
      <w:tcPr>
        <w:shd w:val="clear" w:color="auto" w:fill="BAECE7" w:themeFill="accent1" w:themeFillTint="33"/>
      </w:tcPr>
    </w:tblStylePr>
    <w:tblStylePr w:type="neCell">
      <w:tblPr/>
      <w:tcPr>
        <w:tcBorders>
          <w:bottom w:val="single" w:color="35C2B4" w:themeColor="accent1" w:themeTint="99" w:sz="4" w:space="0"/>
        </w:tcBorders>
      </w:tcPr>
    </w:tblStylePr>
    <w:tblStylePr w:type="nwCell">
      <w:tblPr/>
      <w:tcPr>
        <w:tcBorders>
          <w:bottom w:val="single" w:color="35C2B4" w:themeColor="accent1" w:themeTint="99" w:sz="4" w:space="0"/>
        </w:tcBorders>
      </w:tcPr>
    </w:tblStylePr>
    <w:tblStylePr w:type="seCell">
      <w:tblPr/>
      <w:tcPr>
        <w:tcBorders>
          <w:top w:val="single" w:color="35C2B4" w:themeColor="accent1" w:themeTint="99" w:sz="4" w:space="0"/>
        </w:tcBorders>
      </w:tcPr>
    </w:tblStylePr>
    <w:tblStylePr w:type="swCell">
      <w:tblPr/>
      <w:tcPr>
        <w:tcBorders>
          <w:top w:val="single" w:color="35C2B4" w:themeColor="accent1" w:themeTint="99" w:sz="4" w:space="0"/>
        </w:tcBorders>
      </w:tcPr>
    </w:tblStylePr>
  </w:style>
  <w:style w:type="table" w:styleId="GridTable3-Accent2">
    <w:name w:val="Grid Table 3 Accent 2"/>
    <w:basedOn w:val="TableNormal"/>
    <w:uiPriority w:val="48"/>
    <w:semiHidden/>
    <w:rsid w:val="0058629F"/>
    <w:pPr>
      <w:spacing w:line="240" w:lineRule="auto"/>
    </w:pPr>
    <w:tblPr>
      <w:tblStyleRowBandSize w:val="1"/>
      <w:tblStyleColBandSize w:val="1"/>
      <w:tblBorders>
        <w:top w:val="single" w:color="25FFB8" w:themeColor="accent2" w:themeTint="99" w:sz="4" w:space="0"/>
        <w:left w:val="single" w:color="25FFB8" w:themeColor="accent2" w:themeTint="99" w:sz="4" w:space="0"/>
        <w:bottom w:val="single" w:color="25FFB8" w:themeColor="accent2" w:themeTint="99" w:sz="4" w:space="0"/>
        <w:right w:val="single" w:color="25FFB8" w:themeColor="accent2" w:themeTint="99" w:sz="4" w:space="0"/>
        <w:insideH w:val="single" w:color="25FFB8" w:themeColor="accent2" w:themeTint="99" w:sz="4" w:space="0"/>
        <w:insideV w:val="single" w:color="25FFB8"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FE7" w:themeFill="accent2" w:themeFillTint="33"/>
      </w:tcPr>
    </w:tblStylePr>
    <w:tblStylePr w:type="band1Horz">
      <w:tblPr/>
      <w:tcPr>
        <w:shd w:val="clear" w:color="auto" w:fill="B6FFE7" w:themeFill="accent2" w:themeFillTint="33"/>
      </w:tcPr>
    </w:tblStylePr>
    <w:tblStylePr w:type="neCell">
      <w:tblPr/>
      <w:tcPr>
        <w:tcBorders>
          <w:bottom w:val="single" w:color="25FFB8" w:themeColor="accent2" w:themeTint="99" w:sz="4" w:space="0"/>
        </w:tcBorders>
      </w:tcPr>
    </w:tblStylePr>
    <w:tblStylePr w:type="nwCell">
      <w:tblPr/>
      <w:tcPr>
        <w:tcBorders>
          <w:bottom w:val="single" w:color="25FFB8" w:themeColor="accent2" w:themeTint="99" w:sz="4" w:space="0"/>
        </w:tcBorders>
      </w:tcPr>
    </w:tblStylePr>
    <w:tblStylePr w:type="seCell">
      <w:tblPr/>
      <w:tcPr>
        <w:tcBorders>
          <w:top w:val="single" w:color="25FFB8" w:themeColor="accent2" w:themeTint="99" w:sz="4" w:space="0"/>
        </w:tcBorders>
      </w:tcPr>
    </w:tblStylePr>
    <w:tblStylePr w:type="swCell">
      <w:tblPr/>
      <w:tcPr>
        <w:tcBorders>
          <w:top w:val="single" w:color="25FFB8" w:themeColor="accent2" w:themeTint="99" w:sz="4" w:space="0"/>
        </w:tcBorders>
      </w:tcPr>
    </w:tblStylePr>
  </w:style>
  <w:style w:type="table" w:styleId="GridTable3-Accent3">
    <w:name w:val="Grid Table 3 Accent 3"/>
    <w:basedOn w:val="TableNormal"/>
    <w:uiPriority w:val="48"/>
    <w:semiHidden/>
    <w:rsid w:val="0058629F"/>
    <w:pPr>
      <w:spacing w:line="240" w:lineRule="auto"/>
    </w:pPr>
    <w:tblPr>
      <w:tblStyleRowBandSize w:val="1"/>
      <w:tblStyleColBandSize w:val="1"/>
      <w:tblBorders>
        <w:top w:val="single" w:color="F9EDA2" w:themeColor="accent3" w:themeTint="99" w:sz="4" w:space="0"/>
        <w:left w:val="single" w:color="F9EDA2" w:themeColor="accent3" w:themeTint="99" w:sz="4" w:space="0"/>
        <w:bottom w:val="single" w:color="F9EDA2" w:themeColor="accent3" w:themeTint="99" w:sz="4" w:space="0"/>
        <w:right w:val="single" w:color="F9EDA2" w:themeColor="accent3" w:themeTint="99" w:sz="4" w:space="0"/>
        <w:insideH w:val="single" w:color="F9EDA2" w:themeColor="accent3" w:themeTint="99" w:sz="4" w:space="0"/>
        <w:insideV w:val="single" w:color="F9EDA2"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E0" w:themeFill="accent3" w:themeFillTint="33"/>
      </w:tcPr>
    </w:tblStylePr>
    <w:tblStylePr w:type="band1Horz">
      <w:tblPr/>
      <w:tcPr>
        <w:shd w:val="clear" w:color="auto" w:fill="FDF9E0" w:themeFill="accent3" w:themeFillTint="33"/>
      </w:tcPr>
    </w:tblStylePr>
    <w:tblStylePr w:type="neCell">
      <w:tblPr/>
      <w:tcPr>
        <w:tcBorders>
          <w:bottom w:val="single" w:color="F9EDA2" w:themeColor="accent3" w:themeTint="99" w:sz="4" w:space="0"/>
        </w:tcBorders>
      </w:tcPr>
    </w:tblStylePr>
    <w:tblStylePr w:type="nwCell">
      <w:tblPr/>
      <w:tcPr>
        <w:tcBorders>
          <w:bottom w:val="single" w:color="F9EDA2" w:themeColor="accent3" w:themeTint="99" w:sz="4" w:space="0"/>
        </w:tcBorders>
      </w:tcPr>
    </w:tblStylePr>
    <w:tblStylePr w:type="seCell">
      <w:tblPr/>
      <w:tcPr>
        <w:tcBorders>
          <w:top w:val="single" w:color="F9EDA2" w:themeColor="accent3" w:themeTint="99" w:sz="4" w:space="0"/>
        </w:tcBorders>
      </w:tcPr>
    </w:tblStylePr>
    <w:tblStylePr w:type="swCell">
      <w:tblPr/>
      <w:tcPr>
        <w:tcBorders>
          <w:top w:val="single" w:color="F9EDA2" w:themeColor="accent3" w:themeTint="99" w:sz="4" w:space="0"/>
        </w:tcBorders>
      </w:tcPr>
    </w:tblStylePr>
  </w:style>
  <w:style w:type="table" w:styleId="GridTable3-Accent4">
    <w:name w:val="Grid Table 3 Accent 4"/>
    <w:basedOn w:val="TableNormal"/>
    <w:uiPriority w:val="48"/>
    <w:semiHidden/>
    <w:rsid w:val="0058629F"/>
    <w:pPr>
      <w:spacing w:line="240" w:lineRule="auto"/>
    </w:pPr>
    <w:tblPr>
      <w:tblStyleRowBandSize w:val="1"/>
      <w:tblStyleColBandSize w:val="1"/>
      <w:tblBorders>
        <w:top w:val="single" w:color="FFDCAD" w:themeColor="accent4" w:themeTint="99" w:sz="4" w:space="0"/>
        <w:left w:val="single" w:color="FFDCAD" w:themeColor="accent4" w:themeTint="99" w:sz="4" w:space="0"/>
        <w:bottom w:val="single" w:color="FFDCAD" w:themeColor="accent4" w:themeTint="99" w:sz="4" w:space="0"/>
        <w:right w:val="single" w:color="FFDCAD" w:themeColor="accent4" w:themeTint="99" w:sz="4" w:space="0"/>
        <w:insideH w:val="single" w:color="FFDCAD" w:themeColor="accent4" w:themeTint="99" w:sz="4" w:space="0"/>
        <w:insideV w:val="single" w:color="FFDCAD"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E3" w:themeFill="accent4" w:themeFillTint="33"/>
      </w:tcPr>
    </w:tblStylePr>
    <w:tblStylePr w:type="band1Horz">
      <w:tblPr/>
      <w:tcPr>
        <w:shd w:val="clear" w:color="auto" w:fill="FFF3E3" w:themeFill="accent4" w:themeFillTint="33"/>
      </w:tcPr>
    </w:tblStylePr>
    <w:tblStylePr w:type="neCell">
      <w:tblPr/>
      <w:tcPr>
        <w:tcBorders>
          <w:bottom w:val="single" w:color="FFDCAD" w:themeColor="accent4" w:themeTint="99" w:sz="4" w:space="0"/>
        </w:tcBorders>
      </w:tcPr>
    </w:tblStylePr>
    <w:tblStylePr w:type="nwCell">
      <w:tblPr/>
      <w:tcPr>
        <w:tcBorders>
          <w:bottom w:val="single" w:color="FFDCAD" w:themeColor="accent4" w:themeTint="99" w:sz="4" w:space="0"/>
        </w:tcBorders>
      </w:tcPr>
    </w:tblStylePr>
    <w:tblStylePr w:type="seCell">
      <w:tblPr/>
      <w:tcPr>
        <w:tcBorders>
          <w:top w:val="single" w:color="FFDCAD" w:themeColor="accent4" w:themeTint="99" w:sz="4" w:space="0"/>
        </w:tcBorders>
      </w:tcPr>
    </w:tblStylePr>
    <w:tblStylePr w:type="swCell">
      <w:tblPr/>
      <w:tcPr>
        <w:tcBorders>
          <w:top w:val="single" w:color="FFDCAD" w:themeColor="accent4" w:themeTint="99" w:sz="4" w:space="0"/>
        </w:tcBorders>
      </w:tcPr>
    </w:tblStylePr>
  </w:style>
  <w:style w:type="table" w:styleId="GridTable3-Accent5">
    <w:name w:val="Grid Table 3 Accent 5"/>
    <w:basedOn w:val="TableNormal"/>
    <w:uiPriority w:val="48"/>
    <w:semiHidden/>
    <w:rsid w:val="0058629F"/>
    <w:pPr>
      <w:spacing w:line="240" w:lineRule="auto"/>
    </w:pPr>
    <w:tblPr>
      <w:tblStyleRowBandSize w:val="1"/>
      <w:tblStyleColBandSize w:val="1"/>
      <w:tblBorders>
        <w:top w:val="single" w:color="FFAE85" w:themeColor="accent5" w:themeTint="99" w:sz="4" w:space="0"/>
        <w:left w:val="single" w:color="FFAE85" w:themeColor="accent5" w:themeTint="99" w:sz="4" w:space="0"/>
        <w:bottom w:val="single" w:color="FFAE85" w:themeColor="accent5" w:themeTint="99" w:sz="4" w:space="0"/>
        <w:right w:val="single" w:color="FFAE85" w:themeColor="accent5" w:themeTint="99" w:sz="4" w:space="0"/>
        <w:insideH w:val="single" w:color="FFAE85" w:themeColor="accent5" w:themeTint="99" w:sz="4" w:space="0"/>
        <w:insideV w:val="single" w:color="FFAE85"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6" w:themeFill="accent5" w:themeFillTint="33"/>
      </w:tcPr>
    </w:tblStylePr>
    <w:tblStylePr w:type="band1Horz">
      <w:tblPr/>
      <w:tcPr>
        <w:shd w:val="clear" w:color="auto" w:fill="FFE4D6" w:themeFill="accent5" w:themeFillTint="33"/>
      </w:tcPr>
    </w:tblStylePr>
    <w:tblStylePr w:type="neCell">
      <w:tblPr/>
      <w:tcPr>
        <w:tcBorders>
          <w:bottom w:val="single" w:color="FFAE85" w:themeColor="accent5" w:themeTint="99" w:sz="4" w:space="0"/>
        </w:tcBorders>
      </w:tcPr>
    </w:tblStylePr>
    <w:tblStylePr w:type="nwCell">
      <w:tblPr/>
      <w:tcPr>
        <w:tcBorders>
          <w:bottom w:val="single" w:color="FFAE85" w:themeColor="accent5" w:themeTint="99" w:sz="4" w:space="0"/>
        </w:tcBorders>
      </w:tcPr>
    </w:tblStylePr>
    <w:tblStylePr w:type="seCell">
      <w:tblPr/>
      <w:tcPr>
        <w:tcBorders>
          <w:top w:val="single" w:color="FFAE85" w:themeColor="accent5" w:themeTint="99" w:sz="4" w:space="0"/>
        </w:tcBorders>
      </w:tcPr>
    </w:tblStylePr>
    <w:tblStylePr w:type="swCell">
      <w:tblPr/>
      <w:tcPr>
        <w:tcBorders>
          <w:top w:val="single" w:color="FFAE85" w:themeColor="accent5" w:themeTint="99" w:sz="4" w:space="0"/>
        </w:tcBorders>
      </w:tcPr>
    </w:tblStylePr>
  </w:style>
  <w:style w:type="table" w:styleId="GridTable3-Accent6">
    <w:name w:val="Grid Table 3 Accent 6"/>
    <w:basedOn w:val="TableNormal"/>
    <w:uiPriority w:val="48"/>
    <w:semiHidden/>
    <w:rsid w:val="0058629F"/>
    <w:pPr>
      <w:spacing w:line="240" w:lineRule="auto"/>
    </w:pPr>
    <w:tblPr>
      <w:tblStyleRowBandSize w:val="1"/>
      <w:tblStyleColBandSize w:val="1"/>
      <w:tblBorders>
        <w:top w:val="single" w:color="F68C95" w:themeColor="accent6" w:themeTint="99" w:sz="4" w:space="0"/>
        <w:left w:val="single" w:color="F68C95" w:themeColor="accent6" w:themeTint="99" w:sz="4" w:space="0"/>
        <w:bottom w:val="single" w:color="F68C95" w:themeColor="accent6" w:themeTint="99" w:sz="4" w:space="0"/>
        <w:right w:val="single" w:color="F68C95" w:themeColor="accent6" w:themeTint="99" w:sz="4" w:space="0"/>
        <w:insideH w:val="single" w:color="F68C95" w:themeColor="accent6" w:themeTint="99" w:sz="4" w:space="0"/>
        <w:insideV w:val="single" w:color="F68C95"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8DB" w:themeFill="accent6" w:themeFillTint="33"/>
      </w:tcPr>
    </w:tblStylePr>
    <w:tblStylePr w:type="band1Horz">
      <w:tblPr/>
      <w:tcPr>
        <w:shd w:val="clear" w:color="auto" w:fill="FCD8DB" w:themeFill="accent6" w:themeFillTint="33"/>
      </w:tcPr>
    </w:tblStylePr>
    <w:tblStylePr w:type="neCell">
      <w:tblPr/>
      <w:tcPr>
        <w:tcBorders>
          <w:bottom w:val="single" w:color="F68C95" w:themeColor="accent6" w:themeTint="99" w:sz="4" w:space="0"/>
        </w:tcBorders>
      </w:tcPr>
    </w:tblStylePr>
    <w:tblStylePr w:type="nwCell">
      <w:tblPr/>
      <w:tcPr>
        <w:tcBorders>
          <w:bottom w:val="single" w:color="F68C95" w:themeColor="accent6" w:themeTint="99" w:sz="4" w:space="0"/>
        </w:tcBorders>
      </w:tcPr>
    </w:tblStylePr>
    <w:tblStylePr w:type="seCell">
      <w:tblPr/>
      <w:tcPr>
        <w:tcBorders>
          <w:top w:val="single" w:color="F68C95" w:themeColor="accent6" w:themeTint="99" w:sz="4" w:space="0"/>
        </w:tcBorders>
      </w:tcPr>
    </w:tblStylePr>
    <w:tblStylePr w:type="swCell">
      <w:tblPr/>
      <w:tcPr>
        <w:tcBorders>
          <w:top w:val="single" w:color="F68C95" w:themeColor="accent6" w:themeTint="99" w:sz="4" w:space="0"/>
        </w:tcBorders>
      </w:tcPr>
    </w:tblStylePr>
  </w:style>
  <w:style w:type="table" w:styleId="GridTable4">
    <w:name w:val="Grid Table 4"/>
    <w:basedOn w:val="TableNormal"/>
    <w:uiPriority w:val="49"/>
    <w:semiHidden/>
    <w:rsid w:val="0058629F"/>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pPr>
      <w:spacing w:line="240" w:lineRule="auto"/>
    </w:pPr>
    <w:tblPr>
      <w:tblStyleRowBandSize w:val="1"/>
      <w:tblStyleColBandSize w:val="1"/>
      <w:tblBorders>
        <w:top w:val="single" w:color="35C2B4" w:themeColor="accent1" w:themeTint="99" w:sz="4" w:space="0"/>
        <w:left w:val="single" w:color="35C2B4" w:themeColor="accent1" w:themeTint="99" w:sz="4" w:space="0"/>
        <w:bottom w:val="single" w:color="35C2B4" w:themeColor="accent1" w:themeTint="99" w:sz="4" w:space="0"/>
        <w:right w:val="single" w:color="35C2B4" w:themeColor="accent1" w:themeTint="99" w:sz="4" w:space="0"/>
        <w:insideH w:val="single" w:color="35C2B4" w:themeColor="accent1" w:themeTint="99" w:sz="4" w:space="0"/>
        <w:insideV w:val="single" w:color="35C2B4" w:themeColor="accent1" w:themeTint="99" w:sz="4" w:space="0"/>
      </w:tblBorders>
    </w:tblPr>
    <w:tblStylePr w:type="firstRow">
      <w:rPr>
        <w:b/>
        <w:bCs/>
        <w:color w:val="FFFFFF" w:themeColor="background1"/>
      </w:rPr>
      <w:tblPr/>
      <w:tcPr>
        <w:tcBorders>
          <w:top w:val="single" w:color="103A36" w:themeColor="accent1" w:sz="4" w:space="0"/>
          <w:left w:val="single" w:color="103A36" w:themeColor="accent1" w:sz="4" w:space="0"/>
          <w:bottom w:val="single" w:color="103A36" w:themeColor="accent1" w:sz="4" w:space="0"/>
          <w:right w:val="single" w:color="103A36" w:themeColor="accent1" w:sz="4" w:space="0"/>
          <w:insideH w:val="nil"/>
          <w:insideV w:val="nil"/>
        </w:tcBorders>
        <w:shd w:val="clear" w:color="auto" w:fill="103A36" w:themeFill="accent1"/>
      </w:tcPr>
    </w:tblStylePr>
    <w:tblStylePr w:type="lastRow">
      <w:rPr>
        <w:b/>
        <w:bCs/>
      </w:rPr>
      <w:tblPr/>
      <w:tcPr>
        <w:tcBorders>
          <w:top w:val="double" w:color="103A36" w:themeColor="accent1" w:sz="4" w:space="0"/>
        </w:tcBorders>
      </w:tcPr>
    </w:tblStylePr>
    <w:tblStylePr w:type="firstCol">
      <w:rPr>
        <w:b/>
        <w:bCs/>
      </w:rPr>
    </w:tblStylePr>
    <w:tblStylePr w:type="lastCol">
      <w:rPr>
        <w:b/>
        <w:bCs/>
      </w:rPr>
    </w:tblStylePr>
    <w:tblStylePr w:type="band1Vert">
      <w:tblPr/>
      <w:tcPr>
        <w:shd w:val="clear" w:color="auto" w:fill="BAECE7" w:themeFill="accent1" w:themeFillTint="33"/>
      </w:tcPr>
    </w:tblStylePr>
    <w:tblStylePr w:type="band1Horz">
      <w:tblPr/>
      <w:tcPr>
        <w:shd w:val="clear" w:color="auto" w:fill="BAECE7" w:themeFill="accent1" w:themeFillTint="33"/>
      </w:tcPr>
    </w:tblStylePr>
  </w:style>
  <w:style w:type="table" w:styleId="GridTable4-Accent2">
    <w:name w:val="Grid Table 4 Accent 2"/>
    <w:basedOn w:val="TableNormal"/>
    <w:uiPriority w:val="49"/>
    <w:semiHidden/>
    <w:rsid w:val="0058629F"/>
    <w:pPr>
      <w:spacing w:line="240" w:lineRule="auto"/>
    </w:pPr>
    <w:tblPr>
      <w:tblStyleRowBandSize w:val="1"/>
      <w:tblStyleColBandSize w:val="1"/>
      <w:tblBorders>
        <w:top w:val="single" w:color="25FFB8" w:themeColor="accent2" w:themeTint="99" w:sz="4" w:space="0"/>
        <w:left w:val="single" w:color="25FFB8" w:themeColor="accent2" w:themeTint="99" w:sz="4" w:space="0"/>
        <w:bottom w:val="single" w:color="25FFB8" w:themeColor="accent2" w:themeTint="99" w:sz="4" w:space="0"/>
        <w:right w:val="single" w:color="25FFB8" w:themeColor="accent2" w:themeTint="99" w:sz="4" w:space="0"/>
        <w:insideH w:val="single" w:color="25FFB8" w:themeColor="accent2" w:themeTint="99" w:sz="4" w:space="0"/>
        <w:insideV w:val="single" w:color="25FFB8" w:themeColor="accent2" w:themeTint="99" w:sz="4" w:space="0"/>
      </w:tblBorders>
    </w:tblPr>
    <w:tblStylePr w:type="firstRow">
      <w:rPr>
        <w:b/>
        <w:bCs/>
        <w:color w:val="FFFFFF" w:themeColor="background1"/>
      </w:rPr>
      <w:tblPr/>
      <w:tcPr>
        <w:tcBorders>
          <w:top w:val="single" w:color="009364" w:themeColor="accent2" w:sz="4" w:space="0"/>
          <w:left w:val="single" w:color="009364" w:themeColor="accent2" w:sz="4" w:space="0"/>
          <w:bottom w:val="single" w:color="009364" w:themeColor="accent2" w:sz="4" w:space="0"/>
          <w:right w:val="single" w:color="009364" w:themeColor="accent2" w:sz="4" w:space="0"/>
          <w:insideH w:val="nil"/>
          <w:insideV w:val="nil"/>
        </w:tcBorders>
        <w:shd w:val="clear" w:color="auto" w:fill="009364" w:themeFill="accent2"/>
      </w:tcPr>
    </w:tblStylePr>
    <w:tblStylePr w:type="lastRow">
      <w:rPr>
        <w:b/>
        <w:bCs/>
      </w:rPr>
      <w:tblPr/>
      <w:tcPr>
        <w:tcBorders>
          <w:top w:val="double" w:color="009364" w:themeColor="accent2" w:sz="4" w:space="0"/>
        </w:tcBorders>
      </w:tcPr>
    </w:tblStylePr>
    <w:tblStylePr w:type="firstCol">
      <w:rPr>
        <w:b/>
        <w:bCs/>
      </w:rPr>
    </w:tblStylePr>
    <w:tblStylePr w:type="lastCol">
      <w:rPr>
        <w:b/>
        <w:bCs/>
      </w:rPr>
    </w:tblStylePr>
    <w:tblStylePr w:type="band1Vert">
      <w:tblPr/>
      <w:tcPr>
        <w:shd w:val="clear" w:color="auto" w:fill="B6FFE7" w:themeFill="accent2" w:themeFillTint="33"/>
      </w:tcPr>
    </w:tblStylePr>
    <w:tblStylePr w:type="band1Horz">
      <w:tblPr/>
      <w:tcPr>
        <w:shd w:val="clear" w:color="auto" w:fill="B6FFE7" w:themeFill="accent2" w:themeFillTint="33"/>
      </w:tcPr>
    </w:tblStylePr>
  </w:style>
  <w:style w:type="table" w:styleId="GridTable4-Accent3">
    <w:name w:val="Grid Table 4 Accent 3"/>
    <w:basedOn w:val="TableNormal"/>
    <w:uiPriority w:val="49"/>
    <w:semiHidden/>
    <w:rsid w:val="0058629F"/>
    <w:pPr>
      <w:spacing w:line="240" w:lineRule="auto"/>
    </w:pPr>
    <w:tblPr>
      <w:tblStyleRowBandSize w:val="1"/>
      <w:tblStyleColBandSize w:val="1"/>
      <w:tblBorders>
        <w:top w:val="single" w:color="F9EDA2" w:themeColor="accent3" w:themeTint="99" w:sz="4" w:space="0"/>
        <w:left w:val="single" w:color="F9EDA2" w:themeColor="accent3" w:themeTint="99" w:sz="4" w:space="0"/>
        <w:bottom w:val="single" w:color="F9EDA2" w:themeColor="accent3" w:themeTint="99" w:sz="4" w:space="0"/>
        <w:right w:val="single" w:color="F9EDA2" w:themeColor="accent3" w:themeTint="99" w:sz="4" w:space="0"/>
        <w:insideH w:val="single" w:color="F9EDA2" w:themeColor="accent3" w:themeTint="99" w:sz="4" w:space="0"/>
        <w:insideV w:val="single" w:color="F9EDA2" w:themeColor="accent3" w:themeTint="99" w:sz="4" w:space="0"/>
      </w:tblBorders>
    </w:tblPr>
    <w:tblStylePr w:type="firstRow">
      <w:rPr>
        <w:b/>
        <w:bCs/>
        <w:color w:val="FFFFFF" w:themeColor="background1"/>
      </w:rPr>
      <w:tblPr/>
      <w:tcPr>
        <w:tcBorders>
          <w:top w:val="single" w:color="F6E265" w:themeColor="accent3" w:sz="4" w:space="0"/>
          <w:left w:val="single" w:color="F6E265" w:themeColor="accent3" w:sz="4" w:space="0"/>
          <w:bottom w:val="single" w:color="F6E265" w:themeColor="accent3" w:sz="4" w:space="0"/>
          <w:right w:val="single" w:color="F6E265" w:themeColor="accent3" w:sz="4" w:space="0"/>
          <w:insideH w:val="nil"/>
          <w:insideV w:val="nil"/>
        </w:tcBorders>
        <w:shd w:val="clear" w:color="auto" w:fill="F6E265" w:themeFill="accent3"/>
      </w:tcPr>
    </w:tblStylePr>
    <w:tblStylePr w:type="lastRow">
      <w:rPr>
        <w:b/>
        <w:bCs/>
      </w:rPr>
      <w:tblPr/>
      <w:tcPr>
        <w:tcBorders>
          <w:top w:val="double" w:color="F6E265" w:themeColor="accent3" w:sz="4" w:space="0"/>
        </w:tcBorders>
      </w:tcPr>
    </w:tblStylePr>
    <w:tblStylePr w:type="firstCol">
      <w:rPr>
        <w:b/>
        <w:bCs/>
      </w:rPr>
    </w:tblStylePr>
    <w:tblStylePr w:type="lastCol">
      <w:rPr>
        <w:b/>
        <w:bCs/>
      </w:rPr>
    </w:tblStylePr>
    <w:tblStylePr w:type="band1Vert">
      <w:tblPr/>
      <w:tcPr>
        <w:shd w:val="clear" w:color="auto" w:fill="FDF9E0" w:themeFill="accent3" w:themeFillTint="33"/>
      </w:tcPr>
    </w:tblStylePr>
    <w:tblStylePr w:type="band1Horz">
      <w:tblPr/>
      <w:tcPr>
        <w:shd w:val="clear" w:color="auto" w:fill="FDF9E0" w:themeFill="accent3" w:themeFillTint="33"/>
      </w:tcPr>
    </w:tblStylePr>
  </w:style>
  <w:style w:type="table" w:styleId="GridTable4-Accent4">
    <w:name w:val="Grid Table 4 Accent 4"/>
    <w:basedOn w:val="TableNormal"/>
    <w:uiPriority w:val="49"/>
    <w:semiHidden/>
    <w:rsid w:val="0058629F"/>
    <w:pPr>
      <w:spacing w:line="240" w:lineRule="auto"/>
    </w:pPr>
    <w:tblPr>
      <w:tblStyleRowBandSize w:val="1"/>
      <w:tblStyleColBandSize w:val="1"/>
      <w:tblBorders>
        <w:top w:val="single" w:color="FFDCAD" w:themeColor="accent4" w:themeTint="99" w:sz="4" w:space="0"/>
        <w:left w:val="single" w:color="FFDCAD" w:themeColor="accent4" w:themeTint="99" w:sz="4" w:space="0"/>
        <w:bottom w:val="single" w:color="FFDCAD" w:themeColor="accent4" w:themeTint="99" w:sz="4" w:space="0"/>
        <w:right w:val="single" w:color="FFDCAD" w:themeColor="accent4" w:themeTint="99" w:sz="4" w:space="0"/>
        <w:insideH w:val="single" w:color="FFDCAD" w:themeColor="accent4" w:themeTint="99" w:sz="4" w:space="0"/>
        <w:insideV w:val="single" w:color="FFDCAD" w:themeColor="accent4" w:themeTint="99" w:sz="4" w:space="0"/>
      </w:tblBorders>
    </w:tblPr>
    <w:tblStylePr w:type="firstRow">
      <w:rPr>
        <w:b/>
        <w:bCs/>
        <w:color w:val="FFFFFF" w:themeColor="background1"/>
      </w:rPr>
      <w:tblPr/>
      <w:tcPr>
        <w:tcBorders>
          <w:top w:val="single" w:color="FFC677" w:themeColor="accent4" w:sz="4" w:space="0"/>
          <w:left w:val="single" w:color="FFC677" w:themeColor="accent4" w:sz="4" w:space="0"/>
          <w:bottom w:val="single" w:color="FFC677" w:themeColor="accent4" w:sz="4" w:space="0"/>
          <w:right w:val="single" w:color="FFC677" w:themeColor="accent4" w:sz="4" w:space="0"/>
          <w:insideH w:val="nil"/>
          <w:insideV w:val="nil"/>
        </w:tcBorders>
        <w:shd w:val="clear" w:color="auto" w:fill="FFC677" w:themeFill="accent4"/>
      </w:tcPr>
    </w:tblStylePr>
    <w:tblStylePr w:type="lastRow">
      <w:rPr>
        <w:b/>
        <w:bCs/>
      </w:rPr>
      <w:tblPr/>
      <w:tcPr>
        <w:tcBorders>
          <w:top w:val="double" w:color="FFC677" w:themeColor="accent4" w:sz="4" w:space="0"/>
        </w:tcBorders>
      </w:tcPr>
    </w:tblStylePr>
    <w:tblStylePr w:type="firstCol">
      <w:rPr>
        <w:b/>
        <w:bCs/>
      </w:rPr>
    </w:tblStylePr>
    <w:tblStylePr w:type="lastCol">
      <w:rPr>
        <w:b/>
        <w:bCs/>
      </w:rPr>
    </w:tblStylePr>
    <w:tblStylePr w:type="band1Vert">
      <w:tblPr/>
      <w:tcPr>
        <w:shd w:val="clear" w:color="auto" w:fill="FFF3E3" w:themeFill="accent4" w:themeFillTint="33"/>
      </w:tcPr>
    </w:tblStylePr>
    <w:tblStylePr w:type="band1Horz">
      <w:tblPr/>
      <w:tcPr>
        <w:shd w:val="clear" w:color="auto" w:fill="FFF3E3" w:themeFill="accent4" w:themeFillTint="33"/>
      </w:tcPr>
    </w:tblStylePr>
  </w:style>
  <w:style w:type="table" w:styleId="GridTable4-Accent5">
    <w:name w:val="Grid Table 4 Accent 5"/>
    <w:basedOn w:val="TableNormal"/>
    <w:uiPriority w:val="49"/>
    <w:semiHidden/>
    <w:rsid w:val="0058629F"/>
    <w:pPr>
      <w:spacing w:line="240" w:lineRule="auto"/>
    </w:pPr>
    <w:tblPr>
      <w:tblStyleRowBandSize w:val="1"/>
      <w:tblStyleColBandSize w:val="1"/>
      <w:tblBorders>
        <w:top w:val="single" w:color="FFAE85" w:themeColor="accent5" w:themeTint="99" w:sz="4" w:space="0"/>
        <w:left w:val="single" w:color="FFAE85" w:themeColor="accent5" w:themeTint="99" w:sz="4" w:space="0"/>
        <w:bottom w:val="single" w:color="FFAE85" w:themeColor="accent5" w:themeTint="99" w:sz="4" w:space="0"/>
        <w:right w:val="single" w:color="FFAE85" w:themeColor="accent5" w:themeTint="99" w:sz="4" w:space="0"/>
        <w:insideH w:val="single" w:color="FFAE85" w:themeColor="accent5" w:themeTint="99" w:sz="4" w:space="0"/>
        <w:insideV w:val="single" w:color="FFAE85" w:themeColor="accent5" w:themeTint="99" w:sz="4" w:space="0"/>
      </w:tblBorders>
    </w:tblPr>
    <w:tblStylePr w:type="firstRow">
      <w:rPr>
        <w:b/>
        <w:bCs/>
        <w:color w:val="FFFFFF" w:themeColor="background1"/>
      </w:rPr>
      <w:tblPr/>
      <w:tcPr>
        <w:tcBorders>
          <w:top w:val="single" w:color="FF7A34" w:themeColor="accent5" w:sz="4" w:space="0"/>
          <w:left w:val="single" w:color="FF7A34" w:themeColor="accent5" w:sz="4" w:space="0"/>
          <w:bottom w:val="single" w:color="FF7A34" w:themeColor="accent5" w:sz="4" w:space="0"/>
          <w:right w:val="single" w:color="FF7A34" w:themeColor="accent5" w:sz="4" w:space="0"/>
          <w:insideH w:val="nil"/>
          <w:insideV w:val="nil"/>
        </w:tcBorders>
        <w:shd w:val="clear" w:color="auto" w:fill="FF7A34" w:themeFill="accent5"/>
      </w:tcPr>
    </w:tblStylePr>
    <w:tblStylePr w:type="lastRow">
      <w:rPr>
        <w:b/>
        <w:bCs/>
      </w:rPr>
      <w:tblPr/>
      <w:tcPr>
        <w:tcBorders>
          <w:top w:val="double" w:color="FF7A34" w:themeColor="accent5" w:sz="4" w:space="0"/>
        </w:tcBorders>
      </w:tcPr>
    </w:tblStylePr>
    <w:tblStylePr w:type="firstCol">
      <w:rPr>
        <w:b/>
        <w:bCs/>
      </w:rPr>
    </w:tblStylePr>
    <w:tblStylePr w:type="lastCol">
      <w:rPr>
        <w:b/>
        <w:bCs/>
      </w:rPr>
    </w:tblStylePr>
    <w:tblStylePr w:type="band1Vert">
      <w:tblPr/>
      <w:tcPr>
        <w:shd w:val="clear" w:color="auto" w:fill="FFE4D6" w:themeFill="accent5" w:themeFillTint="33"/>
      </w:tcPr>
    </w:tblStylePr>
    <w:tblStylePr w:type="band1Horz">
      <w:tblPr/>
      <w:tcPr>
        <w:shd w:val="clear" w:color="auto" w:fill="FFE4D6" w:themeFill="accent5" w:themeFillTint="33"/>
      </w:tcPr>
    </w:tblStylePr>
  </w:style>
  <w:style w:type="table" w:styleId="GridTable4-Accent6">
    <w:name w:val="Grid Table 4 Accent 6"/>
    <w:basedOn w:val="TableNormal"/>
    <w:uiPriority w:val="49"/>
    <w:semiHidden/>
    <w:rsid w:val="0058629F"/>
    <w:pPr>
      <w:spacing w:line="240" w:lineRule="auto"/>
    </w:pPr>
    <w:tblPr>
      <w:tblStyleRowBandSize w:val="1"/>
      <w:tblStyleColBandSize w:val="1"/>
      <w:tblBorders>
        <w:top w:val="single" w:color="F68C95" w:themeColor="accent6" w:themeTint="99" w:sz="4" w:space="0"/>
        <w:left w:val="single" w:color="F68C95" w:themeColor="accent6" w:themeTint="99" w:sz="4" w:space="0"/>
        <w:bottom w:val="single" w:color="F68C95" w:themeColor="accent6" w:themeTint="99" w:sz="4" w:space="0"/>
        <w:right w:val="single" w:color="F68C95" w:themeColor="accent6" w:themeTint="99" w:sz="4" w:space="0"/>
        <w:insideH w:val="single" w:color="F68C95" w:themeColor="accent6" w:themeTint="99" w:sz="4" w:space="0"/>
        <w:insideV w:val="single" w:color="F68C95" w:themeColor="accent6" w:themeTint="99" w:sz="4" w:space="0"/>
      </w:tblBorders>
    </w:tblPr>
    <w:tblStylePr w:type="firstRow">
      <w:rPr>
        <w:b/>
        <w:bCs/>
        <w:color w:val="FFFFFF" w:themeColor="background1"/>
      </w:rPr>
      <w:tblPr/>
      <w:tcPr>
        <w:tcBorders>
          <w:top w:val="single" w:color="F0404F" w:themeColor="accent6" w:sz="4" w:space="0"/>
          <w:left w:val="single" w:color="F0404F" w:themeColor="accent6" w:sz="4" w:space="0"/>
          <w:bottom w:val="single" w:color="F0404F" w:themeColor="accent6" w:sz="4" w:space="0"/>
          <w:right w:val="single" w:color="F0404F" w:themeColor="accent6" w:sz="4" w:space="0"/>
          <w:insideH w:val="nil"/>
          <w:insideV w:val="nil"/>
        </w:tcBorders>
        <w:shd w:val="clear" w:color="auto" w:fill="F0404F" w:themeFill="accent6"/>
      </w:tcPr>
    </w:tblStylePr>
    <w:tblStylePr w:type="lastRow">
      <w:rPr>
        <w:b/>
        <w:bCs/>
      </w:rPr>
      <w:tblPr/>
      <w:tcPr>
        <w:tcBorders>
          <w:top w:val="double" w:color="F0404F" w:themeColor="accent6" w:sz="4" w:space="0"/>
        </w:tcBorders>
      </w:tcPr>
    </w:tblStylePr>
    <w:tblStylePr w:type="firstCol">
      <w:rPr>
        <w:b/>
        <w:bCs/>
      </w:rPr>
    </w:tblStylePr>
    <w:tblStylePr w:type="lastCol">
      <w:rPr>
        <w:b/>
        <w:bCs/>
      </w:rPr>
    </w:tblStylePr>
    <w:tblStylePr w:type="band1Vert">
      <w:tblPr/>
      <w:tcPr>
        <w:shd w:val="clear" w:color="auto" w:fill="FCD8DB" w:themeFill="accent6" w:themeFillTint="33"/>
      </w:tcPr>
    </w:tblStylePr>
    <w:tblStylePr w:type="band1Horz">
      <w:tblPr/>
      <w:tcPr>
        <w:shd w:val="clear" w:color="auto" w:fill="FCD8DB" w:themeFill="accent6" w:themeFillTint="33"/>
      </w:tcPr>
    </w:tblStylePr>
  </w:style>
  <w:style w:type="table" w:styleId="GridTable5Dark">
    <w:name w:val="Grid Table 5 Dark"/>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AECE7"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03A36"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03A36"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03A36"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03A36" w:themeFill="accent1"/>
      </w:tcPr>
    </w:tblStylePr>
    <w:tblStylePr w:type="band1Vert">
      <w:tblPr/>
      <w:tcPr>
        <w:shd w:val="clear" w:color="auto" w:fill="76D9CF" w:themeFill="accent1" w:themeFillTint="66"/>
      </w:tcPr>
    </w:tblStylePr>
    <w:tblStylePr w:type="band1Horz">
      <w:tblPr/>
      <w:tcPr>
        <w:shd w:val="clear" w:color="auto" w:fill="76D9CF" w:themeFill="accent1" w:themeFillTint="66"/>
      </w:tcPr>
    </w:tblStylePr>
  </w:style>
  <w:style w:type="table" w:styleId="GridTable5Dark-Accent2">
    <w:name w:val="Grid Table 5 Dark Accent 2"/>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6FFE7"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9364"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9364"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9364"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9364" w:themeFill="accent2"/>
      </w:tcPr>
    </w:tblStylePr>
    <w:tblStylePr w:type="band1Vert">
      <w:tblPr/>
      <w:tcPr>
        <w:shd w:val="clear" w:color="auto" w:fill="6DFFD0" w:themeFill="accent2" w:themeFillTint="66"/>
      </w:tcPr>
    </w:tblStylePr>
    <w:tblStylePr w:type="band1Horz">
      <w:tblPr/>
      <w:tcPr>
        <w:shd w:val="clear" w:color="auto" w:fill="6DFFD0" w:themeFill="accent2" w:themeFillTint="66"/>
      </w:tcPr>
    </w:tblStylePr>
  </w:style>
  <w:style w:type="table" w:styleId="GridTable5Dark-Accent3">
    <w:name w:val="Grid Table 5 Dark Accent 3"/>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F9E0"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6E26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6E26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6E26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6E265" w:themeFill="accent3"/>
      </w:tcPr>
    </w:tblStylePr>
    <w:tblStylePr w:type="band1Vert">
      <w:tblPr/>
      <w:tcPr>
        <w:shd w:val="clear" w:color="auto" w:fill="FBF3C1" w:themeFill="accent3" w:themeFillTint="66"/>
      </w:tcPr>
    </w:tblStylePr>
    <w:tblStylePr w:type="band1Horz">
      <w:tblPr/>
      <w:tcPr>
        <w:shd w:val="clear" w:color="auto" w:fill="FBF3C1" w:themeFill="accent3" w:themeFillTint="66"/>
      </w:tcPr>
    </w:tblStylePr>
  </w:style>
  <w:style w:type="table" w:styleId="GridTable5Dark-Accent4">
    <w:name w:val="Grid Table 5 Dark Accent 4"/>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F3E3"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677"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677"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677"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677" w:themeFill="accent4"/>
      </w:tcPr>
    </w:tblStylePr>
    <w:tblStylePr w:type="band1Vert">
      <w:tblPr/>
      <w:tcPr>
        <w:shd w:val="clear" w:color="auto" w:fill="FFE8C8" w:themeFill="accent4" w:themeFillTint="66"/>
      </w:tcPr>
    </w:tblStylePr>
    <w:tblStylePr w:type="band1Horz">
      <w:tblPr/>
      <w:tcPr>
        <w:shd w:val="clear" w:color="auto" w:fill="FFE8C8" w:themeFill="accent4" w:themeFillTint="66"/>
      </w:tcPr>
    </w:tblStylePr>
  </w:style>
  <w:style w:type="table" w:styleId="GridTable5Dark-Accent5">
    <w:name w:val="Grid Table 5 Dark Accent 5"/>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E4D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7A3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7A3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7A3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7A34" w:themeFill="accent5"/>
      </w:tcPr>
    </w:tblStylePr>
    <w:tblStylePr w:type="band1Vert">
      <w:tblPr/>
      <w:tcPr>
        <w:shd w:val="clear" w:color="auto" w:fill="FFC9AD" w:themeFill="accent5" w:themeFillTint="66"/>
      </w:tcPr>
    </w:tblStylePr>
    <w:tblStylePr w:type="band1Horz">
      <w:tblPr/>
      <w:tcPr>
        <w:shd w:val="clear" w:color="auto" w:fill="FFC9AD" w:themeFill="accent5" w:themeFillTint="66"/>
      </w:tcPr>
    </w:tblStylePr>
  </w:style>
  <w:style w:type="table" w:styleId="GridTable5Dark-Accent6">
    <w:name w:val="Grid Table 5 Dark Accent 6"/>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CD8DB"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0404F"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0404F"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0404F"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0404F" w:themeFill="accent6"/>
      </w:tcPr>
    </w:tblStylePr>
    <w:tblStylePr w:type="band1Vert">
      <w:tblPr/>
      <w:tcPr>
        <w:shd w:val="clear" w:color="auto" w:fill="F9B2B8" w:themeFill="accent6" w:themeFillTint="66"/>
      </w:tcPr>
    </w:tblStylePr>
    <w:tblStylePr w:type="band1Horz">
      <w:tblPr/>
      <w:tcPr>
        <w:shd w:val="clear" w:color="auto" w:fill="F9B2B8" w:themeFill="accent6" w:themeFillTint="66"/>
      </w:tcPr>
    </w:tblStylePr>
  </w:style>
  <w:style w:type="table" w:styleId="GridTable6Colorful">
    <w:name w:val="Grid Table 6 Colorful"/>
    <w:basedOn w:val="TableNormal"/>
    <w:uiPriority w:val="51"/>
    <w:semiHidden/>
    <w:rsid w:val="0058629F"/>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8629F"/>
    <w:pPr>
      <w:spacing w:line="240" w:lineRule="auto"/>
    </w:pPr>
    <w:rPr>
      <w:color w:val="0C2B28" w:themeColor="accent1" w:themeShade="BF"/>
    </w:rPr>
    <w:tblPr>
      <w:tblStyleRowBandSize w:val="1"/>
      <w:tblStyleColBandSize w:val="1"/>
      <w:tblBorders>
        <w:top w:val="single" w:color="35C2B4" w:themeColor="accent1" w:themeTint="99" w:sz="4" w:space="0"/>
        <w:left w:val="single" w:color="35C2B4" w:themeColor="accent1" w:themeTint="99" w:sz="4" w:space="0"/>
        <w:bottom w:val="single" w:color="35C2B4" w:themeColor="accent1" w:themeTint="99" w:sz="4" w:space="0"/>
        <w:right w:val="single" w:color="35C2B4" w:themeColor="accent1" w:themeTint="99" w:sz="4" w:space="0"/>
        <w:insideH w:val="single" w:color="35C2B4" w:themeColor="accent1" w:themeTint="99" w:sz="4" w:space="0"/>
        <w:insideV w:val="single" w:color="35C2B4" w:themeColor="accent1" w:themeTint="99" w:sz="4" w:space="0"/>
      </w:tblBorders>
    </w:tblPr>
    <w:tblStylePr w:type="firstRow">
      <w:rPr>
        <w:b/>
        <w:bCs/>
      </w:rPr>
      <w:tblPr/>
      <w:tcPr>
        <w:tcBorders>
          <w:bottom w:val="single" w:color="35C2B4" w:themeColor="accent1" w:themeTint="99" w:sz="12" w:space="0"/>
        </w:tcBorders>
      </w:tcPr>
    </w:tblStylePr>
    <w:tblStylePr w:type="lastRow">
      <w:rPr>
        <w:b/>
        <w:bCs/>
      </w:rPr>
      <w:tblPr/>
      <w:tcPr>
        <w:tcBorders>
          <w:top w:val="double" w:color="35C2B4" w:themeColor="accent1" w:themeTint="99" w:sz="4" w:space="0"/>
        </w:tcBorders>
      </w:tcPr>
    </w:tblStylePr>
    <w:tblStylePr w:type="firstCol">
      <w:rPr>
        <w:b/>
        <w:bCs/>
      </w:rPr>
    </w:tblStylePr>
    <w:tblStylePr w:type="lastCol">
      <w:rPr>
        <w:b/>
        <w:bCs/>
      </w:rPr>
    </w:tblStylePr>
    <w:tblStylePr w:type="band1Vert">
      <w:tblPr/>
      <w:tcPr>
        <w:shd w:val="clear" w:color="auto" w:fill="BAECE7" w:themeFill="accent1" w:themeFillTint="33"/>
      </w:tcPr>
    </w:tblStylePr>
    <w:tblStylePr w:type="band1Horz">
      <w:tblPr/>
      <w:tcPr>
        <w:shd w:val="clear" w:color="auto" w:fill="BAECE7" w:themeFill="accent1" w:themeFillTint="33"/>
      </w:tcPr>
    </w:tblStylePr>
  </w:style>
  <w:style w:type="table" w:styleId="GridTable6Colorful-Accent2">
    <w:name w:val="Grid Table 6 Colorful Accent 2"/>
    <w:basedOn w:val="TableNormal"/>
    <w:uiPriority w:val="51"/>
    <w:semiHidden/>
    <w:rsid w:val="0058629F"/>
    <w:pPr>
      <w:spacing w:line="240" w:lineRule="auto"/>
    </w:pPr>
    <w:rPr>
      <w:color w:val="006E4A" w:themeColor="accent2" w:themeShade="BF"/>
    </w:rPr>
    <w:tblPr>
      <w:tblStyleRowBandSize w:val="1"/>
      <w:tblStyleColBandSize w:val="1"/>
      <w:tblBorders>
        <w:top w:val="single" w:color="25FFB8" w:themeColor="accent2" w:themeTint="99" w:sz="4" w:space="0"/>
        <w:left w:val="single" w:color="25FFB8" w:themeColor="accent2" w:themeTint="99" w:sz="4" w:space="0"/>
        <w:bottom w:val="single" w:color="25FFB8" w:themeColor="accent2" w:themeTint="99" w:sz="4" w:space="0"/>
        <w:right w:val="single" w:color="25FFB8" w:themeColor="accent2" w:themeTint="99" w:sz="4" w:space="0"/>
        <w:insideH w:val="single" w:color="25FFB8" w:themeColor="accent2" w:themeTint="99" w:sz="4" w:space="0"/>
        <w:insideV w:val="single" w:color="25FFB8" w:themeColor="accent2" w:themeTint="99" w:sz="4" w:space="0"/>
      </w:tblBorders>
    </w:tblPr>
    <w:tblStylePr w:type="firstRow">
      <w:rPr>
        <w:b/>
        <w:bCs/>
      </w:rPr>
      <w:tblPr/>
      <w:tcPr>
        <w:tcBorders>
          <w:bottom w:val="single" w:color="25FFB8" w:themeColor="accent2" w:themeTint="99" w:sz="12" w:space="0"/>
        </w:tcBorders>
      </w:tcPr>
    </w:tblStylePr>
    <w:tblStylePr w:type="lastRow">
      <w:rPr>
        <w:b/>
        <w:bCs/>
      </w:rPr>
      <w:tblPr/>
      <w:tcPr>
        <w:tcBorders>
          <w:top w:val="double" w:color="25FFB8" w:themeColor="accent2" w:themeTint="99" w:sz="4" w:space="0"/>
        </w:tcBorders>
      </w:tcPr>
    </w:tblStylePr>
    <w:tblStylePr w:type="firstCol">
      <w:rPr>
        <w:b/>
        <w:bCs/>
      </w:rPr>
    </w:tblStylePr>
    <w:tblStylePr w:type="lastCol">
      <w:rPr>
        <w:b/>
        <w:bCs/>
      </w:rPr>
    </w:tblStylePr>
    <w:tblStylePr w:type="band1Vert">
      <w:tblPr/>
      <w:tcPr>
        <w:shd w:val="clear" w:color="auto" w:fill="B6FFE7" w:themeFill="accent2" w:themeFillTint="33"/>
      </w:tcPr>
    </w:tblStylePr>
    <w:tblStylePr w:type="band1Horz">
      <w:tblPr/>
      <w:tcPr>
        <w:shd w:val="clear" w:color="auto" w:fill="B6FFE7" w:themeFill="accent2" w:themeFillTint="33"/>
      </w:tcPr>
    </w:tblStylePr>
  </w:style>
  <w:style w:type="table" w:styleId="GridTable6Colorful-Accent3">
    <w:name w:val="Grid Table 6 Colorful Accent 3"/>
    <w:basedOn w:val="TableNormal"/>
    <w:uiPriority w:val="51"/>
    <w:semiHidden/>
    <w:rsid w:val="0058629F"/>
    <w:pPr>
      <w:spacing w:line="240" w:lineRule="auto"/>
    </w:pPr>
    <w:rPr>
      <w:color w:val="F1D112" w:themeColor="accent3" w:themeShade="BF"/>
    </w:rPr>
    <w:tblPr>
      <w:tblStyleRowBandSize w:val="1"/>
      <w:tblStyleColBandSize w:val="1"/>
      <w:tblBorders>
        <w:top w:val="single" w:color="F9EDA2" w:themeColor="accent3" w:themeTint="99" w:sz="4" w:space="0"/>
        <w:left w:val="single" w:color="F9EDA2" w:themeColor="accent3" w:themeTint="99" w:sz="4" w:space="0"/>
        <w:bottom w:val="single" w:color="F9EDA2" w:themeColor="accent3" w:themeTint="99" w:sz="4" w:space="0"/>
        <w:right w:val="single" w:color="F9EDA2" w:themeColor="accent3" w:themeTint="99" w:sz="4" w:space="0"/>
        <w:insideH w:val="single" w:color="F9EDA2" w:themeColor="accent3" w:themeTint="99" w:sz="4" w:space="0"/>
        <w:insideV w:val="single" w:color="F9EDA2" w:themeColor="accent3" w:themeTint="99" w:sz="4" w:space="0"/>
      </w:tblBorders>
    </w:tblPr>
    <w:tblStylePr w:type="firstRow">
      <w:rPr>
        <w:b/>
        <w:bCs/>
      </w:rPr>
      <w:tblPr/>
      <w:tcPr>
        <w:tcBorders>
          <w:bottom w:val="single" w:color="F9EDA2" w:themeColor="accent3" w:themeTint="99" w:sz="12" w:space="0"/>
        </w:tcBorders>
      </w:tcPr>
    </w:tblStylePr>
    <w:tblStylePr w:type="lastRow">
      <w:rPr>
        <w:b/>
        <w:bCs/>
      </w:rPr>
      <w:tblPr/>
      <w:tcPr>
        <w:tcBorders>
          <w:top w:val="double" w:color="F9EDA2" w:themeColor="accent3" w:themeTint="99" w:sz="4" w:space="0"/>
        </w:tcBorders>
      </w:tcPr>
    </w:tblStylePr>
    <w:tblStylePr w:type="firstCol">
      <w:rPr>
        <w:b/>
        <w:bCs/>
      </w:rPr>
    </w:tblStylePr>
    <w:tblStylePr w:type="lastCol">
      <w:rPr>
        <w:b/>
        <w:bCs/>
      </w:rPr>
    </w:tblStylePr>
    <w:tblStylePr w:type="band1Vert">
      <w:tblPr/>
      <w:tcPr>
        <w:shd w:val="clear" w:color="auto" w:fill="FDF9E0" w:themeFill="accent3" w:themeFillTint="33"/>
      </w:tcPr>
    </w:tblStylePr>
    <w:tblStylePr w:type="band1Horz">
      <w:tblPr/>
      <w:tcPr>
        <w:shd w:val="clear" w:color="auto" w:fill="FDF9E0" w:themeFill="accent3" w:themeFillTint="33"/>
      </w:tcPr>
    </w:tblStylePr>
  </w:style>
  <w:style w:type="table" w:styleId="GridTable6Colorful-Accent4">
    <w:name w:val="Grid Table 6 Colorful Accent 4"/>
    <w:basedOn w:val="TableNormal"/>
    <w:uiPriority w:val="51"/>
    <w:semiHidden/>
    <w:rsid w:val="0058629F"/>
    <w:pPr>
      <w:spacing w:line="240" w:lineRule="auto"/>
    </w:pPr>
    <w:rPr>
      <w:color w:val="FF9E19" w:themeColor="accent4" w:themeShade="BF"/>
    </w:rPr>
    <w:tblPr>
      <w:tblStyleRowBandSize w:val="1"/>
      <w:tblStyleColBandSize w:val="1"/>
      <w:tblBorders>
        <w:top w:val="single" w:color="FFDCAD" w:themeColor="accent4" w:themeTint="99" w:sz="4" w:space="0"/>
        <w:left w:val="single" w:color="FFDCAD" w:themeColor="accent4" w:themeTint="99" w:sz="4" w:space="0"/>
        <w:bottom w:val="single" w:color="FFDCAD" w:themeColor="accent4" w:themeTint="99" w:sz="4" w:space="0"/>
        <w:right w:val="single" w:color="FFDCAD" w:themeColor="accent4" w:themeTint="99" w:sz="4" w:space="0"/>
        <w:insideH w:val="single" w:color="FFDCAD" w:themeColor="accent4" w:themeTint="99" w:sz="4" w:space="0"/>
        <w:insideV w:val="single" w:color="FFDCAD" w:themeColor="accent4" w:themeTint="99" w:sz="4" w:space="0"/>
      </w:tblBorders>
    </w:tblPr>
    <w:tblStylePr w:type="firstRow">
      <w:rPr>
        <w:b/>
        <w:bCs/>
      </w:rPr>
      <w:tblPr/>
      <w:tcPr>
        <w:tcBorders>
          <w:bottom w:val="single" w:color="FFDCAD" w:themeColor="accent4" w:themeTint="99" w:sz="12" w:space="0"/>
        </w:tcBorders>
      </w:tcPr>
    </w:tblStylePr>
    <w:tblStylePr w:type="lastRow">
      <w:rPr>
        <w:b/>
        <w:bCs/>
      </w:rPr>
      <w:tblPr/>
      <w:tcPr>
        <w:tcBorders>
          <w:top w:val="double" w:color="FFDCAD" w:themeColor="accent4" w:themeTint="99" w:sz="4" w:space="0"/>
        </w:tcBorders>
      </w:tcPr>
    </w:tblStylePr>
    <w:tblStylePr w:type="firstCol">
      <w:rPr>
        <w:b/>
        <w:bCs/>
      </w:rPr>
    </w:tblStylePr>
    <w:tblStylePr w:type="lastCol">
      <w:rPr>
        <w:b/>
        <w:bCs/>
      </w:rPr>
    </w:tblStylePr>
    <w:tblStylePr w:type="band1Vert">
      <w:tblPr/>
      <w:tcPr>
        <w:shd w:val="clear" w:color="auto" w:fill="FFF3E3" w:themeFill="accent4" w:themeFillTint="33"/>
      </w:tcPr>
    </w:tblStylePr>
    <w:tblStylePr w:type="band1Horz">
      <w:tblPr/>
      <w:tcPr>
        <w:shd w:val="clear" w:color="auto" w:fill="FFF3E3" w:themeFill="accent4" w:themeFillTint="33"/>
      </w:tcPr>
    </w:tblStylePr>
  </w:style>
  <w:style w:type="table" w:styleId="GridTable6Colorful-Accent5">
    <w:name w:val="Grid Table 6 Colorful Accent 5"/>
    <w:basedOn w:val="TableNormal"/>
    <w:uiPriority w:val="51"/>
    <w:semiHidden/>
    <w:rsid w:val="0058629F"/>
    <w:pPr>
      <w:spacing w:line="240" w:lineRule="auto"/>
    </w:pPr>
    <w:rPr>
      <w:color w:val="E54E00" w:themeColor="accent5" w:themeShade="BF"/>
    </w:rPr>
    <w:tblPr>
      <w:tblStyleRowBandSize w:val="1"/>
      <w:tblStyleColBandSize w:val="1"/>
      <w:tblBorders>
        <w:top w:val="single" w:color="FFAE85" w:themeColor="accent5" w:themeTint="99" w:sz="4" w:space="0"/>
        <w:left w:val="single" w:color="FFAE85" w:themeColor="accent5" w:themeTint="99" w:sz="4" w:space="0"/>
        <w:bottom w:val="single" w:color="FFAE85" w:themeColor="accent5" w:themeTint="99" w:sz="4" w:space="0"/>
        <w:right w:val="single" w:color="FFAE85" w:themeColor="accent5" w:themeTint="99" w:sz="4" w:space="0"/>
        <w:insideH w:val="single" w:color="FFAE85" w:themeColor="accent5" w:themeTint="99" w:sz="4" w:space="0"/>
        <w:insideV w:val="single" w:color="FFAE85" w:themeColor="accent5" w:themeTint="99" w:sz="4" w:space="0"/>
      </w:tblBorders>
    </w:tblPr>
    <w:tblStylePr w:type="firstRow">
      <w:rPr>
        <w:b/>
        <w:bCs/>
      </w:rPr>
      <w:tblPr/>
      <w:tcPr>
        <w:tcBorders>
          <w:bottom w:val="single" w:color="FFAE85" w:themeColor="accent5" w:themeTint="99" w:sz="12" w:space="0"/>
        </w:tcBorders>
      </w:tcPr>
    </w:tblStylePr>
    <w:tblStylePr w:type="lastRow">
      <w:rPr>
        <w:b/>
        <w:bCs/>
      </w:rPr>
      <w:tblPr/>
      <w:tcPr>
        <w:tcBorders>
          <w:top w:val="double" w:color="FFAE85" w:themeColor="accent5" w:themeTint="99" w:sz="4" w:space="0"/>
        </w:tcBorders>
      </w:tcPr>
    </w:tblStylePr>
    <w:tblStylePr w:type="firstCol">
      <w:rPr>
        <w:b/>
        <w:bCs/>
      </w:rPr>
    </w:tblStylePr>
    <w:tblStylePr w:type="lastCol">
      <w:rPr>
        <w:b/>
        <w:bCs/>
      </w:rPr>
    </w:tblStylePr>
    <w:tblStylePr w:type="band1Vert">
      <w:tblPr/>
      <w:tcPr>
        <w:shd w:val="clear" w:color="auto" w:fill="FFE4D6" w:themeFill="accent5" w:themeFillTint="33"/>
      </w:tcPr>
    </w:tblStylePr>
    <w:tblStylePr w:type="band1Horz">
      <w:tblPr/>
      <w:tcPr>
        <w:shd w:val="clear" w:color="auto" w:fill="FFE4D6" w:themeFill="accent5" w:themeFillTint="33"/>
      </w:tcPr>
    </w:tblStylePr>
  </w:style>
  <w:style w:type="table" w:styleId="GridTable6Colorful-Accent6">
    <w:name w:val="Grid Table 6 Colorful Accent 6"/>
    <w:basedOn w:val="TableNormal"/>
    <w:uiPriority w:val="51"/>
    <w:semiHidden/>
    <w:rsid w:val="0058629F"/>
    <w:pPr>
      <w:spacing w:line="240" w:lineRule="auto"/>
    </w:pPr>
    <w:rPr>
      <w:color w:val="D31020" w:themeColor="accent6" w:themeShade="BF"/>
    </w:rPr>
    <w:tblPr>
      <w:tblStyleRowBandSize w:val="1"/>
      <w:tblStyleColBandSize w:val="1"/>
      <w:tblBorders>
        <w:top w:val="single" w:color="F68C95" w:themeColor="accent6" w:themeTint="99" w:sz="4" w:space="0"/>
        <w:left w:val="single" w:color="F68C95" w:themeColor="accent6" w:themeTint="99" w:sz="4" w:space="0"/>
        <w:bottom w:val="single" w:color="F68C95" w:themeColor="accent6" w:themeTint="99" w:sz="4" w:space="0"/>
        <w:right w:val="single" w:color="F68C95" w:themeColor="accent6" w:themeTint="99" w:sz="4" w:space="0"/>
        <w:insideH w:val="single" w:color="F68C95" w:themeColor="accent6" w:themeTint="99" w:sz="4" w:space="0"/>
        <w:insideV w:val="single" w:color="F68C95" w:themeColor="accent6" w:themeTint="99" w:sz="4" w:space="0"/>
      </w:tblBorders>
    </w:tblPr>
    <w:tblStylePr w:type="firstRow">
      <w:rPr>
        <w:b/>
        <w:bCs/>
      </w:rPr>
      <w:tblPr/>
      <w:tcPr>
        <w:tcBorders>
          <w:bottom w:val="single" w:color="F68C95" w:themeColor="accent6" w:themeTint="99" w:sz="12" w:space="0"/>
        </w:tcBorders>
      </w:tcPr>
    </w:tblStylePr>
    <w:tblStylePr w:type="lastRow">
      <w:rPr>
        <w:b/>
        <w:bCs/>
      </w:rPr>
      <w:tblPr/>
      <w:tcPr>
        <w:tcBorders>
          <w:top w:val="double" w:color="F68C95" w:themeColor="accent6" w:themeTint="99" w:sz="4" w:space="0"/>
        </w:tcBorders>
      </w:tcPr>
    </w:tblStylePr>
    <w:tblStylePr w:type="firstCol">
      <w:rPr>
        <w:b/>
        <w:bCs/>
      </w:rPr>
    </w:tblStylePr>
    <w:tblStylePr w:type="lastCol">
      <w:rPr>
        <w:b/>
        <w:bCs/>
      </w:rPr>
    </w:tblStylePr>
    <w:tblStylePr w:type="band1Vert">
      <w:tblPr/>
      <w:tcPr>
        <w:shd w:val="clear" w:color="auto" w:fill="FCD8DB" w:themeFill="accent6" w:themeFillTint="33"/>
      </w:tcPr>
    </w:tblStylePr>
    <w:tblStylePr w:type="band1Horz">
      <w:tblPr/>
      <w:tcPr>
        <w:shd w:val="clear" w:color="auto" w:fill="FCD8DB" w:themeFill="accent6" w:themeFillTint="33"/>
      </w:tcPr>
    </w:tblStylePr>
  </w:style>
  <w:style w:type="table" w:styleId="GridTable7Colorful">
    <w:name w:val="Grid Table 7 Colorful"/>
    <w:basedOn w:val="TableNormal"/>
    <w:uiPriority w:val="52"/>
    <w:semiHidden/>
    <w:rsid w:val="0058629F"/>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semiHidden/>
    <w:rsid w:val="0058629F"/>
    <w:pPr>
      <w:spacing w:line="240" w:lineRule="auto"/>
    </w:pPr>
    <w:rPr>
      <w:color w:val="0C2B28" w:themeColor="accent1" w:themeShade="BF"/>
    </w:rPr>
    <w:tblPr>
      <w:tblStyleRowBandSize w:val="1"/>
      <w:tblStyleColBandSize w:val="1"/>
      <w:tblBorders>
        <w:top w:val="single" w:color="35C2B4" w:themeColor="accent1" w:themeTint="99" w:sz="4" w:space="0"/>
        <w:left w:val="single" w:color="35C2B4" w:themeColor="accent1" w:themeTint="99" w:sz="4" w:space="0"/>
        <w:bottom w:val="single" w:color="35C2B4" w:themeColor="accent1" w:themeTint="99" w:sz="4" w:space="0"/>
        <w:right w:val="single" w:color="35C2B4" w:themeColor="accent1" w:themeTint="99" w:sz="4" w:space="0"/>
        <w:insideH w:val="single" w:color="35C2B4" w:themeColor="accent1" w:themeTint="99" w:sz="4" w:space="0"/>
        <w:insideV w:val="single" w:color="35C2B4"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CE7" w:themeFill="accent1" w:themeFillTint="33"/>
      </w:tcPr>
    </w:tblStylePr>
    <w:tblStylePr w:type="band1Horz">
      <w:tblPr/>
      <w:tcPr>
        <w:shd w:val="clear" w:color="auto" w:fill="BAECE7" w:themeFill="accent1" w:themeFillTint="33"/>
      </w:tcPr>
    </w:tblStylePr>
    <w:tblStylePr w:type="neCell">
      <w:tblPr/>
      <w:tcPr>
        <w:tcBorders>
          <w:bottom w:val="single" w:color="35C2B4" w:themeColor="accent1" w:themeTint="99" w:sz="4" w:space="0"/>
        </w:tcBorders>
      </w:tcPr>
    </w:tblStylePr>
    <w:tblStylePr w:type="nwCell">
      <w:tblPr/>
      <w:tcPr>
        <w:tcBorders>
          <w:bottom w:val="single" w:color="35C2B4" w:themeColor="accent1" w:themeTint="99" w:sz="4" w:space="0"/>
        </w:tcBorders>
      </w:tcPr>
    </w:tblStylePr>
    <w:tblStylePr w:type="seCell">
      <w:tblPr/>
      <w:tcPr>
        <w:tcBorders>
          <w:top w:val="single" w:color="35C2B4" w:themeColor="accent1" w:themeTint="99" w:sz="4" w:space="0"/>
        </w:tcBorders>
      </w:tcPr>
    </w:tblStylePr>
    <w:tblStylePr w:type="swCell">
      <w:tblPr/>
      <w:tcPr>
        <w:tcBorders>
          <w:top w:val="single" w:color="35C2B4" w:themeColor="accent1" w:themeTint="99" w:sz="4" w:space="0"/>
        </w:tcBorders>
      </w:tcPr>
    </w:tblStylePr>
  </w:style>
  <w:style w:type="table" w:styleId="GridTable7Colorful-Accent2">
    <w:name w:val="Grid Table 7 Colorful Accent 2"/>
    <w:basedOn w:val="TableNormal"/>
    <w:uiPriority w:val="52"/>
    <w:semiHidden/>
    <w:rsid w:val="0058629F"/>
    <w:pPr>
      <w:spacing w:line="240" w:lineRule="auto"/>
    </w:pPr>
    <w:rPr>
      <w:color w:val="006E4A" w:themeColor="accent2" w:themeShade="BF"/>
    </w:rPr>
    <w:tblPr>
      <w:tblStyleRowBandSize w:val="1"/>
      <w:tblStyleColBandSize w:val="1"/>
      <w:tblBorders>
        <w:top w:val="single" w:color="25FFB8" w:themeColor="accent2" w:themeTint="99" w:sz="4" w:space="0"/>
        <w:left w:val="single" w:color="25FFB8" w:themeColor="accent2" w:themeTint="99" w:sz="4" w:space="0"/>
        <w:bottom w:val="single" w:color="25FFB8" w:themeColor="accent2" w:themeTint="99" w:sz="4" w:space="0"/>
        <w:right w:val="single" w:color="25FFB8" w:themeColor="accent2" w:themeTint="99" w:sz="4" w:space="0"/>
        <w:insideH w:val="single" w:color="25FFB8" w:themeColor="accent2" w:themeTint="99" w:sz="4" w:space="0"/>
        <w:insideV w:val="single" w:color="25FFB8"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FE7" w:themeFill="accent2" w:themeFillTint="33"/>
      </w:tcPr>
    </w:tblStylePr>
    <w:tblStylePr w:type="band1Horz">
      <w:tblPr/>
      <w:tcPr>
        <w:shd w:val="clear" w:color="auto" w:fill="B6FFE7" w:themeFill="accent2" w:themeFillTint="33"/>
      </w:tcPr>
    </w:tblStylePr>
    <w:tblStylePr w:type="neCell">
      <w:tblPr/>
      <w:tcPr>
        <w:tcBorders>
          <w:bottom w:val="single" w:color="25FFB8" w:themeColor="accent2" w:themeTint="99" w:sz="4" w:space="0"/>
        </w:tcBorders>
      </w:tcPr>
    </w:tblStylePr>
    <w:tblStylePr w:type="nwCell">
      <w:tblPr/>
      <w:tcPr>
        <w:tcBorders>
          <w:bottom w:val="single" w:color="25FFB8" w:themeColor="accent2" w:themeTint="99" w:sz="4" w:space="0"/>
        </w:tcBorders>
      </w:tcPr>
    </w:tblStylePr>
    <w:tblStylePr w:type="seCell">
      <w:tblPr/>
      <w:tcPr>
        <w:tcBorders>
          <w:top w:val="single" w:color="25FFB8" w:themeColor="accent2" w:themeTint="99" w:sz="4" w:space="0"/>
        </w:tcBorders>
      </w:tcPr>
    </w:tblStylePr>
    <w:tblStylePr w:type="swCell">
      <w:tblPr/>
      <w:tcPr>
        <w:tcBorders>
          <w:top w:val="single" w:color="25FFB8" w:themeColor="accent2" w:themeTint="99" w:sz="4" w:space="0"/>
        </w:tcBorders>
      </w:tcPr>
    </w:tblStylePr>
  </w:style>
  <w:style w:type="table" w:styleId="GridTable7Colorful-Accent3">
    <w:name w:val="Grid Table 7 Colorful Accent 3"/>
    <w:basedOn w:val="TableNormal"/>
    <w:uiPriority w:val="52"/>
    <w:semiHidden/>
    <w:rsid w:val="0058629F"/>
    <w:pPr>
      <w:spacing w:line="240" w:lineRule="auto"/>
    </w:pPr>
    <w:rPr>
      <w:color w:val="F1D112" w:themeColor="accent3" w:themeShade="BF"/>
    </w:rPr>
    <w:tblPr>
      <w:tblStyleRowBandSize w:val="1"/>
      <w:tblStyleColBandSize w:val="1"/>
      <w:tblBorders>
        <w:top w:val="single" w:color="F9EDA2" w:themeColor="accent3" w:themeTint="99" w:sz="4" w:space="0"/>
        <w:left w:val="single" w:color="F9EDA2" w:themeColor="accent3" w:themeTint="99" w:sz="4" w:space="0"/>
        <w:bottom w:val="single" w:color="F9EDA2" w:themeColor="accent3" w:themeTint="99" w:sz="4" w:space="0"/>
        <w:right w:val="single" w:color="F9EDA2" w:themeColor="accent3" w:themeTint="99" w:sz="4" w:space="0"/>
        <w:insideH w:val="single" w:color="F9EDA2" w:themeColor="accent3" w:themeTint="99" w:sz="4" w:space="0"/>
        <w:insideV w:val="single" w:color="F9EDA2"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E0" w:themeFill="accent3" w:themeFillTint="33"/>
      </w:tcPr>
    </w:tblStylePr>
    <w:tblStylePr w:type="band1Horz">
      <w:tblPr/>
      <w:tcPr>
        <w:shd w:val="clear" w:color="auto" w:fill="FDF9E0" w:themeFill="accent3" w:themeFillTint="33"/>
      </w:tcPr>
    </w:tblStylePr>
    <w:tblStylePr w:type="neCell">
      <w:tblPr/>
      <w:tcPr>
        <w:tcBorders>
          <w:bottom w:val="single" w:color="F9EDA2" w:themeColor="accent3" w:themeTint="99" w:sz="4" w:space="0"/>
        </w:tcBorders>
      </w:tcPr>
    </w:tblStylePr>
    <w:tblStylePr w:type="nwCell">
      <w:tblPr/>
      <w:tcPr>
        <w:tcBorders>
          <w:bottom w:val="single" w:color="F9EDA2" w:themeColor="accent3" w:themeTint="99" w:sz="4" w:space="0"/>
        </w:tcBorders>
      </w:tcPr>
    </w:tblStylePr>
    <w:tblStylePr w:type="seCell">
      <w:tblPr/>
      <w:tcPr>
        <w:tcBorders>
          <w:top w:val="single" w:color="F9EDA2" w:themeColor="accent3" w:themeTint="99" w:sz="4" w:space="0"/>
        </w:tcBorders>
      </w:tcPr>
    </w:tblStylePr>
    <w:tblStylePr w:type="swCell">
      <w:tblPr/>
      <w:tcPr>
        <w:tcBorders>
          <w:top w:val="single" w:color="F9EDA2" w:themeColor="accent3" w:themeTint="99" w:sz="4" w:space="0"/>
        </w:tcBorders>
      </w:tcPr>
    </w:tblStylePr>
  </w:style>
  <w:style w:type="table" w:styleId="GridTable7Colorful-Accent4">
    <w:name w:val="Grid Table 7 Colorful Accent 4"/>
    <w:basedOn w:val="TableNormal"/>
    <w:uiPriority w:val="52"/>
    <w:semiHidden/>
    <w:rsid w:val="0058629F"/>
    <w:pPr>
      <w:spacing w:line="240" w:lineRule="auto"/>
    </w:pPr>
    <w:rPr>
      <w:color w:val="FF9E19" w:themeColor="accent4" w:themeShade="BF"/>
    </w:rPr>
    <w:tblPr>
      <w:tblStyleRowBandSize w:val="1"/>
      <w:tblStyleColBandSize w:val="1"/>
      <w:tblBorders>
        <w:top w:val="single" w:color="FFDCAD" w:themeColor="accent4" w:themeTint="99" w:sz="4" w:space="0"/>
        <w:left w:val="single" w:color="FFDCAD" w:themeColor="accent4" w:themeTint="99" w:sz="4" w:space="0"/>
        <w:bottom w:val="single" w:color="FFDCAD" w:themeColor="accent4" w:themeTint="99" w:sz="4" w:space="0"/>
        <w:right w:val="single" w:color="FFDCAD" w:themeColor="accent4" w:themeTint="99" w:sz="4" w:space="0"/>
        <w:insideH w:val="single" w:color="FFDCAD" w:themeColor="accent4" w:themeTint="99" w:sz="4" w:space="0"/>
        <w:insideV w:val="single" w:color="FFDCAD"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E3" w:themeFill="accent4" w:themeFillTint="33"/>
      </w:tcPr>
    </w:tblStylePr>
    <w:tblStylePr w:type="band1Horz">
      <w:tblPr/>
      <w:tcPr>
        <w:shd w:val="clear" w:color="auto" w:fill="FFF3E3" w:themeFill="accent4" w:themeFillTint="33"/>
      </w:tcPr>
    </w:tblStylePr>
    <w:tblStylePr w:type="neCell">
      <w:tblPr/>
      <w:tcPr>
        <w:tcBorders>
          <w:bottom w:val="single" w:color="FFDCAD" w:themeColor="accent4" w:themeTint="99" w:sz="4" w:space="0"/>
        </w:tcBorders>
      </w:tcPr>
    </w:tblStylePr>
    <w:tblStylePr w:type="nwCell">
      <w:tblPr/>
      <w:tcPr>
        <w:tcBorders>
          <w:bottom w:val="single" w:color="FFDCAD" w:themeColor="accent4" w:themeTint="99" w:sz="4" w:space="0"/>
        </w:tcBorders>
      </w:tcPr>
    </w:tblStylePr>
    <w:tblStylePr w:type="seCell">
      <w:tblPr/>
      <w:tcPr>
        <w:tcBorders>
          <w:top w:val="single" w:color="FFDCAD" w:themeColor="accent4" w:themeTint="99" w:sz="4" w:space="0"/>
        </w:tcBorders>
      </w:tcPr>
    </w:tblStylePr>
    <w:tblStylePr w:type="swCell">
      <w:tblPr/>
      <w:tcPr>
        <w:tcBorders>
          <w:top w:val="single" w:color="FFDCAD" w:themeColor="accent4" w:themeTint="99" w:sz="4" w:space="0"/>
        </w:tcBorders>
      </w:tcPr>
    </w:tblStylePr>
  </w:style>
  <w:style w:type="table" w:styleId="GridTable7Colorful-Accent5">
    <w:name w:val="Grid Table 7 Colorful Accent 5"/>
    <w:basedOn w:val="TableNormal"/>
    <w:uiPriority w:val="52"/>
    <w:semiHidden/>
    <w:rsid w:val="0058629F"/>
    <w:pPr>
      <w:spacing w:line="240" w:lineRule="auto"/>
    </w:pPr>
    <w:rPr>
      <w:color w:val="E54E00" w:themeColor="accent5" w:themeShade="BF"/>
    </w:rPr>
    <w:tblPr>
      <w:tblStyleRowBandSize w:val="1"/>
      <w:tblStyleColBandSize w:val="1"/>
      <w:tblBorders>
        <w:top w:val="single" w:color="FFAE85" w:themeColor="accent5" w:themeTint="99" w:sz="4" w:space="0"/>
        <w:left w:val="single" w:color="FFAE85" w:themeColor="accent5" w:themeTint="99" w:sz="4" w:space="0"/>
        <w:bottom w:val="single" w:color="FFAE85" w:themeColor="accent5" w:themeTint="99" w:sz="4" w:space="0"/>
        <w:right w:val="single" w:color="FFAE85" w:themeColor="accent5" w:themeTint="99" w:sz="4" w:space="0"/>
        <w:insideH w:val="single" w:color="FFAE85" w:themeColor="accent5" w:themeTint="99" w:sz="4" w:space="0"/>
        <w:insideV w:val="single" w:color="FFAE85"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6" w:themeFill="accent5" w:themeFillTint="33"/>
      </w:tcPr>
    </w:tblStylePr>
    <w:tblStylePr w:type="band1Horz">
      <w:tblPr/>
      <w:tcPr>
        <w:shd w:val="clear" w:color="auto" w:fill="FFE4D6" w:themeFill="accent5" w:themeFillTint="33"/>
      </w:tcPr>
    </w:tblStylePr>
    <w:tblStylePr w:type="neCell">
      <w:tblPr/>
      <w:tcPr>
        <w:tcBorders>
          <w:bottom w:val="single" w:color="FFAE85" w:themeColor="accent5" w:themeTint="99" w:sz="4" w:space="0"/>
        </w:tcBorders>
      </w:tcPr>
    </w:tblStylePr>
    <w:tblStylePr w:type="nwCell">
      <w:tblPr/>
      <w:tcPr>
        <w:tcBorders>
          <w:bottom w:val="single" w:color="FFAE85" w:themeColor="accent5" w:themeTint="99" w:sz="4" w:space="0"/>
        </w:tcBorders>
      </w:tcPr>
    </w:tblStylePr>
    <w:tblStylePr w:type="seCell">
      <w:tblPr/>
      <w:tcPr>
        <w:tcBorders>
          <w:top w:val="single" w:color="FFAE85" w:themeColor="accent5" w:themeTint="99" w:sz="4" w:space="0"/>
        </w:tcBorders>
      </w:tcPr>
    </w:tblStylePr>
    <w:tblStylePr w:type="swCell">
      <w:tblPr/>
      <w:tcPr>
        <w:tcBorders>
          <w:top w:val="single" w:color="FFAE85" w:themeColor="accent5" w:themeTint="99" w:sz="4" w:space="0"/>
        </w:tcBorders>
      </w:tcPr>
    </w:tblStylePr>
  </w:style>
  <w:style w:type="table" w:styleId="GridTable7Colorful-Accent6">
    <w:name w:val="Grid Table 7 Colorful Accent 6"/>
    <w:basedOn w:val="TableNormal"/>
    <w:uiPriority w:val="52"/>
    <w:semiHidden/>
    <w:rsid w:val="0058629F"/>
    <w:pPr>
      <w:spacing w:line="240" w:lineRule="auto"/>
    </w:pPr>
    <w:rPr>
      <w:color w:val="D31020" w:themeColor="accent6" w:themeShade="BF"/>
    </w:rPr>
    <w:tblPr>
      <w:tblStyleRowBandSize w:val="1"/>
      <w:tblStyleColBandSize w:val="1"/>
      <w:tblBorders>
        <w:top w:val="single" w:color="F68C95" w:themeColor="accent6" w:themeTint="99" w:sz="4" w:space="0"/>
        <w:left w:val="single" w:color="F68C95" w:themeColor="accent6" w:themeTint="99" w:sz="4" w:space="0"/>
        <w:bottom w:val="single" w:color="F68C95" w:themeColor="accent6" w:themeTint="99" w:sz="4" w:space="0"/>
        <w:right w:val="single" w:color="F68C95" w:themeColor="accent6" w:themeTint="99" w:sz="4" w:space="0"/>
        <w:insideH w:val="single" w:color="F68C95" w:themeColor="accent6" w:themeTint="99" w:sz="4" w:space="0"/>
        <w:insideV w:val="single" w:color="F68C95"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8DB" w:themeFill="accent6" w:themeFillTint="33"/>
      </w:tcPr>
    </w:tblStylePr>
    <w:tblStylePr w:type="band1Horz">
      <w:tblPr/>
      <w:tcPr>
        <w:shd w:val="clear" w:color="auto" w:fill="FCD8DB" w:themeFill="accent6" w:themeFillTint="33"/>
      </w:tcPr>
    </w:tblStylePr>
    <w:tblStylePr w:type="neCell">
      <w:tblPr/>
      <w:tcPr>
        <w:tcBorders>
          <w:bottom w:val="single" w:color="F68C95" w:themeColor="accent6" w:themeTint="99" w:sz="4" w:space="0"/>
        </w:tcBorders>
      </w:tcPr>
    </w:tblStylePr>
    <w:tblStylePr w:type="nwCell">
      <w:tblPr/>
      <w:tcPr>
        <w:tcBorders>
          <w:bottom w:val="single" w:color="F68C95" w:themeColor="accent6" w:themeTint="99" w:sz="4" w:space="0"/>
        </w:tcBorders>
      </w:tcPr>
    </w:tblStylePr>
    <w:tblStylePr w:type="seCell">
      <w:tblPr/>
      <w:tcPr>
        <w:tcBorders>
          <w:top w:val="single" w:color="F68C95" w:themeColor="accent6" w:themeTint="99" w:sz="4" w:space="0"/>
        </w:tcBorders>
      </w:tcPr>
    </w:tblStylePr>
    <w:tblStylePr w:type="swCell">
      <w:tblPr/>
      <w:tcPr>
        <w:tcBorders>
          <w:top w:val="single" w:color="F68C95" w:themeColor="accent6" w:themeTint="99" w:sz="4" w:space="0"/>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color="103A36" w:themeColor="accent1" w:sz="8" w:space="0"/>
        <w:left w:val="single" w:color="103A36" w:themeColor="accent1" w:sz="8" w:space="0"/>
        <w:bottom w:val="single" w:color="103A36" w:themeColor="accent1" w:sz="8" w:space="0"/>
        <w:right w:val="single" w:color="103A36" w:themeColor="accent1" w:sz="8" w:space="0"/>
        <w:insideH w:val="single" w:color="103A36" w:themeColor="accent1" w:sz="8" w:space="0"/>
        <w:insideV w:val="single" w:color="103A36"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03A36" w:themeColor="accent1" w:sz="8" w:space="0"/>
          <w:left w:val="single" w:color="103A36" w:themeColor="accent1" w:sz="8" w:space="0"/>
          <w:bottom w:val="single" w:color="103A36" w:themeColor="accent1" w:sz="18" w:space="0"/>
          <w:right w:val="single" w:color="103A36" w:themeColor="accent1" w:sz="8" w:space="0"/>
          <w:insideH w:val="nil"/>
          <w:insideV w:val="single" w:color="103A36"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03A36" w:themeColor="accent1" w:sz="6" w:space="0"/>
          <w:left w:val="single" w:color="103A36" w:themeColor="accent1" w:sz="8" w:space="0"/>
          <w:bottom w:val="single" w:color="103A36" w:themeColor="accent1" w:sz="8" w:space="0"/>
          <w:right w:val="single" w:color="103A36" w:themeColor="accent1" w:sz="8" w:space="0"/>
          <w:insideH w:val="nil"/>
          <w:insideV w:val="single" w:color="103A36"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03A36" w:themeColor="accent1" w:sz="8" w:space="0"/>
          <w:left w:val="single" w:color="103A36" w:themeColor="accent1" w:sz="8" w:space="0"/>
          <w:bottom w:val="single" w:color="103A36" w:themeColor="accent1" w:sz="8" w:space="0"/>
          <w:right w:val="single" w:color="103A36" w:themeColor="accent1" w:sz="8" w:space="0"/>
        </w:tcBorders>
      </w:tcPr>
    </w:tblStylePr>
    <w:tblStylePr w:type="band1Vert">
      <w:tblPr/>
      <w:tcPr>
        <w:tcBorders>
          <w:top w:val="single" w:color="103A36" w:themeColor="accent1" w:sz="8" w:space="0"/>
          <w:left w:val="single" w:color="103A36" w:themeColor="accent1" w:sz="8" w:space="0"/>
          <w:bottom w:val="single" w:color="103A36" w:themeColor="accent1" w:sz="8" w:space="0"/>
          <w:right w:val="single" w:color="103A36" w:themeColor="accent1" w:sz="8" w:space="0"/>
        </w:tcBorders>
        <w:shd w:val="clear" w:color="auto" w:fill="AAE7E1" w:themeFill="accent1" w:themeFillTint="3F"/>
      </w:tcPr>
    </w:tblStylePr>
    <w:tblStylePr w:type="band1Horz">
      <w:tblPr/>
      <w:tcPr>
        <w:tcBorders>
          <w:top w:val="single" w:color="103A36" w:themeColor="accent1" w:sz="8" w:space="0"/>
          <w:left w:val="single" w:color="103A36" w:themeColor="accent1" w:sz="8" w:space="0"/>
          <w:bottom w:val="single" w:color="103A36" w:themeColor="accent1" w:sz="8" w:space="0"/>
          <w:right w:val="single" w:color="103A36" w:themeColor="accent1" w:sz="8" w:space="0"/>
          <w:insideV w:val="single" w:color="103A36" w:themeColor="accent1" w:sz="8" w:space="0"/>
        </w:tcBorders>
        <w:shd w:val="clear" w:color="auto" w:fill="AAE7E1" w:themeFill="accent1" w:themeFillTint="3F"/>
      </w:tcPr>
    </w:tblStylePr>
    <w:tblStylePr w:type="band2Horz">
      <w:tblPr/>
      <w:tcPr>
        <w:tcBorders>
          <w:top w:val="single" w:color="103A36" w:themeColor="accent1" w:sz="8" w:space="0"/>
          <w:left w:val="single" w:color="103A36" w:themeColor="accent1" w:sz="8" w:space="0"/>
          <w:bottom w:val="single" w:color="103A36" w:themeColor="accent1" w:sz="8" w:space="0"/>
          <w:right w:val="single" w:color="103A36" w:themeColor="accent1" w:sz="8" w:space="0"/>
          <w:insideV w:val="single" w:color="103A36" w:themeColor="accent1" w:sz="8" w:space="0"/>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color="009364" w:themeColor="accent2" w:sz="8" w:space="0"/>
        <w:left w:val="single" w:color="009364" w:themeColor="accent2" w:sz="8" w:space="0"/>
        <w:bottom w:val="single" w:color="009364" w:themeColor="accent2" w:sz="8" w:space="0"/>
        <w:right w:val="single" w:color="009364" w:themeColor="accent2" w:sz="8" w:space="0"/>
        <w:insideH w:val="single" w:color="009364" w:themeColor="accent2" w:sz="8" w:space="0"/>
        <w:insideV w:val="single" w:color="009364"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9364" w:themeColor="accent2" w:sz="8" w:space="0"/>
          <w:left w:val="single" w:color="009364" w:themeColor="accent2" w:sz="8" w:space="0"/>
          <w:bottom w:val="single" w:color="009364" w:themeColor="accent2" w:sz="18" w:space="0"/>
          <w:right w:val="single" w:color="009364" w:themeColor="accent2" w:sz="8" w:space="0"/>
          <w:insideH w:val="nil"/>
          <w:insideV w:val="single" w:color="009364"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9364" w:themeColor="accent2" w:sz="6" w:space="0"/>
          <w:left w:val="single" w:color="009364" w:themeColor="accent2" w:sz="8" w:space="0"/>
          <w:bottom w:val="single" w:color="009364" w:themeColor="accent2" w:sz="8" w:space="0"/>
          <w:right w:val="single" w:color="009364" w:themeColor="accent2" w:sz="8" w:space="0"/>
          <w:insideH w:val="nil"/>
          <w:insideV w:val="single" w:color="009364"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9364" w:themeColor="accent2" w:sz="8" w:space="0"/>
          <w:left w:val="single" w:color="009364" w:themeColor="accent2" w:sz="8" w:space="0"/>
          <w:bottom w:val="single" w:color="009364" w:themeColor="accent2" w:sz="8" w:space="0"/>
          <w:right w:val="single" w:color="009364" w:themeColor="accent2" w:sz="8" w:space="0"/>
        </w:tcBorders>
      </w:tcPr>
    </w:tblStylePr>
    <w:tblStylePr w:type="band1Vert">
      <w:tblPr/>
      <w:tcPr>
        <w:tcBorders>
          <w:top w:val="single" w:color="009364" w:themeColor="accent2" w:sz="8" w:space="0"/>
          <w:left w:val="single" w:color="009364" w:themeColor="accent2" w:sz="8" w:space="0"/>
          <w:bottom w:val="single" w:color="009364" w:themeColor="accent2" w:sz="8" w:space="0"/>
          <w:right w:val="single" w:color="009364" w:themeColor="accent2" w:sz="8" w:space="0"/>
        </w:tcBorders>
        <w:shd w:val="clear" w:color="auto" w:fill="A5FFE2" w:themeFill="accent2" w:themeFillTint="3F"/>
      </w:tcPr>
    </w:tblStylePr>
    <w:tblStylePr w:type="band1Horz">
      <w:tblPr/>
      <w:tcPr>
        <w:tcBorders>
          <w:top w:val="single" w:color="009364" w:themeColor="accent2" w:sz="8" w:space="0"/>
          <w:left w:val="single" w:color="009364" w:themeColor="accent2" w:sz="8" w:space="0"/>
          <w:bottom w:val="single" w:color="009364" w:themeColor="accent2" w:sz="8" w:space="0"/>
          <w:right w:val="single" w:color="009364" w:themeColor="accent2" w:sz="8" w:space="0"/>
          <w:insideV w:val="single" w:color="009364" w:themeColor="accent2" w:sz="8" w:space="0"/>
        </w:tcBorders>
        <w:shd w:val="clear" w:color="auto" w:fill="A5FFE2" w:themeFill="accent2" w:themeFillTint="3F"/>
      </w:tcPr>
    </w:tblStylePr>
    <w:tblStylePr w:type="band2Horz">
      <w:tblPr/>
      <w:tcPr>
        <w:tcBorders>
          <w:top w:val="single" w:color="009364" w:themeColor="accent2" w:sz="8" w:space="0"/>
          <w:left w:val="single" w:color="009364" w:themeColor="accent2" w:sz="8" w:space="0"/>
          <w:bottom w:val="single" w:color="009364" w:themeColor="accent2" w:sz="8" w:space="0"/>
          <w:right w:val="single" w:color="009364" w:themeColor="accent2" w:sz="8" w:space="0"/>
          <w:insideV w:val="single" w:color="009364" w:themeColor="accent2" w:sz="8" w:space="0"/>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color="F6E265" w:themeColor="accent3" w:sz="8" w:space="0"/>
        <w:left w:val="single" w:color="F6E265" w:themeColor="accent3" w:sz="8" w:space="0"/>
        <w:bottom w:val="single" w:color="F6E265" w:themeColor="accent3" w:sz="8" w:space="0"/>
        <w:right w:val="single" w:color="F6E265" w:themeColor="accent3" w:sz="8" w:space="0"/>
        <w:insideH w:val="single" w:color="F6E265" w:themeColor="accent3" w:sz="8" w:space="0"/>
        <w:insideV w:val="single" w:color="F6E26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6E265" w:themeColor="accent3" w:sz="8" w:space="0"/>
          <w:left w:val="single" w:color="F6E265" w:themeColor="accent3" w:sz="8" w:space="0"/>
          <w:bottom w:val="single" w:color="F6E265" w:themeColor="accent3" w:sz="18" w:space="0"/>
          <w:right w:val="single" w:color="F6E265" w:themeColor="accent3" w:sz="8" w:space="0"/>
          <w:insideH w:val="nil"/>
          <w:insideV w:val="single" w:color="F6E26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6E265" w:themeColor="accent3" w:sz="6" w:space="0"/>
          <w:left w:val="single" w:color="F6E265" w:themeColor="accent3" w:sz="8" w:space="0"/>
          <w:bottom w:val="single" w:color="F6E265" w:themeColor="accent3" w:sz="8" w:space="0"/>
          <w:right w:val="single" w:color="F6E265" w:themeColor="accent3" w:sz="8" w:space="0"/>
          <w:insideH w:val="nil"/>
          <w:insideV w:val="single" w:color="F6E26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6E265" w:themeColor="accent3" w:sz="8" w:space="0"/>
          <w:left w:val="single" w:color="F6E265" w:themeColor="accent3" w:sz="8" w:space="0"/>
          <w:bottom w:val="single" w:color="F6E265" w:themeColor="accent3" w:sz="8" w:space="0"/>
          <w:right w:val="single" w:color="F6E265" w:themeColor="accent3" w:sz="8" w:space="0"/>
        </w:tcBorders>
      </w:tcPr>
    </w:tblStylePr>
    <w:tblStylePr w:type="band1Vert">
      <w:tblPr/>
      <w:tcPr>
        <w:tcBorders>
          <w:top w:val="single" w:color="F6E265" w:themeColor="accent3" w:sz="8" w:space="0"/>
          <w:left w:val="single" w:color="F6E265" w:themeColor="accent3" w:sz="8" w:space="0"/>
          <w:bottom w:val="single" w:color="F6E265" w:themeColor="accent3" w:sz="8" w:space="0"/>
          <w:right w:val="single" w:color="F6E265" w:themeColor="accent3" w:sz="8" w:space="0"/>
        </w:tcBorders>
        <w:shd w:val="clear" w:color="auto" w:fill="FCF7D8" w:themeFill="accent3" w:themeFillTint="3F"/>
      </w:tcPr>
    </w:tblStylePr>
    <w:tblStylePr w:type="band1Horz">
      <w:tblPr/>
      <w:tcPr>
        <w:tcBorders>
          <w:top w:val="single" w:color="F6E265" w:themeColor="accent3" w:sz="8" w:space="0"/>
          <w:left w:val="single" w:color="F6E265" w:themeColor="accent3" w:sz="8" w:space="0"/>
          <w:bottom w:val="single" w:color="F6E265" w:themeColor="accent3" w:sz="8" w:space="0"/>
          <w:right w:val="single" w:color="F6E265" w:themeColor="accent3" w:sz="8" w:space="0"/>
          <w:insideV w:val="single" w:color="F6E265" w:themeColor="accent3" w:sz="8" w:space="0"/>
        </w:tcBorders>
        <w:shd w:val="clear" w:color="auto" w:fill="FCF7D8" w:themeFill="accent3" w:themeFillTint="3F"/>
      </w:tcPr>
    </w:tblStylePr>
    <w:tblStylePr w:type="band2Horz">
      <w:tblPr/>
      <w:tcPr>
        <w:tcBorders>
          <w:top w:val="single" w:color="F6E265" w:themeColor="accent3" w:sz="8" w:space="0"/>
          <w:left w:val="single" w:color="F6E265" w:themeColor="accent3" w:sz="8" w:space="0"/>
          <w:bottom w:val="single" w:color="F6E265" w:themeColor="accent3" w:sz="8" w:space="0"/>
          <w:right w:val="single" w:color="F6E265" w:themeColor="accent3" w:sz="8" w:space="0"/>
          <w:insideV w:val="single" w:color="F6E265" w:themeColor="accent3" w:sz="8" w:space="0"/>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color="FFC677" w:themeColor="accent4" w:sz="8" w:space="0"/>
        <w:left w:val="single" w:color="FFC677" w:themeColor="accent4" w:sz="8" w:space="0"/>
        <w:bottom w:val="single" w:color="FFC677" w:themeColor="accent4" w:sz="8" w:space="0"/>
        <w:right w:val="single" w:color="FFC677" w:themeColor="accent4" w:sz="8" w:space="0"/>
        <w:insideH w:val="single" w:color="FFC677" w:themeColor="accent4" w:sz="8" w:space="0"/>
        <w:insideV w:val="single" w:color="FFC677"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677" w:themeColor="accent4" w:sz="8" w:space="0"/>
          <w:left w:val="single" w:color="FFC677" w:themeColor="accent4" w:sz="8" w:space="0"/>
          <w:bottom w:val="single" w:color="FFC677" w:themeColor="accent4" w:sz="18" w:space="0"/>
          <w:right w:val="single" w:color="FFC677" w:themeColor="accent4" w:sz="8" w:space="0"/>
          <w:insideH w:val="nil"/>
          <w:insideV w:val="single" w:color="FFC677"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677" w:themeColor="accent4" w:sz="6" w:space="0"/>
          <w:left w:val="single" w:color="FFC677" w:themeColor="accent4" w:sz="8" w:space="0"/>
          <w:bottom w:val="single" w:color="FFC677" w:themeColor="accent4" w:sz="8" w:space="0"/>
          <w:right w:val="single" w:color="FFC677" w:themeColor="accent4" w:sz="8" w:space="0"/>
          <w:insideH w:val="nil"/>
          <w:insideV w:val="single" w:color="FFC677"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677" w:themeColor="accent4" w:sz="8" w:space="0"/>
          <w:left w:val="single" w:color="FFC677" w:themeColor="accent4" w:sz="8" w:space="0"/>
          <w:bottom w:val="single" w:color="FFC677" w:themeColor="accent4" w:sz="8" w:space="0"/>
          <w:right w:val="single" w:color="FFC677" w:themeColor="accent4" w:sz="8" w:space="0"/>
        </w:tcBorders>
      </w:tcPr>
    </w:tblStylePr>
    <w:tblStylePr w:type="band1Vert">
      <w:tblPr/>
      <w:tcPr>
        <w:tcBorders>
          <w:top w:val="single" w:color="FFC677" w:themeColor="accent4" w:sz="8" w:space="0"/>
          <w:left w:val="single" w:color="FFC677" w:themeColor="accent4" w:sz="8" w:space="0"/>
          <w:bottom w:val="single" w:color="FFC677" w:themeColor="accent4" w:sz="8" w:space="0"/>
          <w:right w:val="single" w:color="FFC677" w:themeColor="accent4" w:sz="8" w:space="0"/>
        </w:tcBorders>
        <w:shd w:val="clear" w:color="auto" w:fill="FFF0DD" w:themeFill="accent4" w:themeFillTint="3F"/>
      </w:tcPr>
    </w:tblStylePr>
    <w:tblStylePr w:type="band1Horz">
      <w:tblPr/>
      <w:tcPr>
        <w:tcBorders>
          <w:top w:val="single" w:color="FFC677" w:themeColor="accent4" w:sz="8" w:space="0"/>
          <w:left w:val="single" w:color="FFC677" w:themeColor="accent4" w:sz="8" w:space="0"/>
          <w:bottom w:val="single" w:color="FFC677" w:themeColor="accent4" w:sz="8" w:space="0"/>
          <w:right w:val="single" w:color="FFC677" w:themeColor="accent4" w:sz="8" w:space="0"/>
          <w:insideV w:val="single" w:color="FFC677" w:themeColor="accent4" w:sz="8" w:space="0"/>
        </w:tcBorders>
        <w:shd w:val="clear" w:color="auto" w:fill="FFF0DD" w:themeFill="accent4" w:themeFillTint="3F"/>
      </w:tcPr>
    </w:tblStylePr>
    <w:tblStylePr w:type="band2Horz">
      <w:tblPr/>
      <w:tcPr>
        <w:tcBorders>
          <w:top w:val="single" w:color="FFC677" w:themeColor="accent4" w:sz="8" w:space="0"/>
          <w:left w:val="single" w:color="FFC677" w:themeColor="accent4" w:sz="8" w:space="0"/>
          <w:bottom w:val="single" w:color="FFC677" w:themeColor="accent4" w:sz="8" w:space="0"/>
          <w:right w:val="single" w:color="FFC677" w:themeColor="accent4" w:sz="8" w:space="0"/>
          <w:insideV w:val="single" w:color="FFC677" w:themeColor="accent4" w:sz="8" w:space="0"/>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color="FF7A34" w:themeColor="accent5" w:sz="8" w:space="0"/>
        <w:left w:val="single" w:color="FF7A34" w:themeColor="accent5" w:sz="8" w:space="0"/>
        <w:bottom w:val="single" w:color="FF7A34" w:themeColor="accent5" w:sz="8" w:space="0"/>
        <w:right w:val="single" w:color="FF7A34" w:themeColor="accent5" w:sz="8" w:space="0"/>
        <w:insideH w:val="single" w:color="FF7A34" w:themeColor="accent5" w:sz="8" w:space="0"/>
        <w:insideV w:val="single" w:color="FF7A3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7A34" w:themeColor="accent5" w:sz="8" w:space="0"/>
          <w:left w:val="single" w:color="FF7A34" w:themeColor="accent5" w:sz="8" w:space="0"/>
          <w:bottom w:val="single" w:color="FF7A34" w:themeColor="accent5" w:sz="18" w:space="0"/>
          <w:right w:val="single" w:color="FF7A34" w:themeColor="accent5" w:sz="8" w:space="0"/>
          <w:insideH w:val="nil"/>
          <w:insideV w:val="single" w:color="FF7A3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7A34" w:themeColor="accent5" w:sz="6" w:space="0"/>
          <w:left w:val="single" w:color="FF7A34" w:themeColor="accent5" w:sz="8" w:space="0"/>
          <w:bottom w:val="single" w:color="FF7A34" w:themeColor="accent5" w:sz="8" w:space="0"/>
          <w:right w:val="single" w:color="FF7A34" w:themeColor="accent5" w:sz="8" w:space="0"/>
          <w:insideH w:val="nil"/>
          <w:insideV w:val="single" w:color="FF7A3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7A34" w:themeColor="accent5" w:sz="8" w:space="0"/>
          <w:left w:val="single" w:color="FF7A34" w:themeColor="accent5" w:sz="8" w:space="0"/>
          <w:bottom w:val="single" w:color="FF7A34" w:themeColor="accent5" w:sz="8" w:space="0"/>
          <w:right w:val="single" w:color="FF7A34" w:themeColor="accent5" w:sz="8" w:space="0"/>
        </w:tcBorders>
      </w:tcPr>
    </w:tblStylePr>
    <w:tblStylePr w:type="band1Vert">
      <w:tblPr/>
      <w:tcPr>
        <w:tcBorders>
          <w:top w:val="single" w:color="FF7A34" w:themeColor="accent5" w:sz="8" w:space="0"/>
          <w:left w:val="single" w:color="FF7A34" w:themeColor="accent5" w:sz="8" w:space="0"/>
          <w:bottom w:val="single" w:color="FF7A34" w:themeColor="accent5" w:sz="8" w:space="0"/>
          <w:right w:val="single" w:color="FF7A34" w:themeColor="accent5" w:sz="8" w:space="0"/>
        </w:tcBorders>
        <w:shd w:val="clear" w:color="auto" w:fill="FFDDCC" w:themeFill="accent5" w:themeFillTint="3F"/>
      </w:tcPr>
    </w:tblStylePr>
    <w:tblStylePr w:type="band1Horz">
      <w:tblPr/>
      <w:tcPr>
        <w:tcBorders>
          <w:top w:val="single" w:color="FF7A34" w:themeColor="accent5" w:sz="8" w:space="0"/>
          <w:left w:val="single" w:color="FF7A34" w:themeColor="accent5" w:sz="8" w:space="0"/>
          <w:bottom w:val="single" w:color="FF7A34" w:themeColor="accent5" w:sz="8" w:space="0"/>
          <w:right w:val="single" w:color="FF7A34" w:themeColor="accent5" w:sz="8" w:space="0"/>
          <w:insideV w:val="single" w:color="FF7A34" w:themeColor="accent5" w:sz="8" w:space="0"/>
        </w:tcBorders>
        <w:shd w:val="clear" w:color="auto" w:fill="FFDDCC" w:themeFill="accent5" w:themeFillTint="3F"/>
      </w:tcPr>
    </w:tblStylePr>
    <w:tblStylePr w:type="band2Horz">
      <w:tblPr/>
      <w:tcPr>
        <w:tcBorders>
          <w:top w:val="single" w:color="FF7A34" w:themeColor="accent5" w:sz="8" w:space="0"/>
          <w:left w:val="single" w:color="FF7A34" w:themeColor="accent5" w:sz="8" w:space="0"/>
          <w:bottom w:val="single" w:color="FF7A34" w:themeColor="accent5" w:sz="8" w:space="0"/>
          <w:right w:val="single" w:color="FF7A34" w:themeColor="accent5" w:sz="8" w:space="0"/>
          <w:insideV w:val="single" w:color="FF7A34" w:themeColor="accent5" w:sz="8" w:space="0"/>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color="F0404F" w:themeColor="accent6" w:sz="8" w:space="0"/>
        <w:left w:val="single" w:color="F0404F" w:themeColor="accent6" w:sz="8" w:space="0"/>
        <w:bottom w:val="single" w:color="F0404F" w:themeColor="accent6" w:sz="8" w:space="0"/>
        <w:right w:val="single" w:color="F0404F" w:themeColor="accent6" w:sz="8" w:space="0"/>
        <w:insideH w:val="single" w:color="F0404F" w:themeColor="accent6" w:sz="8" w:space="0"/>
        <w:insideV w:val="single" w:color="F0404F"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0404F" w:themeColor="accent6" w:sz="8" w:space="0"/>
          <w:left w:val="single" w:color="F0404F" w:themeColor="accent6" w:sz="8" w:space="0"/>
          <w:bottom w:val="single" w:color="F0404F" w:themeColor="accent6" w:sz="18" w:space="0"/>
          <w:right w:val="single" w:color="F0404F" w:themeColor="accent6" w:sz="8" w:space="0"/>
          <w:insideH w:val="nil"/>
          <w:insideV w:val="single" w:color="F0404F"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0404F" w:themeColor="accent6" w:sz="6" w:space="0"/>
          <w:left w:val="single" w:color="F0404F" w:themeColor="accent6" w:sz="8" w:space="0"/>
          <w:bottom w:val="single" w:color="F0404F" w:themeColor="accent6" w:sz="8" w:space="0"/>
          <w:right w:val="single" w:color="F0404F" w:themeColor="accent6" w:sz="8" w:space="0"/>
          <w:insideH w:val="nil"/>
          <w:insideV w:val="single" w:color="F0404F"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0404F" w:themeColor="accent6" w:sz="8" w:space="0"/>
          <w:left w:val="single" w:color="F0404F" w:themeColor="accent6" w:sz="8" w:space="0"/>
          <w:bottom w:val="single" w:color="F0404F" w:themeColor="accent6" w:sz="8" w:space="0"/>
          <w:right w:val="single" w:color="F0404F" w:themeColor="accent6" w:sz="8" w:space="0"/>
        </w:tcBorders>
      </w:tcPr>
    </w:tblStylePr>
    <w:tblStylePr w:type="band1Vert">
      <w:tblPr/>
      <w:tcPr>
        <w:tcBorders>
          <w:top w:val="single" w:color="F0404F" w:themeColor="accent6" w:sz="8" w:space="0"/>
          <w:left w:val="single" w:color="F0404F" w:themeColor="accent6" w:sz="8" w:space="0"/>
          <w:bottom w:val="single" w:color="F0404F" w:themeColor="accent6" w:sz="8" w:space="0"/>
          <w:right w:val="single" w:color="F0404F" w:themeColor="accent6" w:sz="8" w:space="0"/>
        </w:tcBorders>
        <w:shd w:val="clear" w:color="auto" w:fill="FBCFD3" w:themeFill="accent6" w:themeFillTint="3F"/>
      </w:tcPr>
    </w:tblStylePr>
    <w:tblStylePr w:type="band1Horz">
      <w:tblPr/>
      <w:tcPr>
        <w:tcBorders>
          <w:top w:val="single" w:color="F0404F" w:themeColor="accent6" w:sz="8" w:space="0"/>
          <w:left w:val="single" w:color="F0404F" w:themeColor="accent6" w:sz="8" w:space="0"/>
          <w:bottom w:val="single" w:color="F0404F" w:themeColor="accent6" w:sz="8" w:space="0"/>
          <w:right w:val="single" w:color="F0404F" w:themeColor="accent6" w:sz="8" w:space="0"/>
          <w:insideV w:val="single" w:color="F0404F" w:themeColor="accent6" w:sz="8" w:space="0"/>
        </w:tcBorders>
        <w:shd w:val="clear" w:color="auto" w:fill="FBCFD3" w:themeFill="accent6" w:themeFillTint="3F"/>
      </w:tcPr>
    </w:tblStylePr>
    <w:tblStylePr w:type="band2Horz">
      <w:tblPr/>
      <w:tcPr>
        <w:tcBorders>
          <w:top w:val="single" w:color="F0404F" w:themeColor="accent6" w:sz="8" w:space="0"/>
          <w:left w:val="single" w:color="F0404F" w:themeColor="accent6" w:sz="8" w:space="0"/>
          <w:bottom w:val="single" w:color="F0404F" w:themeColor="accent6" w:sz="8" w:space="0"/>
          <w:right w:val="single" w:color="F0404F" w:themeColor="accent6" w:sz="8" w:space="0"/>
          <w:insideV w:val="single" w:color="F0404F" w:themeColor="accent6" w:sz="8" w:space="0"/>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color="103A36" w:themeColor="accent1" w:sz="8" w:space="0"/>
        <w:left w:val="single" w:color="103A36" w:themeColor="accent1" w:sz="8" w:space="0"/>
        <w:bottom w:val="single" w:color="103A36" w:themeColor="accent1" w:sz="8" w:space="0"/>
        <w:right w:val="single" w:color="103A36" w:themeColor="accent1" w:sz="8" w:space="0"/>
      </w:tblBorders>
    </w:tblPr>
    <w:tblStylePr w:type="firstRow">
      <w:pPr>
        <w:spacing w:before="0" w:after="0" w:line="240" w:lineRule="auto"/>
      </w:pPr>
      <w:rPr>
        <w:b/>
        <w:bCs/>
        <w:color w:val="FFFFFF" w:themeColor="background1"/>
      </w:rPr>
      <w:tblPr/>
      <w:tcPr>
        <w:shd w:val="clear" w:color="auto" w:fill="103A36" w:themeFill="accent1"/>
      </w:tcPr>
    </w:tblStylePr>
    <w:tblStylePr w:type="lastRow">
      <w:pPr>
        <w:spacing w:before="0" w:after="0" w:line="240" w:lineRule="auto"/>
      </w:pPr>
      <w:rPr>
        <w:b/>
        <w:bCs/>
      </w:rPr>
      <w:tblPr/>
      <w:tcPr>
        <w:tcBorders>
          <w:top w:val="double" w:color="103A36" w:themeColor="accent1" w:sz="6" w:space="0"/>
          <w:left w:val="single" w:color="103A36" w:themeColor="accent1" w:sz="8" w:space="0"/>
          <w:bottom w:val="single" w:color="103A36" w:themeColor="accent1" w:sz="8" w:space="0"/>
          <w:right w:val="single" w:color="103A36" w:themeColor="accent1" w:sz="8" w:space="0"/>
        </w:tcBorders>
      </w:tcPr>
    </w:tblStylePr>
    <w:tblStylePr w:type="firstCol">
      <w:rPr>
        <w:b/>
        <w:bCs/>
      </w:rPr>
    </w:tblStylePr>
    <w:tblStylePr w:type="lastCol">
      <w:rPr>
        <w:b/>
        <w:bCs/>
      </w:rPr>
    </w:tblStylePr>
    <w:tblStylePr w:type="band1Vert">
      <w:tblPr/>
      <w:tcPr>
        <w:tcBorders>
          <w:top w:val="single" w:color="103A36" w:themeColor="accent1" w:sz="8" w:space="0"/>
          <w:left w:val="single" w:color="103A36" w:themeColor="accent1" w:sz="8" w:space="0"/>
          <w:bottom w:val="single" w:color="103A36" w:themeColor="accent1" w:sz="8" w:space="0"/>
          <w:right w:val="single" w:color="103A36" w:themeColor="accent1" w:sz="8" w:space="0"/>
        </w:tcBorders>
      </w:tcPr>
    </w:tblStylePr>
    <w:tblStylePr w:type="band1Horz">
      <w:tblPr/>
      <w:tcPr>
        <w:tcBorders>
          <w:top w:val="single" w:color="103A36" w:themeColor="accent1" w:sz="8" w:space="0"/>
          <w:left w:val="single" w:color="103A36" w:themeColor="accent1" w:sz="8" w:space="0"/>
          <w:bottom w:val="single" w:color="103A36" w:themeColor="accent1" w:sz="8" w:space="0"/>
          <w:right w:val="single" w:color="103A36" w:themeColor="accent1" w:sz="8" w:space="0"/>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color="009364" w:themeColor="accent2" w:sz="8" w:space="0"/>
        <w:left w:val="single" w:color="009364" w:themeColor="accent2" w:sz="8" w:space="0"/>
        <w:bottom w:val="single" w:color="009364" w:themeColor="accent2" w:sz="8" w:space="0"/>
        <w:right w:val="single" w:color="009364" w:themeColor="accent2" w:sz="8" w:space="0"/>
      </w:tblBorders>
    </w:tblPr>
    <w:tblStylePr w:type="firstRow">
      <w:pPr>
        <w:spacing w:before="0" w:after="0" w:line="240" w:lineRule="auto"/>
      </w:pPr>
      <w:rPr>
        <w:b/>
        <w:bCs/>
        <w:color w:val="FFFFFF" w:themeColor="background1"/>
      </w:rPr>
      <w:tblPr/>
      <w:tcPr>
        <w:shd w:val="clear" w:color="auto" w:fill="009364" w:themeFill="accent2"/>
      </w:tcPr>
    </w:tblStylePr>
    <w:tblStylePr w:type="lastRow">
      <w:pPr>
        <w:spacing w:before="0" w:after="0" w:line="240" w:lineRule="auto"/>
      </w:pPr>
      <w:rPr>
        <w:b/>
        <w:bCs/>
      </w:rPr>
      <w:tblPr/>
      <w:tcPr>
        <w:tcBorders>
          <w:top w:val="double" w:color="009364" w:themeColor="accent2" w:sz="6" w:space="0"/>
          <w:left w:val="single" w:color="009364" w:themeColor="accent2" w:sz="8" w:space="0"/>
          <w:bottom w:val="single" w:color="009364" w:themeColor="accent2" w:sz="8" w:space="0"/>
          <w:right w:val="single" w:color="009364" w:themeColor="accent2" w:sz="8" w:space="0"/>
        </w:tcBorders>
      </w:tcPr>
    </w:tblStylePr>
    <w:tblStylePr w:type="firstCol">
      <w:rPr>
        <w:b/>
        <w:bCs/>
      </w:rPr>
    </w:tblStylePr>
    <w:tblStylePr w:type="lastCol">
      <w:rPr>
        <w:b/>
        <w:bCs/>
      </w:rPr>
    </w:tblStylePr>
    <w:tblStylePr w:type="band1Vert">
      <w:tblPr/>
      <w:tcPr>
        <w:tcBorders>
          <w:top w:val="single" w:color="009364" w:themeColor="accent2" w:sz="8" w:space="0"/>
          <w:left w:val="single" w:color="009364" w:themeColor="accent2" w:sz="8" w:space="0"/>
          <w:bottom w:val="single" w:color="009364" w:themeColor="accent2" w:sz="8" w:space="0"/>
          <w:right w:val="single" w:color="009364" w:themeColor="accent2" w:sz="8" w:space="0"/>
        </w:tcBorders>
      </w:tcPr>
    </w:tblStylePr>
    <w:tblStylePr w:type="band1Horz">
      <w:tblPr/>
      <w:tcPr>
        <w:tcBorders>
          <w:top w:val="single" w:color="009364" w:themeColor="accent2" w:sz="8" w:space="0"/>
          <w:left w:val="single" w:color="009364" w:themeColor="accent2" w:sz="8" w:space="0"/>
          <w:bottom w:val="single" w:color="009364" w:themeColor="accent2" w:sz="8" w:space="0"/>
          <w:right w:val="single" w:color="009364" w:themeColor="accent2" w:sz="8" w:space="0"/>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color="F6E265" w:themeColor="accent3" w:sz="8" w:space="0"/>
        <w:left w:val="single" w:color="F6E265" w:themeColor="accent3" w:sz="8" w:space="0"/>
        <w:bottom w:val="single" w:color="F6E265" w:themeColor="accent3" w:sz="8" w:space="0"/>
        <w:right w:val="single" w:color="F6E265" w:themeColor="accent3" w:sz="8" w:space="0"/>
      </w:tblBorders>
    </w:tblPr>
    <w:tblStylePr w:type="firstRow">
      <w:pPr>
        <w:spacing w:before="0" w:after="0" w:line="240" w:lineRule="auto"/>
      </w:pPr>
      <w:rPr>
        <w:b/>
        <w:bCs/>
        <w:color w:val="FFFFFF" w:themeColor="background1"/>
      </w:rPr>
      <w:tblPr/>
      <w:tcPr>
        <w:shd w:val="clear" w:color="auto" w:fill="F6E265" w:themeFill="accent3"/>
      </w:tcPr>
    </w:tblStylePr>
    <w:tblStylePr w:type="lastRow">
      <w:pPr>
        <w:spacing w:before="0" w:after="0" w:line="240" w:lineRule="auto"/>
      </w:pPr>
      <w:rPr>
        <w:b/>
        <w:bCs/>
      </w:rPr>
      <w:tblPr/>
      <w:tcPr>
        <w:tcBorders>
          <w:top w:val="double" w:color="F6E265" w:themeColor="accent3" w:sz="6" w:space="0"/>
          <w:left w:val="single" w:color="F6E265" w:themeColor="accent3" w:sz="8" w:space="0"/>
          <w:bottom w:val="single" w:color="F6E265" w:themeColor="accent3" w:sz="8" w:space="0"/>
          <w:right w:val="single" w:color="F6E265" w:themeColor="accent3" w:sz="8" w:space="0"/>
        </w:tcBorders>
      </w:tcPr>
    </w:tblStylePr>
    <w:tblStylePr w:type="firstCol">
      <w:rPr>
        <w:b/>
        <w:bCs/>
      </w:rPr>
    </w:tblStylePr>
    <w:tblStylePr w:type="lastCol">
      <w:rPr>
        <w:b/>
        <w:bCs/>
      </w:rPr>
    </w:tblStylePr>
    <w:tblStylePr w:type="band1Vert">
      <w:tblPr/>
      <w:tcPr>
        <w:tcBorders>
          <w:top w:val="single" w:color="F6E265" w:themeColor="accent3" w:sz="8" w:space="0"/>
          <w:left w:val="single" w:color="F6E265" w:themeColor="accent3" w:sz="8" w:space="0"/>
          <w:bottom w:val="single" w:color="F6E265" w:themeColor="accent3" w:sz="8" w:space="0"/>
          <w:right w:val="single" w:color="F6E265" w:themeColor="accent3" w:sz="8" w:space="0"/>
        </w:tcBorders>
      </w:tcPr>
    </w:tblStylePr>
    <w:tblStylePr w:type="band1Horz">
      <w:tblPr/>
      <w:tcPr>
        <w:tcBorders>
          <w:top w:val="single" w:color="F6E265" w:themeColor="accent3" w:sz="8" w:space="0"/>
          <w:left w:val="single" w:color="F6E265" w:themeColor="accent3" w:sz="8" w:space="0"/>
          <w:bottom w:val="single" w:color="F6E265" w:themeColor="accent3" w:sz="8" w:space="0"/>
          <w:right w:val="single" w:color="F6E265" w:themeColor="accent3" w:sz="8" w:space="0"/>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color="FFC677" w:themeColor="accent4" w:sz="8" w:space="0"/>
        <w:left w:val="single" w:color="FFC677" w:themeColor="accent4" w:sz="8" w:space="0"/>
        <w:bottom w:val="single" w:color="FFC677" w:themeColor="accent4" w:sz="8" w:space="0"/>
        <w:right w:val="single" w:color="FFC677" w:themeColor="accent4" w:sz="8" w:space="0"/>
      </w:tblBorders>
    </w:tblPr>
    <w:tblStylePr w:type="firstRow">
      <w:pPr>
        <w:spacing w:before="0" w:after="0" w:line="240" w:lineRule="auto"/>
      </w:pPr>
      <w:rPr>
        <w:b/>
        <w:bCs/>
        <w:color w:val="FFFFFF" w:themeColor="background1"/>
      </w:rPr>
      <w:tblPr/>
      <w:tcPr>
        <w:shd w:val="clear" w:color="auto" w:fill="FFC677" w:themeFill="accent4"/>
      </w:tcPr>
    </w:tblStylePr>
    <w:tblStylePr w:type="lastRow">
      <w:pPr>
        <w:spacing w:before="0" w:after="0" w:line="240" w:lineRule="auto"/>
      </w:pPr>
      <w:rPr>
        <w:b/>
        <w:bCs/>
      </w:rPr>
      <w:tblPr/>
      <w:tcPr>
        <w:tcBorders>
          <w:top w:val="double" w:color="FFC677" w:themeColor="accent4" w:sz="6" w:space="0"/>
          <w:left w:val="single" w:color="FFC677" w:themeColor="accent4" w:sz="8" w:space="0"/>
          <w:bottom w:val="single" w:color="FFC677" w:themeColor="accent4" w:sz="8" w:space="0"/>
          <w:right w:val="single" w:color="FFC677" w:themeColor="accent4" w:sz="8" w:space="0"/>
        </w:tcBorders>
      </w:tcPr>
    </w:tblStylePr>
    <w:tblStylePr w:type="firstCol">
      <w:rPr>
        <w:b/>
        <w:bCs/>
      </w:rPr>
    </w:tblStylePr>
    <w:tblStylePr w:type="lastCol">
      <w:rPr>
        <w:b/>
        <w:bCs/>
      </w:rPr>
    </w:tblStylePr>
    <w:tblStylePr w:type="band1Vert">
      <w:tblPr/>
      <w:tcPr>
        <w:tcBorders>
          <w:top w:val="single" w:color="FFC677" w:themeColor="accent4" w:sz="8" w:space="0"/>
          <w:left w:val="single" w:color="FFC677" w:themeColor="accent4" w:sz="8" w:space="0"/>
          <w:bottom w:val="single" w:color="FFC677" w:themeColor="accent4" w:sz="8" w:space="0"/>
          <w:right w:val="single" w:color="FFC677" w:themeColor="accent4" w:sz="8" w:space="0"/>
        </w:tcBorders>
      </w:tcPr>
    </w:tblStylePr>
    <w:tblStylePr w:type="band1Horz">
      <w:tblPr/>
      <w:tcPr>
        <w:tcBorders>
          <w:top w:val="single" w:color="FFC677" w:themeColor="accent4" w:sz="8" w:space="0"/>
          <w:left w:val="single" w:color="FFC677" w:themeColor="accent4" w:sz="8" w:space="0"/>
          <w:bottom w:val="single" w:color="FFC677" w:themeColor="accent4" w:sz="8" w:space="0"/>
          <w:right w:val="single" w:color="FFC677" w:themeColor="accent4" w:sz="8" w:space="0"/>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color="FF7A34" w:themeColor="accent5" w:sz="8" w:space="0"/>
        <w:left w:val="single" w:color="FF7A34" w:themeColor="accent5" w:sz="8" w:space="0"/>
        <w:bottom w:val="single" w:color="FF7A34" w:themeColor="accent5" w:sz="8" w:space="0"/>
        <w:right w:val="single" w:color="FF7A34" w:themeColor="accent5" w:sz="8" w:space="0"/>
      </w:tblBorders>
    </w:tblPr>
    <w:tblStylePr w:type="firstRow">
      <w:pPr>
        <w:spacing w:before="0" w:after="0" w:line="240" w:lineRule="auto"/>
      </w:pPr>
      <w:rPr>
        <w:b/>
        <w:bCs/>
        <w:color w:val="FFFFFF" w:themeColor="background1"/>
      </w:rPr>
      <w:tblPr/>
      <w:tcPr>
        <w:shd w:val="clear" w:color="auto" w:fill="FF7A34" w:themeFill="accent5"/>
      </w:tcPr>
    </w:tblStylePr>
    <w:tblStylePr w:type="lastRow">
      <w:pPr>
        <w:spacing w:before="0" w:after="0" w:line="240" w:lineRule="auto"/>
      </w:pPr>
      <w:rPr>
        <w:b/>
        <w:bCs/>
      </w:rPr>
      <w:tblPr/>
      <w:tcPr>
        <w:tcBorders>
          <w:top w:val="double" w:color="FF7A34" w:themeColor="accent5" w:sz="6" w:space="0"/>
          <w:left w:val="single" w:color="FF7A34" w:themeColor="accent5" w:sz="8" w:space="0"/>
          <w:bottom w:val="single" w:color="FF7A34" w:themeColor="accent5" w:sz="8" w:space="0"/>
          <w:right w:val="single" w:color="FF7A34" w:themeColor="accent5" w:sz="8" w:space="0"/>
        </w:tcBorders>
      </w:tcPr>
    </w:tblStylePr>
    <w:tblStylePr w:type="firstCol">
      <w:rPr>
        <w:b/>
        <w:bCs/>
      </w:rPr>
    </w:tblStylePr>
    <w:tblStylePr w:type="lastCol">
      <w:rPr>
        <w:b/>
        <w:bCs/>
      </w:rPr>
    </w:tblStylePr>
    <w:tblStylePr w:type="band1Vert">
      <w:tblPr/>
      <w:tcPr>
        <w:tcBorders>
          <w:top w:val="single" w:color="FF7A34" w:themeColor="accent5" w:sz="8" w:space="0"/>
          <w:left w:val="single" w:color="FF7A34" w:themeColor="accent5" w:sz="8" w:space="0"/>
          <w:bottom w:val="single" w:color="FF7A34" w:themeColor="accent5" w:sz="8" w:space="0"/>
          <w:right w:val="single" w:color="FF7A34" w:themeColor="accent5" w:sz="8" w:space="0"/>
        </w:tcBorders>
      </w:tcPr>
    </w:tblStylePr>
    <w:tblStylePr w:type="band1Horz">
      <w:tblPr/>
      <w:tcPr>
        <w:tcBorders>
          <w:top w:val="single" w:color="FF7A34" w:themeColor="accent5" w:sz="8" w:space="0"/>
          <w:left w:val="single" w:color="FF7A34" w:themeColor="accent5" w:sz="8" w:space="0"/>
          <w:bottom w:val="single" w:color="FF7A34" w:themeColor="accent5" w:sz="8" w:space="0"/>
          <w:right w:val="single" w:color="FF7A34" w:themeColor="accent5" w:sz="8" w:space="0"/>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color="F0404F" w:themeColor="accent6" w:sz="8" w:space="0"/>
        <w:left w:val="single" w:color="F0404F" w:themeColor="accent6" w:sz="8" w:space="0"/>
        <w:bottom w:val="single" w:color="F0404F" w:themeColor="accent6" w:sz="8" w:space="0"/>
        <w:right w:val="single" w:color="F0404F" w:themeColor="accent6" w:sz="8" w:space="0"/>
      </w:tblBorders>
    </w:tblPr>
    <w:tblStylePr w:type="firstRow">
      <w:pPr>
        <w:spacing w:before="0" w:after="0" w:line="240" w:lineRule="auto"/>
      </w:pPr>
      <w:rPr>
        <w:b/>
        <w:bCs/>
        <w:color w:val="FFFFFF" w:themeColor="background1"/>
      </w:rPr>
      <w:tblPr/>
      <w:tcPr>
        <w:shd w:val="clear" w:color="auto" w:fill="F0404F" w:themeFill="accent6"/>
      </w:tcPr>
    </w:tblStylePr>
    <w:tblStylePr w:type="lastRow">
      <w:pPr>
        <w:spacing w:before="0" w:after="0" w:line="240" w:lineRule="auto"/>
      </w:pPr>
      <w:rPr>
        <w:b/>
        <w:bCs/>
      </w:rPr>
      <w:tblPr/>
      <w:tcPr>
        <w:tcBorders>
          <w:top w:val="double" w:color="F0404F" w:themeColor="accent6" w:sz="6" w:space="0"/>
          <w:left w:val="single" w:color="F0404F" w:themeColor="accent6" w:sz="8" w:space="0"/>
          <w:bottom w:val="single" w:color="F0404F" w:themeColor="accent6" w:sz="8" w:space="0"/>
          <w:right w:val="single" w:color="F0404F" w:themeColor="accent6" w:sz="8" w:space="0"/>
        </w:tcBorders>
      </w:tcPr>
    </w:tblStylePr>
    <w:tblStylePr w:type="firstCol">
      <w:rPr>
        <w:b/>
        <w:bCs/>
      </w:rPr>
    </w:tblStylePr>
    <w:tblStylePr w:type="lastCol">
      <w:rPr>
        <w:b/>
        <w:bCs/>
      </w:rPr>
    </w:tblStylePr>
    <w:tblStylePr w:type="band1Vert">
      <w:tblPr/>
      <w:tcPr>
        <w:tcBorders>
          <w:top w:val="single" w:color="F0404F" w:themeColor="accent6" w:sz="8" w:space="0"/>
          <w:left w:val="single" w:color="F0404F" w:themeColor="accent6" w:sz="8" w:space="0"/>
          <w:bottom w:val="single" w:color="F0404F" w:themeColor="accent6" w:sz="8" w:space="0"/>
          <w:right w:val="single" w:color="F0404F" w:themeColor="accent6" w:sz="8" w:space="0"/>
        </w:tcBorders>
      </w:tcPr>
    </w:tblStylePr>
    <w:tblStylePr w:type="band1Horz">
      <w:tblPr/>
      <w:tcPr>
        <w:tcBorders>
          <w:top w:val="single" w:color="F0404F" w:themeColor="accent6" w:sz="8" w:space="0"/>
          <w:left w:val="single" w:color="F0404F" w:themeColor="accent6" w:sz="8" w:space="0"/>
          <w:bottom w:val="single" w:color="F0404F" w:themeColor="accent6" w:sz="8" w:space="0"/>
          <w:right w:val="single" w:color="F0404F" w:themeColor="accent6" w:sz="8" w:space="0"/>
        </w:tcBorders>
      </w:tcPr>
    </w:tblStylePr>
  </w:style>
  <w:style w:type="table" w:styleId="LightShading">
    <w:name w:val="Light Shading"/>
    <w:basedOn w:val="TableNormal"/>
    <w:uiPriority w:val="60"/>
    <w:semiHidden/>
    <w:rsid w:val="0058629F"/>
    <w:pPr>
      <w:spacing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pPr>
      <w:spacing w:line="240" w:lineRule="auto"/>
    </w:pPr>
    <w:rPr>
      <w:color w:val="0C2B28" w:themeColor="accent1" w:themeShade="BF"/>
    </w:rPr>
    <w:tblPr>
      <w:tblStyleRowBandSize w:val="1"/>
      <w:tblStyleColBandSize w:val="1"/>
      <w:tblBorders>
        <w:top w:val="single" w:color="103A36" w:themeColor="accent1" w:sz="8" w:space="0"/>
        <w:bottom w:val="single" w:color="103A36" w:themeColor="accent1" w:sz="8" w:space="0"/>
      </w:tblBorders>
    </w:tblPr>
    <w:tblStylePr w:type="firstRow">
      <w:pPr>
        <w:spacing w:before="0" w:after="0" w:line="240" w:lineRule="auto"/>
      </w:pPr>
      <w:rPr>
        <w:b/>
        <w:bCs/>
      </w:rPr>
      <w:tblPr/>
      <w:tcPr>
        <w:tcBorders>
          <w:top w:val="single" w:color="103A36" w:themeColor="accent1" w:sz="8" w:space="0"/>
          <w:left w:val="nil"/>
          <w:bottom w:val="single" w:color="103A36" w:themeColor="accent1" w:sz="8" w:space="0"/>
          <w:right w:val="nil"/>
          <w:insideH w:val="nil"/>
          <w:insideV w:val="nil"/>
        </w:tcBorders>
      </w:tcPr>
    </w:tblStylePr>
    <w:tblStylePr w:type="lastRow">
      <w:pPr>
        <w:spacing w:before="0" w:after="0" w:line="240" w:lineRule="auto"/>
      </w:pPr>
      <w:rPr>
        <w:b/>
        <w:bCs/>
      </w:rPr>
      <w:tblPr/>
      <w:tcPr>
        <w:tcBorders>
          <w:top w:val="single" w:color="103A36" w:themeColor="accent1" w:sz="8" w:space="0"/>
          <w:left w:val="nil"/>
          <w:bottom w:val="single" w:color="103A36"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7E1" w:themeFill="accent1" w:themeFillTint="3F"/>
      </w:tcPr>
    </w:tblStylePr>
    <w:tblStylePr w:type="band1Horz">
      <w:tblPr/>
      <w:tcPr>
        <w:tcBorders>
          <w:left w:val="nil"/>
          <w:right w:val="nil"/>
          <w:insideH w:val="nil"/>
          <w:insideV w:val="nil"/>
        </w:tcBorders>
        <w:shd w:val="clear" w:color="auto" w:fill="AAE7E1" w:themeFill="accent1" w:themeFillTint="3F"/>
      </w:tcPr>
    </w:tblStylePr>
  </w:style>
  <w:style w:type="table" w:styleId="LightShading-Accent2">
    <w:name w:val="Light Shading Accent 2"/>
    <w:basedOn w:val="TableNormal"/>
    <w:uiPriority w:val="60"/>
    <w:semiHidden/>
    <w:rsid w:val="0058629F"/>
    <w:pPr>
      <w:spacing w:line="240" w:lineRule="auto"/>
    </w:pPr>
    <w:rPr>
      <w:color w:val="006E4A" w:themeColor="accent2" w:themeShade="BF"/>
    </w:rPr>
    <w:tblPr>
      <w:tblStyleRowBandSize w:val="1"/>
      <w:tblStyleColBandSize w:val="1"/>
      <w:tblBorders>
        <w:top w:val="single" w:color="009364" w:themeColor="accent2" w:sz="8" w:space="0"/>
        <w:bottom w:val="single" w:color="009364" w:themeColor="accent2" w:sz="8" w:space="0"/>
      </w:tblBorders>
    </w:tblPr>
    <w:tblStylePr w:type="firstRow">
      <w:pPr>
        <w:spacing w:before="0" w:after="0" w:line="240" w:lineRule="auto"/>
      </w:pPr>
      <w:rPr>
        <w:b/>
        <w:bCs/>
      </w:rPr>
      <w:tblPr/>
      <w:tcPr>
        <w:tcBorders>
          <w:top w:val="single" w:color="009364" w:themeColor="accent2" w:sz="8" w:space="0"/>
          <w:left w:val="nil"/>
          <w:bottom w:val="single" w:color="009364" w:themeColor="accent2" w:sz="8" w:space="0"/>
          <w:right w:val="nil"/>
          <w:insideH w:val="nil"/>
          <w:insideV w:val="nil"/>
        </w:tcBorders>
      </w:tcPr>
    </w:tblStylePr>
    <w:tblStylePr w:type="lastRow">
      <w:pPr>
        <w:spacing w:before="0" w:after="0" w:line="240" w:lineRule="auto"/>
      </w:pPr>
      <w:rPr>
        <w:b/>
        <w:bCs/>
      </w:rPr>
      <w:tblPr/>
      <w:tcPr>
        <w:tcBorders>
          <w:top w:val="single" w:color="009364" w:themeColor="accent2" w:sz="8" w:space="0"/>
          <w:left w:val="nil"/>
          <w:bottom w:val="single" w:color="009364"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FFE2" w:themeFill="accent2" w:themeFillTint="3F"/>
      </w:tcPr>
    </w:tblStylePr>
    <w:tblStylePr w:type="band1Horz">
      <w:tblPr/>
      <w:tcPr>
        <w:tcBorders>
          <w:left w:val="nil"/>
          <w:right w:val="nil"/>
          <w:insideH w:val="nil"/>
          <w:insideV w:val="nil"/>
        </w:tcBorders>
        <w:shd w:val="clear" w:color="auto" w:fill="A5FFE2" w:themeFill="accent2" w:themeFillTint="3F"/>
      </w:tcPr>
    </w:tblStylePr>
  </w:style>
  <w:style w:type="table" w:styleId="LightShading-Accent3">
    <w:name w:val="Light Shading Accent 3"/>
    <w:basedOn w:val="TableNormal"/>
    <w:uiPriority w:val="60"/>
    <w:semiHidden/>
    <w:rsid w:val="0058629F"/>
    <w:pPr>
      <w:spacing w:line="240" w:lineRule="auto"/>
    </w:pPr>
    <w:rPr>
      <w:color w:val="F1D112" w:themeColor="accent3" w:themeShade="BF"/>
    </w:rPr>
    <w:tblPr>
      <w:tblStyleRowBandSize w:val="1"/>
      <w:tblStyleColBandSize w:val="1"/>
      <w:tblBorders>
        <w:top w:val="single" w:color="F6E265" w:themeColor="accent3" w:sz="8" w:space="0"/>
        <w:bottom w:val="single" w:color="F6E265" w:themeColor="accent3" w:sz="8" w:space="0"/>
      </w:tblBorders>
    </w:tblPr>
    <w:tblStylePr w:type="firstRow">
      <w:pPr>
        <w:spacing w:before="0" w:after="0" w:line="240" w:lineRule="auto"/>
      </w:pPr>
      <w:rPr>
        <w:b/>
        <w:bCs/>
      </w:rPr>
      <w:tblPr/>
      <w:tcPr>
        <w:tcBorders>
          <w:top w:val="single" w:color="F6E265" w:themeColor="accent3" w:sz="8" w:space="0"/>
          <w:left w:val="nil"/>
          <w:bottom w:val="single" w:color="F6E265" w:themeColor="accent3" w:sz="8" w:space="0"/>
          <w:right w:val="nil"/>
          <w:insideH w:val="nil"/>
          <w:insideV w:val="nil"/>
        </w:tcBorders>
      </w:tcPr>
    </w:tblStylePr>
    <w:tblStylePr w:type="lastRow">
      <w:pPr>
        <w:spacing w:before="0" w:after="0" w:line="240" w:lineRule="auto"/>
      </w:pPr>
      <w:rPr>
        <w:b/>
        <w:bCs/>
      </w:rPr>
      <w:tblPr/>
      <w:tcPr>
        <w:tcBorders>
          <w:top w:val="single" w:color="F6E265" w:themeColor="accent3" w:sz="8" w:space="0"/>
          <w:left w:val="nil"/>
          <w:bottom w:val="single" w:color="F6E26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D8" w:themeFill="accent3" w:themeFillTint="3F"/>
      </w:tcPr>
    </w:tblStylePr>
    <w:tblStylePr w:type="band1Horz">
      <w:tblPr/>
      <w:tcPr>
        <w:tcBorders>
          <w:left w:val="nil"/>
          <w:right w:val="nil"/>
          <w:insideH w:val="nil"/>
          <w:insideV w:val="nil"/>
        </w:tcBorders>
        <w:shd w:val="clear" w:color="auto" w:fill="FCF7D8" w:themeFill="accent3" w:themeFillTint="3F"/>
      </w:tcPr>
    </w:tblStylePr>
  </w:style>
  <w:style w:type="table" w:styleId="LightShading-Accent4">
    <w:name w:val="Light Shading Accent 4"/>
    <w:basedOn w:val="TableNormal"/>
    <w:uiPriority w:val="60"/>
    <w:semiHidden/>
    <w:rsid w:val="0058629F"/>
    <w:pPr>
      <w:spacing w:line="240" w:lineRule="auto"/>
    </w:pPr>
    <w:rPr>
      <w:color w:val="FF9E19" w:themeColor="accent4" w:themeShade="BF"/>
    </w:rPr>
    <w:tblPr>
      <w:tblStyleRowBandSize w:val="1"/>
      <w:tblStyleColBandSize w:val="1"/>
      <w:tblBorders>
        <w:top w:val="single" w:color="FFC677" w:themeColor="accent4" w:sz="8" w:space="0"/>
        <w:bottom w:val="single" w:color="FFC677" w:themeColor="accent4" w:sz="8" w:space="0"/>
      </w:tblBorders>
    </w:tblPr>
    <w:tblStylePr w:type="firstRow">
      <w:pPr>
        <w:spacing w:before="0" w:after="0" w:line="240" w:lineRule="auto"/>
      </w:pPr>
      <w:rPr>
        <w:b/>
        <w:bCs/>
      </w:rPr>
      <w:tblPr/>
      <w:tcPr>
        <w:tcBorders>
          <w:top w:val="single" w:color="FFC677" w:themeColor="accent4" w:sz="8" w:space="0"/>
          <w:left w:val="nil"/>
          <w:bottom w:val="single" w:color="FFC677" w:themeColor="accent4" w:sz="8" w:space="0"/>
          <w:right w:val="nil"/>
          <w:insideH w:val="nil"/>
          <w:insideV w:val="nil"/>
        </w:tcBorders>
      </w:tcPr>
    </w:tblStylePr>
    <w:tblStylePr w:type="lastRow">
      <w:pPr>
        <w:spacing w:before="0" w:after="0" w:line="240" w:lineRule="auto"/>
      </w:pPr>
      <w:rPr>
        <w:b/>
        <w:bCs/>
      </w:rPr>
      <w:tblPr/>
      <w:tcPr>
        <w:tcBorders>
          <w:top w:val="single" w:color="FFC677" w:themeColor="accent4" w:sz="8" w:space="0"/>
          <w:left w:val="nil"/>
          <w:bottom w:val="single" w:color="FFC67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DD" w:themeFill="accent4" w:themeFillTint="3F"/>
      </w:tcPr>
    </w:tblStylePr>
    <w:tblStylePr w:type="band1Horz">
      <w:tblPr/>
      <w:tcPr>
        <w:tcBorders>
          <w:left w:val="nil"/>
          <w:right w:val="nil"/>
          <w:insideH w:val="nil"/>
          <w:insideV w:val="nil"/>
        </w:tcBorders>
        <w:shd w:val="clear" w:color="auto" w:fill="FFF0DD" w:themeFill="accent4" w:themeFillTint="3F"/>
      </w:tcPr>
    </w:tblStylePr>
  </w:style>
  <w:style w:type="table" w:styleId="LightShading-Accent5">
    <w:name w:val="Light Shading Accent 5"/>
    <w:basedOn w:val="TableNormal"/>
    <w:uiPriority w:val="60"/>
    <w:semiHidden/>
    <w:rsid w:val="0058629F"/>
    <w:pPr>
      <w:spacing w:line="240" w:lineRule="auto"/>
    </w:pPr>
    <w:rPr>
      <w:color w:val="E54E00" w:themeColor="accent5" w:themeShade="BF"/>
    </w:rPr>
    <w:tblPr>
      <w:tblStyleRowBandSize w:val="1"/>
      <w:tblStyleColBandSize w:val="1"/>
      <w:tblBorders>
        <w:top w:val="single" w:color="FF7A34" w:themeColor="accent5" w:sz="8" w:space="0"/>
        <w:bottom w:val="single" w:color="FF7A34" w:themeColor="accent5" w:sz="8" w:space="0"/>
      </w:tblBorders>
    </w:tblPr>
    <w:tblStylePr w:type="firstRow">
      <w:pPr>
        <w:spacing w:before="0" w:after="0" w:line="240" w:lineRule="auto"/>
      </w:pPr>
      <w:rPr>
        <w:b/>
        <w:bCs/>
      </w:rPr>
      <w:tblPr/>
      <w:tcPr>
        <w:tcBorders>
          <w:top w:val="single" w:color="FF7A34" w:themeColor="accent5" w:sz="8" w:space="0"/>
          <w:left w:val="nil"/>
          <w:bottom w:val="single" w:color="FF7A34" w:themeColor="accent5" w:sz="8" w:space="0"/>
          <w:right w:val="nil"/>
          <w:insideH w:val="nil"/>
          <w:insideV w:val="nil"/>
        </w:tcBorders>
      </w:tcPr>
    </w:tblStylePr>
    <w:tblStylePr w:type="lastRow">
      <w:pPr>
        <w:spacing w:before="0" w:after="0" w:line="240" w:lineRule="auto"/>
      </w:pPr>
      <w:rPr>
        <w:b/>
        <w:bCs/>
      </w:rPr>
      <w:tblPr/>
      <w:tcPr>
        <w:tcBorders>
          <w:top w:val="single" w:color="FF7A34" w:themeColor="accent5" w:sz="8" w:space="0"/>
          <w:left w:val="nil"/>
          <w:bottom w:val="single" w:color="FF7A3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C" w:themeFill="accent5" w:themeFillTint="3F"/>
      </w:tcPr>
    </w:tblStylePr>
    <w:tblStylePr w:type="band1Horz">
      <w:tblPr/>
      <w:tcPr>
        <w:tcBorders>
          <w:left w:val="nil"/>
          <w:right w:val="nil"/>
          <w:insideH w:val="nil"/>
          <w:insideV w:val="nil"/>
        </w:tcBorders>
        <w:shd w:val="clear" w:color="auto" w:fill="FFDDCC" w:themeFill="accent5" w:themeFillTint="3F"/>
      </w:tcPr>
    </w:tblStylePr>
  </w:style>
  <w:style w:type="table" w:styleId="LightShading-Accent6">
    <w:name w:val="Light Shading Accent 6"/>
    <w:basedOn w:val="TableNormal"/>
    <w:uiPriority w:val="60"/>
    <w:semiHidden/>
    <w:rsid w:val="0058629F"/>
    <w:pPr>
      <w:spacing w:line="240" w:lineRule="auto"/>
    </w:pPr>
    <w:rPr>
      <w:color w:val="D31020" w:themeColor="accent6" w:themeShade="BF"/>
    </w:rPr>
    <w:tblPr>
      <w:tblStyleRowBandSize w:val="1"/>
      <w:tblStyleColBandSize w:val="1"/>
      <w:tblBorders>
        <w:top w:val="single" w:color="F0404F" w:themeColor="accent6" w:sz="8" w:space="0"/>
        <w:bottom w:val="single" w:color="F0404F" w:themeColor="accent6" w:sz="8" w:space="0"/>
      </w:tblBorders>
    </w:tblPr>
    <w:tblStylePr w:type="firstRow">
      <w:pPr>
        <w:spacing w:before="0" w:after="0" w:line="240" w:lineRule="auto"/>
      </w:pPr>
      <w:rPr>
        <w:b/>
        <w:bCs/>
      </w:rPr>
      <w:tblPr/>
      <w:tcPr>
        <w:tcBorders>
          <w:top w:val="single" w:color="F0404F" w:themeColor="accent6" w:sz="8" w:space="0"/>
          <w:left w:val="nil"/>
          <w:bottom w:val="single" w:color="F0404F" w:themeColor="accent6" w:sz="8" w:space="0"/>
          <w:right w:val="nil"/>
          <w:insideH w:val="nil"/>
          <w:insideV w:val="nil"/>
        </w:tcBorders>
      </w:tcPr>
    </w:tblStylePr>
    <w:tblStylePr w:type="lastRow">
      <w:pPr>
        <w:spacing w:before="0" w:after="0" w:line="240" w:lineRule="auto"/>
      </w:pPr>
      <w:rPr>
        <w:b/>
        <w:bCs/>
      </w:rPr>
      <w:tblPr/>
      <w:tcPr>
        <w:tcBorders>
          <w:top w:val="single" w:color="F0404F" w:themeColor="accent6" w:sz="8" w:space="0"/>
          <w:left w:val="nil"/>
          <w:bottom w:val="single" w:color="F0404F"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CFD3" w:themeFill="accent6" w:themeFillTint="3F"/>
      </w:tcPr>
    </w:tblStylePr>
    <w:tblStylePr w:type="band1Horz">
      <w:tblPr/>
      <w:tcPr>
        <w:tcBorders>
          <w:left w:val="nil"/>
          <w:right w:val="nil"/>
          <w:insideH w:val="nil"/>
          <w:insideV w:val="nil"/>
        </w:tcBorders>
        <w:shd w:val="clear" w:color="auto" w:fill="FBCFD3" w:themeFill="accent6" w:themeFillTint="3F"/>
      </w:tcPr>
    </w:tblStylePr>
  </w:style>
  <w:style w:type="table" w:styleId="ListTable1Light">
    <w:name w:val="List Table 1 Light"/>
    <w:basedOn w:val="TableNormal"/>
    <w:uiPriority w:val="46"/>
    <w:semiHidden/>
    <w:rsid w:val="0058629F"/>
    <w:pPr>
      <w:spacing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pPr>
      <w:spacing w:line="240" w:lineRule="auto"/>
    </w:pPr>
    <w:tblPr>
      <w:tblStyleRowBandSize w:val="1"/>
      <w:tblStyleColBandSize w:val="1"/>
    </w:tblPr>
    <w:tblStylePr w:type="firstRow">
      <w:rPr>
        <w:b/>
        <w:bCs/>
      </w:rPr>
      <w:tblPr/>
      <w:tcPr>
        <w:tcBorders>
          <w:bottom w:val="single" w:color="35C2B4" w:themeColor="accent1" w:themeTint="99" w:sz="4" w:space="0"/>
        </w:tcBorders>
      </w:tcPr>
    </w:tblStylePr>
    <w:tblStylePr w:type="lastRow">
      <w:rPr>
        <w:b/>
        <w:bCs/>
      </w:rPr>
      <w:tblPr/>
      <w:tcPr>
        <w:tcBorders>
          <w:top w:val="single" w:color="35C2B4" w:themeColor="accent1" w:themeTint="99" w:sz="4" w:space="0"/>
        </w:tcBorders>
      </w:tcPr>
    </w:tblStylePr>
    <w:tblStylePr w:type="firstCol">
      <w:rPr>
        <w:b/>
        <w:bCs/>
      </w:rPr>
    </w:tblStylePr>
    <w:tblStylePr w:type="lastCol">
      <w:rPr>
        <w:b/>
        <w:bCs/>
      </w:rPr>
    </w:tblStylePr>
    <w:tblStylePr w:type="band1Vert">
      <w:tblPr/>
      <w:tcPr>
        <w:shd w:val="clear" w:color="auto" w:fill="BAECE7" w:themeFill="accent1" w:themeFillTint="33"/>
      </w:tcPr>
    </w:tblStylePr>
    <w:tblStylePr w:type="band1Horz">
      <w:tblPr/>
      <w:tcPr>
        <w:shd w:val="clear" w:color="auto" w:fill="BAECE7" w:themeFill="accent1" w:themeFillTint="33"/>
      </w:tcPr>
    </w:tblStylePr>
  </w:style>
  <w:style w:type="table" w:styleId="ListTable1Light-Accent2">
    <w:name w:val="List Table 1 Light Accent 2"/>
    <w:basedOn w:val="TableNormal"/>
    <w:uiPriority w:val="46"/>
    <w:semiHidden/>
    <w:rsid w:val="0058629F"/>
    <w:pPr>
      <w:spacing w:line="240" w:lineRule="auto"/>
    </w:pPr>
    <w:tblPr>
      <w:tblStyleRowBandSize w:val="1"/>
      <w:tblStyleColBandSize w:val="1"/>
    </w:tblPr>
    <w:tblStylePr w:type="firstRow">
      <w:rPr>
        <w:b/>
        <w:bCs/>
      </w:rPr>
      <w:tblPr/>
      <w:tcPr>
        <w:tcBorders>
          <w:bottom w:val="single" w:color="25FFB8" w:themeColor="accent2" w:themeTint="99" w:sz="4" w:space="0"/>
        </w:tcBorders>
      </w:tcPr>
    </w:tblStylePr>
    <w:tblStylePr w:type="lastRow">
      <w:rPr>
        <w:b/>
        <w:bCs/>
      </w:rPr>
      <w:tblPr/>
      <w:tcPr>
        <w:tcBorders>
          <w:top w:val="single" w:color="25FFB8" w:themeColor="accent2" w:themeTint="99" w:sz="4" w:space="0"/>
        </w:tcBorders>
      </w:tcPr>
    </w:tblStylePr>
    <w:tblStylePr w:type="firstCol">
      <w:rPr>
        <w:b/>
        <w:bCs/>
      </w:rPr>
    </w:tblStylePr>
    <w:tblStylePr w:type="lastCol">
      <w:rPr>
        <w:b/>
        <w:bCs/>
      </w:rPr>
    </w:tblStylePr>
    <w:tblStylePr w:type="band1Vert">
      <w:tblPr/>
      <w:tcPr>
        <w:shd w:val="clear" w:color="auto" w:fill="B6FFE7" w:themeFill="accent2" w:themeFillTint="33"/>
      </w:tcPr>
    </w:tblStylePr>
    <w:tblStylePr w:type="band1Horz">
      <w:tblPr/>
      <w:tcPr>
        <w:shd w:val="clear" w:color="auto" w:fill="B6FFE7" w:themeFill="accent2" w:themeFillTint="33"/>
      </w:tcPr>
    </w:tblStylePr>
  </w:style>
  <w:style w:type="table" w:styleId="ListTable1Light-Accent3">
    <w:name w:val="List Table 1 Light Accent 3"/>
    <w:basedOn w:val="TableNormal"/>
    <w:uiPriority w:val="46"/>
    <w:semiHidden/>
    <w:rsid w:val="0058629F"/>
    <w:pPr>
      <w:spacing w:line="240" w:lineRule="auto"/>
    </w:pPr>
    <w:tblPr>
      <w:tblStyleRowBandSize w:val="1"/>
      <w:tblStyleColBandSize w:val="1"/>
    </w:tblPr>
    <w:tblStylePr w:type="firstRow">
      <w:rPr>
        <w:b/>
        <w:bCs/>
      </w:rPr>
      <w:tblPr/>
      <w:tcPr>
        <w:tcBorders>
          <w:bottom w:val="single" w:color="F9EDA2" w:themeColor="accent3" w:themeTint="99" w:sz="4" w:space="0"/>
        </w:tcBorders>
      </w:tcPr>
    </w:tblStylePr>
    <w:tblStylePr w:type="lastRow">
      <w:rPr>
        <w:b/>
        <w:bCs/>
      </w:rPr>
      <w:tblPr/>
      <w:tcPr>
        <w:tcBorders>
          <w:top w:val="single" w:color="F9EDA2" w:themeColor="accent3" w:themeTint="99" w:sz="4" w:space="0"/>
        </w:tcBorders>
      </w:tcPr>
    </w:tblStylePr>
    <w:tblStylePr w:type="firstCol">
      <w:rPr>
        <w:b/>
        <w:bCs/>
      </w:rPr>
    </w:tblStylePr>
    <w:tblStylePr w:type="lastCol">
      <w:rPr>
        <w:b/>
        <w:bCs/>
      </w:rPr>
    </w:tblStylePr>
    <w:tblStylePr w:type="band1Vert">
      <w:tblPr/>
      <w:tcPr>
        <w:shd w:val="clear" w:color="auto" w:fill="FDF9E0" w:themeFill="accent3" w:themeFillTint="33"/>
      </w:tcPr>
    </w:tblStylePr>
    <w:tblStylePr w:type="band1Horz">
      <w:tblPr/>
      <w:tcPr>
        <w:shd w:val="clear" w:color="auto" w:fill="FDF9E0" w:themeFill="accent3" w:themeFillTint="33"/>
      </w:tcPr>
    </w:tblStylePr>
  </w:style>
  <w:style w:type="table" w:styleId="ListTable1Light-Accent4">
    <w:name w:val="List Table 1 Light Accent 4"/>
    <w:basedOn w:val="TableNormal"/>
    <w:uiPriority w:val="46"/>
    <w:semiHidden/>
    <w:rsid w:val="0058629F"/>
    <w:pPr>
      <w:spacing w:line="240" w:lineRule="auto"/>
    </w:pPr>
    <w:tblPr>
      <w:tblStyleRowBandSize w:val="1"/>
      <w:tblStyleColBandSize w:val="1"/>
    </w:tblPr>
    <w:tblStylePr w:type="firstRow">
      <w:rPr>
        <w:b/>
        <w:bCs/>
      </w:rPr>
      <w:tblPr/>
      <w:tcPr>
        <w:tcBorders>
          <w:bottom w:val="single" w:color="FFDCAD" w:themeColor="accent4" w:themeTint="99" w:sz="4" w:space="0"/>
        </w:tcBorders>
      </w:tcPr>
    </w:tblStylePr>
    <w:tblStylePr w:type="lastRow">
      <w:rPr>
        <w:b/>
        <w:bCs/>
      </w:rPr>
      <w:tblPr/>
      <w:tcPr>
        <w:tcBorders>
          <w:top w:val="single" w:color="FFDCAD" w:themeColor="accent4" w:themeTint="99" w:sz="4" w:space="0"/>
        </w:tcBorders>
      </w:tcPr>
    </w:tblStylePr>
    <w:tblStylePr w:type="firstCol">
      <w:rPr>
        <w:b/>
        <w:bCs/>
      </w:rPr>
    </w:tblStylePr>
    <w:tblStylePr w:type="lastCol">
      <w:rPr>
        <w:b/>
        <w:bCs/>
      </w:rPr>
    </w:tblStylePr>
    <w:tblStylePr w:type="band1Vert">
      <w:tblPr/>
      <w:tcPr>
        <w:shd w:val="clear" w:color="auto" w:fill="FFF3E3" w:themeFill="accent4" w:themeFillTint="33"/>
      </w:tcPr>
    </w:tblStylePr>
    <w:tblStylePr w:type="band1Horz">
      <w:tblPr/>
      <w:tcPr>
        <w:shd w:val="clear" w:color="auto" w:fill="FFF3E3" w:themeFill="accent4" w:themeFillTint="33"/>
      </w:tcPr>
    </w:tblStylePr>
  </w:style>
  <w:style w:type="table" w:styleId="ListTable1Light-Accent5">
    <w:name w:val="List Table 1 Light Accent 5"/>
    <w:basedOn w:val="TableNormal"/>
    <w:uiPriority w:val="46"/>
    <w:semiHidden/>
    <w:rsid w:val="0058629F"/>
    <w:pPr>
      <w:spacing w:line="240" w:lineRule="auto"/>
    </w:pPr>
    <w:tblPr>
      <w:tblStyleRowBandSize w:val="1"/>
      <w:tblStyleColBandSize w:val="1"/>
    </w:tblPr>
    <w:tblStylePr w:type="firstRow">
      <w:rPr>
        <w:b/>
        <w:bCs/>
      </w:rPr>
      <w:tblPr/>
      <w:tcPr>
        <w:tcBorders>
          <w:bottom w:val="single" w:color="FFAE85" w:themeColor="accent5" w:themeTint="99" w:sz="4" w:space="0"/>
        </w:tcBorders>
      </w:tcPr>
    </w:tblStylePr>
    <w:tblStylePr w:type="lastRow">
      <w:rPr>
        <w:b/>
        <w:bCs/>
      </w:rPr>
      <w:tblPr/>
      <w:tcPr>
        <w:tcBorders>
          <w:top w:val="single" w:color="FFAE85" w:themeColor="accent5" w:themeTint="99" w:sz="4" w:space="0"/>
        </w:tcBorders>
      </w:tcPr>
    </w:tblStylePr>
    <w:tblStylePr w:type="firstCol">
      <w:rPr>
        <w:b/>
        <w:bCs/>
      </w:rPr>
    </w:tblStylePr>
    <w:tblStylePr w:type="lastCol">
      <w:rPr>
        <w:b/>
        <w:bCs/>
      </w:rPr>
    </w:tblStylePr>
    <w:tblStylePr w:type="band1Vert">
      <w:tblPr/>
      <w:tcPr>
        <w:shd w:val="clear" w:color="auto" w:fill="FFE4D6" w:themeFill="accent5" w:themeFillTint="33"/>
      </w:tcPr>
    </w:tblStylePr>
    <w:tblStylePr w:type="band1Horz">
      <w:tblPr/>
      <w:tcPr>
        <w:shd w:val="clear" w:color="auto" w:fill="FFE4D6" w:themeFill="accent5" w:themeFillTint="33"/>
      </w:tcPr>
    </w:tblStylePr>
  </w:style>
  <w:style w:type="table" w:styleId="ListTable1Light-Accent6">
    <w:name w:val="List Table 1 Light Accent 6"/>
    <w:basedOn w:val="TableNormal"/>
    <w:uiPriority w:val="46"/>
    <w:semiHidden/>
    <w:rsid w:val="0058629F"/>
    <w:pPr>
      <w:spacing w:line="240" w:lineRule="auto"/>
    </w:pPr>
    <w:tblPr>
      <w:tblStyleRowBandSize w:val="1"/>
      <w:tblStyleColBandSize w:val="1"/>
    </w:tblPr>
    <w:tblStylePr w:type="firstRow">
      <w:rPr>
        <w:b/>
        <w:bCs/>
      </w:rPr>
      <w:tblPr/>
      <w:tcPr>
        <w:tcBorders>
          <w:bottom w:val="single" w:color="F68C95" w:themeColor="accent6" w:themeTint="99" w:sz="4" w:space="0"/>
        </w:tcBorders>
      </w:tcPr>
    </w:tblStylePr>
    <w:tblStylePr w:type="lastRow">
      <w:rPr>
        <w:b/>
        <w:bCs/>
      </w:rPr>
      <w:tblPr/>
      <w:tcPr>
        <w:tcBorders>
          <w:top w:val="single" w:color="F68C95" w:themeColor="accent6" w:themeTint="99" w:sz="4" w:space="0"/>
        </w:tcBorders>
      </w:tcPr>
    </w:tblStylePr>
    <w:tblStylePr w:type="firstCol">
      <w:rPr>
        <w:b/>
        <w:bCs/>
      </w:rPr>
    </w:tblStylePr>
    <w:tblStylePr w:type="lastCol">
      <w:rPr>
        <w:b/>
        <w:bCs/>
      </w:rPr>
    </w:tblStylePr>
    <w:tblStylePr w:type="band1Vert">
      <w:tblPr/>
      <w:tcPr>
        <w:shd w:val="clear" w:color="auto" w:fill="FCD8DB" w:themeFill="accent6" w:themeFillTint="33"/>
      </w:tcPr>
    </w:tblStylePr>
    <w:tblStylePr w:type="band1Horz">
      <w:tblPr/>
      <w:tcPr>
        <w:shd w:val="clear" w:color="auto" w:fill="FCD8DB" w:themeFill="accent6" w:themeFillTint="33"/>
      </w:tcPr>
    </w:tblStylePr>
  </w:style>
  <w:style w:type="table" w:styleId="ListTable2">
    <w:name w:val="List Table 2"/>
    <w:basedOn w:val="TableNormal"/>
    <w:uiPriority w:val="47"/>
    <w:semiHidden/>
    <w:rsid w:val="0058629F"/>
    <w:pPr>
      <w:spacing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pPr>
      <w:spacing w:line="240" w:lineRule="auto"/>
    </w:pPr>
    <w:tblPr>
      <w:tblStyleRowBandSize w:val="1"/>
      <w:tblStyleColBandSize w:val="1"/>
      <w:tblBorders>
        <w:top w:val="single" w:color="35C2B4" w:themeColor="accent1" w:themeTint="99" w:sz="4" w:space="0"/>
        <w:bottom w:val="single" w:color="35C2B4" w:themeColor="accent1" w:themeTint="99" w:sz="4" w:space="0"/>
        <w:insideH w:val="single" w:color="35C2B4"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ECE7" w:themeFill="accent1" w:themeFillTint="33"/>
      </w:tcPr>
    </w:tblStylePr>
    <w:tblStylePr w:type="band1Horz">
      <w:tblPr/>
      <w:tcPr>
        <w:shd w:val="clear" w:color="auto" w:fill="BAECE7" w:themeFill="accent1" w:themeFillTint="33"/>
      </w:tcPr>
    </w:tblStylePr>
  </w:style>
  <w:style w:type="table" w:styleId="ListTable2-Accent2">
    <w:name w:val="List Table 2 Accent 2"/>
    <w:basedOn w:val="TableNormal"/>
    <w:uiPriority w:val="47"/>
    <w:semiHidden/>
    <w:rsid w:val="0058629F"/>
    <w:pPr>
      <w:spacing w:line="240" w:lineRule="auto"/>
    </w:pPr>
    <w:tblPr>
      <w:tblStyleRowBandSize w:val="1"/>
      <w:tblStyleColBandSize w:val="1"/>
      <w:tblBorders>
        <w:top w:val="single" w:color="25FFB8" w:themeColor="accent2" w:themeTint="99" w:sz="4" w:space="0"/>
        <w:bottom w:val="single" w:color="25FFB8" w:themeColor="accent2" w:themeTint="99" w:sz="4" w:space="0"/>
        <w:insideH w:val="single" w:color="25FFB8"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FFE7" w:themeFill="accent2" w:themeFillTint="33"/>
      </w:tcPr>
    </w:tblStylePr>
    <w:tblStylePr w:type="band1Horz">
      <w:tblPr/>
      <w:tcPr>
        <w:shd w:val="clear" w:color="auto" w:fill="B6FFE7" w:themeFill="accent2" w:themeFillTint="33"/>
      </w:tcPr>
    </w:tblStylePr>
  </w:style>
  <w:style w:type="table" w:styleId="ListTable2-Accent3">
    <w:name w:val="List Table 2 Accent 3"/>
    <w:basedOn w:val="TableNormal"/>
    <w:uiPriority w:val="47"/>
    <w:semiHidden/>
    <w:rsid w:val="0058629F"/>
    <w:pPr>
      <w:spacing w:line="240" w:lineRule="auto"/>
    </w:pPr>
    <w:tblPr>
      <w:tblStyleRowBandSize w:val="1"/>
      <w:tblStyleColBandSize w:val="1"/>
      <w:tblBorders>
        <w:top w:val="single" w:color="F9EDA2" w:themeColor="accent3" w:themeTint="99" w:sz="4" w:space="0"/>
        <w:bottom w:val="single" w:color="F9EDA2" w:themeColor="accent3" w:themeTint="99" w:sz="4" w:space="0"/>
        <w:insideH w:val="single" w:color="F9EDA2"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E0" w:themeFill="accent3" w:themeFillTint="33"/>
      </w:tcPr>
    </w:tblStylePr>
    <w:tblStylePr w:type="band1Horz">
      <w:tblPr/>
      <w:tcPr>
        <w:shd w:val="clear" w:color="auto" w:fill="FDF9E0" w:themeFill="accent3" w:themeFillTint="33"/>
      </w:tcPr>
    </w:tblStylePr>
  </w:style>
  <w:style w:type="table" w:styleId="ListTable2-Accent4">
    <w:name w:val="List Table 2 Accent 4"/>
    <w:basedOn w:val="TableNormal"/>
    <w:uiPriority w:val="47"/>
    <w:semiHidden/>
    <w:rsid w:val="0058629F"/>
    <w:pPr>
      <w:spacing w:line="240" w:lineRule="auto"/>
    </w:pPr>
    <w:tblPr>
      <w:tblStyleRowBandSize w:val="1"/>
      <w:tblStyleColBandSize w:val="1"/>
      <w:tblBorders>
        <w:top w:val="single" w:color="FFDCAD" w:themeColor="accent4" w:themeTint="99" w:sz="4" w:space="0"/>
        <w:bottom w:val="single" w:color="FFDCAD" w:themeColor="accent4" w:themeTint="99" w:sz="4" w:space="0"/>
        <w:insideH w:val="single" w:color="FFDCAD"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E3" w:themeFill="accent4" w:themeFillTint="33"/>
      </w:tcPr>
    </w:tblStylePr>
    <w:tblStylePr w:type="band1Horz">
      <w:tblPr/>
      <w:tcPr>
        <w:shd w:val="clear" w:color="auto" w:fill="FFF3E3" w:themeFill="accent4" w:themeFillTint="33"/>
      </w:tcPr>
    </w:tblStylePr>
  </w:style>
  <w:style w:type="table" w:styleId="ListTable2-Accent5">
    <w:name w:val="List Table 2 Accent 5"/>
    <w:basedOn w:val="TableNormal"/>
    <w:uiPriority w:val="47"/>
    <w:semiHidden/>
    <w:rsid w:val="0058629F"/>
    <w:pPr>
      <w:spacing w:line="240" w:lineRule="auto"/>
    </w:pPr>
    <w:tblPr>
      <w:tblStyleRowBandSize w:val="1"/>
      <w:tblStyleColBandSize w:val="1"/>
      <w:tblBorders>
        <w:top w:val="single" w:color="FFAE85" w:themeColor="accent5" w:themeTint="99" w:sz="4" w:space="0"/>
        <w:bottom w:val="single" w:color="FFAE85" w:themeColor="accent5" w:themeTint="99" w:sz="4" w:space="0"/>
        <w:insideH w:val="single" w:color="FFAE85"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6" w:themeFill="accent5" w:themeFillTint="33"/>
      </w:tcPr>
    </w:tblStylePr>
    <w:tblStylePr w:type="band1Horz">
      <w:tblPr/>
      <w:tcPr>
        <w:shd w:val="clear" w:color="auto" w:fill="FFE4D6" w:themeFill="accent5" w:themeFillTint="33"/>
      </w:tcPr>
    </w:tblStylePr>
  </w:style>
  <w:style w:type="table" w:styleId="ListTable2-Accent6">
    <w:name w:val="List Table 2 Accent 6"/>
    <w:basedOn w:val="TableNormal"/>
    <w:uiPriority w:val="47"/>
    <w:semiHidden/>
    <w:rsid w:val="0058629F"/>
    <w:pPr>
      <w:spacing w:line="240" w:lineRule="auto"/>
    </w:pPr>
    <w:tblPr>
      <w:tblStyleRowBandSize w:val="1"/>
      <w:tblStyleColBandSize w:val="1"/>
      <w:tblBorders>
        <w:top w:val="single" w:color="F68C95" w:themeColor="accent6" w:themeTint="99" w:sz="4" w:space="0"/>
        <w:bottom w:val="single" w:color="F68C95" w:themeColor="accent6" w:themeTint="99" w:sz="4" w:space="0"/>
        <w:insideH w:val="single" w:color="F68C95"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8DB" w:themeFill="accent6" w:themeFillTint="33"/>
      </w:tcPr>
    </w:tblStylePr>
    <w:tblStylePr w:type="band1Horz">
      <w:tblPr/>
      <w:tcPr>
        <w:shd w:val="clear" w:color="auto" w:fill="FCD8DB" w:themeFill="accent6" w:themeFillTint="33"/>
      </w:tcPr>
    </w:tblStylePr>
  </w:style>
  <w:style w:type="table" w:styleId="ListTable3">
    <w:name w:val="List Table 3"/>
    <w:basedOn w:val="TableNormal"/>
    <w:uiPriority w:val="48"/>
    <w:semiHidden/>
    <w:rsid w:val="0058629F"/>
    <w:pPr>
      <w:spacing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semiHidden/>
    <w:rsid w:val="0058629F"/>
    <w:pPr>
      <w:spacing w:line="240" w:lineRule="auto"/>
    </w:pPr>
    <w:tblPr>
      <w:tblStyleRowBandSize w:val="1"/>
      <w:tblStyleColBandSize w:val="1"/>
      <w:tblBorders>
        <w:top w:val="single" w:color="103A36" w:themeColor="accent1" w:sz="4" w:space="0"/>
        <w:left w:val="single" w:color="103A36" w:themeColor="accent1" w:sz="4" w:space="0"/>
        <w:bottom w:val="single" w:color="103A36" w:themeColor="accent1" w:sz="4" w:space="0"/>
        <w:right w:val="single" w:color="103A36" w:themeColor="accent1" w:sz="4" w:space="0"/>
      </w:tblBorders>
    </w:tblPr>
    <w:tblStylePr w:type="firstRow">
      <w:rPr>
        <w:b/>
        <w:bCs/>
        <w:color w:val="FFFFFF" w:themeColor="background1"/>
      </w:rPr>
      <w:tblPr/>
      <w:tcPr>
        <w:shd w:val="clear" w:color="auto" w:fill="103A36" w:themeFill="accent1"/>
      </w:tcPr>
    </w:tblStylePr>
    <w:tblStylePr w:type="lastRow">
      <w:rPr>
        <w:b/>
        <w:bCs/>
      </w:rPr>
      <w:tblPr/>
      <w:tcPr>
        <w:tcBorders>
          <w:top w:val="double" w:color="103A36"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03A36" w:themeColor="accent1" w:sz="4" w:space="0"/>
          <w:right w:val="single" w:color="103A36" w:themeColor="accent1" w:sz="4" w:space="0"/>
        </w:tcBorders>
      </w:tcPr>
    </w:tblStylePr>
    <w:tblStylePr w:type="band1Horz">
      <w:tblPr/>
      <w:tcPr>
        <w:tcBorders>
          <w:top w:val="single" w:color="103A36" w:themeColor="accent1" w:sz="4" w:space="0"/>
          <w:bottom w:val="single" w:color="103A36"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03A36" w:themeColor="accent1" w:sz="4" w:space="0"/>
          <w:left w:val="nil"/>
        </w:tcBorders>
      </w:tcPr>
    </w:tblStylePr>
    <w:tblStylePr w:type="swCell">
      <w:tblPr/>
      <w:tcPr>
        <w:tcBorders>
          <w:top w:val="double" w:color="103A36" w:themeColor="accent1" w:sz="4" w:space="0"/>
          <w:right w:val="nil"/>
        </w:tcBorders>
      </w:tcPr>
    </w:tblStylePr>
  </w:style>
  <w:style w:type="table" w:styleId="ListTable3-Accent2">
    <w:name w:val="List Table 3 Accent 2"/>
    <w:basedOn w:val="TableNormal"/>
    <w:uiPriority w:val="48"/>
    <w:semiHidden/>
    <w:rsid w:val="0058629F"/>
    <w:pPr>
      <w:spacing w:line="240" w:lineRule="auto"/>
    </w:pPr>
    <w:tblPr>
      <w:tblStyleRowBandSize w:val="1"/>
      <w:tblStyleColBandSize w:val="1"/>
      <w:tblBorders>
        <w:top w:val="single" w:color="009364" w:themeColor="accent2" w:sz="4" w:space="0"/>
        <w:left w:val="single" w:color="009364" w:themeColor="accent2" w:sz="4" w:space="0"/>
        <w:bottom w:val="single" w:color="009364" w:themeColor="accent2" w:sz="4" w:space="0"/>
        <w:right w:val="single" w:color="009364" w:themeColor="accent2" w:sz="4" w:space="0"/>
      </w:tblBorders>
    </w:tblPr>
    <w:tblStylePr w:type="firstRow">
      <w:rPr>
        <w:b/>
        <w:bCs/>
        <w:color w:val="FFFFFF" w:themeColor="background1"/>
      </w:rPr>
      <w:tblPr/>
      <w:tcPr>
        <w:shd w:val="clear" w:color="auto" w:fill="009364" w:themeFill="accent2"/>
      </w:tcPr>
    </w:tblStylePr>
    <w:tblStylePr w:type="lastRow">
      <w:rPr>
        <w:b/>
        <w:bCs/>
      </w:rPr>
      <w:tblPr/>
      <w:tcPr>
        <w:tcBorders>
          <w:top w:val="double" w:color="009364"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9364" w:themeColor="accent2" w:sz="4" w:space="0"/>
          <w:right w:val="single" w:color="009364" w:themeColor="accent2" w:sz="4" w:space="0"/>
        </w:tcBorders>
      </w:tcPr>
    </w:tblStylePr>
    <w:tblStylePr w:type="band1Horz">
      <w:tblPr/>
      <w:tcPr>
        <w:tcBorders>
          <w:top w:val="single" w:color="009364" w:themeColor="accent2" w:sz="4" w:space="0"/>
          <w:bottom w:val="single" w:color="009364"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9364" w:themeColor="accent2" w:sz="4" w:space="0"/>
          <w:left w:val="nil"/>
        </w:tcBorders>
      </w:tcPr>
    </w:tblStylePr>
    <w:tblStylePr w:type="swCell">
      <w:tblPr/>
      <w:tcPr>
        <w:tcBorders>
          <w:top w:val="double" w:color="009364" w:themeColor="accent2" w:sz="4" w:space="0"/>
          <w:right w:val="nil"/>
        </w:tcBorders>
      </w:tcPr>
    </w:tblStylePr>
  </w:style>
  <w:style w:type="table" w:styleId="ListTable3-Accent3">
    <w:name w:val="List Table 3 Accent 3"/>
    <w:basedOn w:val="TableNormal"/>
    <w:uiPriority w:val="48"/>
    <w:semiHidden/>
    <w:rsid w:val="0058629F"/>
    <w:pPr>
      <w:spacing w:line="240" w:lineRule="auto"/>
    </w:pPr>
    <w:tblPr>
      <w:tblStyleRowBandSize w:val="1"/>
      <w:tblStyleColBandSize w:val="1"/>
      <w:tblBorders>
        <w:top w:val="single" w:color="F6E265" w:themeColor="accent3" w:sz="4" w:space="0"/>
        <w:left w:val="single" w:color="F6E265" w:themeColor="accent3" w:sz="4" w:space="0"/>
        <w:bottom w:val="single" w:color="F6E265" w:themeColor="accent3" w:sz="4" w:space="0"/>
        <w:right w:val="single" w:color="F6E265" w:themeColor="accent3" w:sz="4" w:space="0"/>
      </w:tblBorders>
    </w:tblPr>
    <w:tblStylePr w:type="firstRow">
      <w:rPr>
        <w:b/>
        <w:bCs/>
        <w:color w:val="FFFFFF" w:themeColor="background1"/>
      </w:rPr>
      <w:tblPr/>
      <w:tcPr>
        <w:shd w:val="clear" w:color="auto" w:fill="F6E265" w:themeFill="accent3"/>
      </w:tcPr>
    </w:tblStylePr>
    <w:tblStylePr w:type="lastRow">
      <w:rPr>
        <w:b/>
        <w:bCs/>
      </w:rPr>
      <w:tblPr/>
      <w:tcPr>
        <w:tcBorders>
          <w:top w:val="double" w:color="F6E26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6E265" w:themeColor="accent3" w:sz="4" w:space="0"/>
          <w:right w:val="single" w:color="F6E265" w:themeColor="accent3" w:sz="4" w:space="0"/>
        </w:tcBorders>
      </w:tcPr>
    </w:tblStylePr>
    <w:tblStylePr w:type="band1Horz">
      <w:tblPr/>
      <w:tcPr>
        <w:tcBorders>
          <w:top w:val="single" w:color="F6E265" w:themeColor="accent3" w:sz="4" w:space="0"/>
          <w:bottom w:val="single" w:color="F6E26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6E265" w:themeColor="accent3" w:sz="4" w:space="0"/>
          <w:left w:val="nil"/>
        </w:tcBorders>
      </w:tcPr>
    </w:tblStylePr>
    <w:tblStylePr w:type="swCell">
      <w:tblPr/>
      <w:tcPr>
        <w:tcBorders>
          <w:top w:val="double" w:color="F6E265" w:themeColor="accent3" w:sz="4" w:space="0"/>
          <w:right w:val="nil"/>
        </w:tcBorders>
      </w:tcPr>
    </w:tblStylePr>
  </w:style>
  <w:style w:type="table" w:styleId="ListTable3-Accent4">
    <w:name w:val="List Table 3 Accent 4"/>
    <w:basedOn w:val="TableNormal"/>
    <w:uiPriority w:val="48"/>
    <w:semiHidden/>
    <w:rsid w:val="0058629F"/>
    <w:pPr>
      <w:spacing w:line="240" w:lineRule="auto"/>
    </w:pPr>
    <w:tblPr>
      <w:tblStyleRowBandSize w:val="1"/>
      <w:tblStyleColBandSize w:val="1"/>
      <w:tblBorders>
        <w:top w:val="single" w:color="FFC677" w:themeColor="accent4" w:sz="4" w:space="0"/>
        <w:left w:val="single" w:color="FFC677" w:themeColor="accent4" w:sz="4" w:space="0"/>
        <w:bottom w:val="single" w:color="FFC677" w:themeColor="accent4" w:sz="4" w:space="0"/>
        <w:right w:val="single" w:color="FFC677" w:themeColor="accent4" w:sz="4" w:space="0"/>
      </w:tblBorders>
    </w:tblPr>
    <w:tblStylePr w:type="firstRow">
      <w:rPr>
        <w:b/>
        <w:bCs/>
        <w:color w:val="FFFFFF" w:themeColor="background1"/>
      </w:rPr>
      <w:tblPr/>
      <w:tcPr>
        <w:shd w:val="clear" w:color="auto" w:fill="FFC677" w:themeFill="accent4"/>
      </w:tcPr>
    </w:tblStylePr>
    <w:tblStylePr w:type="lastRow">
      <w:rPr>
        <w:b/>
        <w:bCs/>
      </w:rPr>
      <w:tblPr/>
      <w:tcPr>
        <w:tcBorders>
          <w:top w:val="double" w:color="FFC677"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C677" w:themeColor="accent4" w:sz="4" w:space="0"/>
          <w:right w:val="single" w:color="FFC677" w:themeColor="accent4" w:sz="4" w:space="0"/>
        </w:tcBorders>
      </w:tcPr>
    </w:tblStylePr>
    <w:tblStylePr w:type="band1Horz">
      <w:tblPr/>
      <w:tcPr>
        <w:tcBorders>
          <w:top w:val="single" w:color="FFC677" w:themeColor="accent4" w:sz="4" w:space="0"/>
          <w:bottom w:val="single" w:color="FFC677"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C677" w:themeColor="accent4" w:sz="4" w:space="0"/>
          <w:left w:val="nil"/>
        </w:tcBorders>
      </w:tcPr>
    </w:tblStylePr>
    <w:tblStylePr w:type="swCell">
      <w:tblPr/>
      <w:tcPr>
        <w:tcBorders>
          <w:top w:val="double" w:color="FFC677" w:themeColor="accent4" w:sz="4" w:space="0"/>
          <w:right w:val="nil"/>
        </w:tcBorders>
      </w:tcPr>
    </w:tblStylePr>
  </w:style>
  <w:style w:type="table" w:styleId="ListTable3-Accent5">
    <w:name w:val="List Table 3 Accent 5"/>
    <w:basedOn w:val="TableNormal"/>
    <w:uiPriority w:val="48"/>
    <w:semiHidden/>
    <w:rsid w:val="0058629F"/>
    <w:pPr>
      <w:spacing w:line="240" w:lineRule="auto"/>
    </w:pPr>
    <w:tblPr>
      <w:tblStyleRowBandSize w:val="1"/>
      <w:tblStyleColBandSize w:val="1"/>
      <w:tblBorders>
        <w:top w:val="single" w:color="FF7A34" w:themeColor="accent5" w:sz="4" w:space="0"/>
        <w:left w:val="single" w:color="FF7A34" w:themeColor="accent5" w:sz="4" w:space="0"/>
        <w:bottom w:val="single" w:color="FF7A34" w:themeColor="accent5" w:sz="4" w:space="0"/>
        <w:right w:val="single" w:color="FF7A34" w:themeColor="accent5" w:sz="4" w:space="0"/>
      </w:tblBorders>
    </w:tblPr>
    <w:tblStylePr w:type="firstRow">
      <w:rPr>
        <w:b/>
        <w:bCs/>
        <w:color w:val="FFFFFF" w:themeColor="background1"/>
      </w:rPr>
      <w:tblPr/>
      <w:tcPr>
        <w:shd w:val="clear" w:color="auto" w:fill="FF7A34" w:themeFill="accent5"/>
      </w:tcPr>
    </w:tblStylePr>
    <w:tblStylePr w:type="lastRow">
      <w:rPr>
        <w:b/>
        <w:bCs/>
      </w:rPr>
      <w:tblPr/>
      <w:tcPr>
        <w:tcBorders>
          <w:top w:val="double" w:color="FF7A3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7A34" w:themeColor="accent5" w:sz="4" w:space="0"/>
          <w:right w:val="single" w:color="FF7A34" w:themeColor="accent5" w:sz="4" w:space="0"/>
        </w:tcBorders>
      </w:tcPr>
    </w:tblStylePr>
    <w:tblStylePr w:type="band1Horz">
      <w:tblPr/>
      <w:tcPr>
        <w:tcBorders>
          <w:top w:val="single" w:color="FF7A34" w:themeColor="accent5" w:sz="4" w:space="0"/>
          <w:bottom w:val="single" w:color="FF7A3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7A34" w:themeColor="accent5" w:sz="4" w:space="0"/>
          <w:left w:val="nil"/>
        </w:tcBorders>
      </w:tcPr>
    </w:tblStylePr>
    <w:tblStylePr w:type="swCell">
      <w:tblPr/>
      <w:tcPr>
        <w:tcBorders>
          <w:top w:val="double" w:color="FF7A34" w:themeColor="accent5" w:sz="4" w:space="0"/>
          <w:right w:val="nil"/>
        </w:tcBorders>
      </w:tcPr>
    </w:tblStylePr>
  </w:style>
  <w:style w:type="table" w:styleId="ListTable3-Accent6">
    <w:name w:val="List Table 3 Accent 6"/>
    <w:basedOn w:val="TableNormal"/>
    <w:uiPriority w:val="48"/>
    <w:semiHidden/>
    <w:rsid w:val="0058629F"/>
    <w:pPr>
      <w:spacing w:line="240" w:lineRule="auto"/>
    </w:pPr>
    <w:tblPr>
      <w:tblStyleRowBandSize w:val="1"/>
      <w:tblStyleColBandSize w:val="1"/>
      <w:tblBorders>
        <w:top w:val="single" w:color="F0404F" w:themeColor="accent6" w:sz="4" w:space="0"/>
        <w:left w:val="single" w:color="F0404F" w:themeColor="accent6" w:sz="4" w:space="0"/>
        <w:bottom w:val="single" w:color="F0404F" w:themeColor="accent6" w:sz="4" w:space="0"/>
        <w:right w:val="single" w:color="F0404F" w:themeColor="accent6" w:sz="4" w:space="0"/>
      </w:tblBorders>
    </w:tblPr>
    <w:tblStylePr w:type="firstRow">
      <w:rPr>
        <w:b/>
        <w:bCs/>
        <w:color w:val="FFFFFF" w:themeColor="background1"/>
      </w:rPr>
      <w:tblPr/>
      <w:tcPr>
        <w:shd w:val="clear" w:color="auto" w:fill="F0404F" w:themeFill="accent6"/>
      </w:tcPr>
    </w:tblStylePr>
    <w:tblStylePr w:type="lastRow">
      <w:rPr>
        <w:b/>
        <w:bCs/>
      </w:rPr>
      <w:tblPr/>
      <w:tcPr>
        <w:tcBorders>
          <w:top w:val="double" w:color="F0404F"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0404F" w:themeColor="accent6" w:sz="4" w:space="0"/>
          <w:right w:val="single" w:color="F0404F" w:themeColor="accent6" w:sz="4" w:space="0"/>
        </w:tcBorders>
      </w:tcPr>
    </w:tblStylePr>
    <w:tblStylePr w:type="band1Horz">
      <w:tblPr/>
      <w:tcPr>
        <w:tcBorders>
          <w:top w:val="single" w:color="F0404F" w:themeColor="accent6" w:sz="4" w:space="0"/>
          <w:bottom w:val="single" w:color="F0404F"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0404F" w:themeColor="accent6" w:sz="4" w:space="0"/>
          <w:left w:val="nil"/>
        </w:tcBorders>
      </w:tcPr>
    </w:tblStylePr>
    <w:tblStylePr w:type="swCell">
      <w:tblPr/>
      <w:tcPr>
        <w:tcBorders>
          <w:top w:val="double" w:color="F0404F" w:themeColor="accent6" w:sz="4" w:space="0"/>
          <w:right w:val="nil"/>
        </w:tcBorders>
      </w:tcPr>
    </w:tblStylePr>
  </w:style>
  <w:style w:type="table" w:styleId="ListTable4">
    <w:name w:val="List Table 4"/>
    <w:basedOn w:val="TableNormal"/>
    <w:uiPriority w:val="49"/>
    <w:semiHidden/>
    <w:rsid w:val="0058629F"/>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pPr>
      <w:spacing w:line="240" w:lineRule="auto"/>
    </w:pPr>
    <w:tblPr>
      <w:tblStyleRowBandSize w:val="1"/>
      <w:tblStyleColBandSize w:val="1"/>
      <w:tblBorders>
        <w:top w:val="single" w:color="35C2B4" w:themeColor="accent1" w:themeTint="99" w:sz="4" w:space="0"/>
        <w:left w:val="single" w:color="35C2B4" w:themeColor="accent1" w:themeTint="99" w:sz="4" w:space="0"/>
        <w:bottom w:val="single" w:color="35C2B4" w:themeColor="accent1" w:themeTint="99" w:sz="4" w:space="0"/>
        <w:right w:val="single" w:color="35C2B4" w:themeColor="accent1" w:themeTint="99" w:sz="4" w:space="0"/>
        <w:insideH w:val="single" w:color="35C2B4" w:themeColor="accent1" w:themeTint="99" w:sz="4" w:space="0"/>
      </w:tblBorders>
    </w:tblPr>
    <w:tblStylePr w:type="firstRow">
      <w:rPr>
        <w:b/>
        <w:bCs/>
        <w:color w:val="FFFFFF" w:themeColor="background1"/>
      </w:rPr>
      <w:tblPr/>
      <w:tcPr>
        <w:tcBorders>
          <w:top w:val="single" w:color="103A36" w:themeColor="accent1" w:sz="4" w:space="0"/>
          <w:left w:val="single" w:color="103A36" w:themeColor="accent1" w:sz="4" w:space="0"/>
          <w:bottom w:val="single" w:color="103A36" w:themeColor="accent1" w:sz="4" w:space="0"/>
          <w:right w:val="single" w:color="103A36" w:themeColor="accent1" w:sz="4" w:space="0"/>
          <w:insideH w:val="nil"/>
        </w:tcBorders>
        <w:shd w:val="clear" w:color="auto" w:fill="103A36" w:themeFill="accent1"/>
      </w:tcPr>
    </w:tblStylePr>
    <w:tblStylePr w:type="lastRow">
      <w:rPr>
        <w:b/>
        <w:bCs/>
      </w:rPr>
      <w:tblPr/>
      <w:tcPr>
        <w:tcBorders>
          <w:top w:val="double" w:color="35C2B4" w:themeColor="accent1" w:themeTint="99" w:sz="4" w:space="0"/>
        </w:tcBorders>
      </w:tcPr>
    </w:tblStylePr>
    <w:tblStylePr w:type="firstCol">
      <w:rPr>
        <w:b/>
        <w:bCs/>
      </w:rPr>
    </w:tblStylePr>
    <w:tblStylePr w:type="lastCol">
      <w:rPr>
        <w:b/>
        <w:bCs/>
      </w:rPr>
    </w:tblStylePr>
    <w:tblStylePr w:type="band1Vert">
      <w:tblPr/>
      <w:tcPr>
        <w:shd w:val="clear" w:color="auto" w:fill="BAECE7" w:themeFill="accent1" w:themeFillTint="33"/>
      </w:tcPr>
    </w:tblStylePr>
    <w:tblStylePr w:type="band1Horz">
      <w:tblPr/>
      <w:tcPr>
        <w:shd w:val="clear" w:color="auto" w:fill="BAECE7" w:themeFill="accent1" w:themeFillTint="33"/>
      </w:tcPr>
    </w:tblStylePr>
  </w:style>
  <w:style w:type="table" w:styleId="ListTable4-Accent2">
    <w:name w:val="List Table 4 Accent 2"/>
    <w:basedOn w:val="TableNormal"/>
    <w:uiPriority w:val="49"/>
    <w:semiHidden/>
    <w:rsid w:val="0058629F"/>
    <w:pPr>
      <w:spacing w:line="240" w:lineRule="auto"/>
    </w:pPr>
    <w:tblPr>
      <w:tblStyleRowBandSize w:val="1"/>
      <w:tblStyleColBandSize w:val="1"/>
      <w:tblBorders>
        <w:top w:val="single" w:color="25FFB8" w:themeColor="accent2" w:themeTint="99" w:sz="4" w:space="0"/>
        <w:left w:val="single" w:color="25FFB8" w:themeColor="accent2" w:themeTint="99" w:sz="4" w:space="0"/>
        <w:bottom w:val="single" w:color="25FFB8" w:themeColor="accent2" w:themeTint="99" w:sz="4" w:space="0"/>
        <w:right w:val="single" w:color="25FFB8" w:themeColor="accent2" w:themeTint="99" w:sz="4" w:space="0"/>
        <w:insideH w:val="single" w:color="25FFB8" w:themeColor="accent2" w:themeTint="99" w:sz="4" w:space="0"/>
      </w:tblBorders>
    </w:tblPr>
    <w:tblStylePr w:type="firstRow">
      <w:rPr>
        <w:b/>
        <w:bCs/>
        <w:color w:val="FFFFFF" w:themeColor="background1"/>
      </w:rPr>
      <w:tblPr/>
      <w:tcPr>
        <w:tcBorders>
          <w:top w:val="single" w:color="009364" w:themeColor="accent2" w:sz="4" w:space="0"/>
          <w:left w:val="single" w:color="009364" w:themeColor="accent2" w:sz="4" w:space="0"/>
          <w:bottom w:val="single" w:color="009364" w:themeColor="accent2" w:sz="4" w:space="0"/>
          <w:right w:val="single" w:color="009364" w:themeColor="accent2" w:sz="4" w:space="0"/>
          <w:insideH w:val="nil"/>
        </w:tcBorders>
        <w:shd w:val="clear" w:color="auto" w:fill="009364" w:themeFill="accent2"/>
      </w:tcPr>
    </w:tblStylePr>
    <w:tblStylePr w:type="lastRow">
      <w:rPr>
        <w:b/>
        <w:bCs/>
      </w:rPr>
      <w:tblPr/>
      <w:tcPr>
        <w:tcBorders>
          <w:top w:val="double" w:color="25FFB8" w:themeColor="accent2" w:themeTint="99" w:sz="4" w:space="0"/>
        </w:tcBorders>
      </w:tcPr>
    </w:tblStylePr>
    <w:tblStylePr w:type="firstCol">
      <w:rPr>
        <w:b/>
        <w:bCs/>
      </w:rPr>
    </w:tblStylePr>
    <w:tblStylePr w:type="lastCol">
      <w:rPr>
        <w:b/>
        <w:bCs/>
      </w:rPr>
    </w:tblStylePr>
    <w:tblStylePr w:type="band1Vert">
      <w:tblPr/>
      <w:tcPr>
        <w:shd w:val="clear" w:color="auto" w:fill="B6FFE7" w:themeFill="accent2" w:themeFillTint="33"/>
      </w:tcPr>
    </w:tblStylePr>
    <w:tblStylePr w:type="band1Horz">
      <w:tblPr/>
      <w:tcPr>
        <w:shd w:val="clear" w:color="auto" w:fill="B6FFE7" w:themeFill="accent2" w:themeFillTint="33"/>
      </w:tc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color="F9EDA2" w:themeColor="accent3" w:themeTint="99" w:sz="4" w:space="0"/>
        <w:left w:val="single" w:color="F9EDA2" w:themeColor="accent3" w:themeTint="99" w:sz="4" w:space="0"/>
        <w:bottom w:val="single" w:color="F9EDA2" w:themeColor="accent3" w:themeTint="99" w:sz="4" w:space="0"/>
        <w:right w:val="single" w:color="F9EDA2" w:themeColor="accent3" w:themeTint="99" w:sz="4" w:space="0"/>
        <w:insideH w:val="single" w:color="F9EDA2" w:themeColor="accent3" w:themeTint="99" w:sz="4" w:space="0"/>
      </w:tblBorders>
    </w:tblPr>
    <w:tblStylePr w:type="firstRow">
      <w:rPr>
        <w:b/>
        <w:bCs/>
        <w:color w:val="FFFFFF" w:themeColor="background1"/>
      </w:rPr>
      <w:tblPr/>
      <w:tcPr>
        <w:tcBorders>
          <w:top w:val="single" w:color="F6E265" w:themeColor="accent3" w:sz="4" w:space="0"/>
          <w:left w:val="single" w:color="F6E265" w:themeColor="accent3" w:sz="4" w:space="0"/>
          <w:bottom w:val="single" w:color="F6E265" w:themeColor="accent3" w:sz="4" w:space="0"/>
          <w:right w:val="single" w:color="F6E265" w:themeColor="accent3" w:sz="4" w:space="0"/>
          <w:insideH w:val="nil"/>
        </w:tcBorders>
        <w:shd w:val="clear" w:color="auto" w:fill="F6E265" w:themeFill="accent3"/>
      </w:tcPr>
    </w:tblStylePr>
    <w:tblStylePr w:type="lastRow">
      <w:rPr>
        <w:b/>
        <w:bCs/>
      </w:rPr>
      <w:tblPr/>
      <w:tcPr>
        <w:tcBorders>
          <w:top w:val="double" w:color="F9EDA2" w:themeColor="accent3" w:themeTint="99" w:sz="4" w:space="0"/>
        </w:tcBorders>
      </w:tcPr>
    </w:tblStylePr>
    <w:tblStylePr w:type="firstCol">
      <w:rPr>
        <w:b/>
        <w:bCs/>
      </w:rPr>
    </w:tblStylePr>
    <w:tblStylePr w:type="lastCol">
      <w:rPr>
        <w:b/>
        <w:bCs/>
      </w:rPr>
    </w:tblStylePr>
    <w:tblStylePr w:type="band1Vert">
      <w:tblPr/>
      <w:tcPr>
        <w:shd w:val="clear" w:color="auto" w:fill="FDF9E0" w:themeFill="accent3" w:themeFillTint="33"/>
      </w:tcPr>
    </w:tblStylePr>
    <w:tblStylePr w:type="band1Horz">
      <w:tblPr/>
      <w:tcPr>
        <w:shd w:val="clear" w:color="auto" w:fill="FDF9E0"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color="FFDCAD" w:themeColor="accent4" w:themeTint="99" w:sz="4" w:space="0"/>
        <w:left w:val="single" w:color="FFDCAD" w:themeColor="accent4" w:themeTint="99" w:sz="4" w:space="0"/>
        <w:bottom w:val="single" w:color="FFDCAD" w:themeColor="accent4" w:themeTint="99" w:sz="4" w:space="0"/>
        <w:right w:val="single" w:color="FFDCAD" w:themeColor="accent4" w:themeTint="99" w:sz="4" w:space="0"/>
        <w:insideH w:val="single" w:color="FFDCAD" w:themeColor="accent4" w:themeTint="99" w:sz="4" w:space="0"/>
      </w:tblBorders>
    </w:tblPr>
    <w:tblStylePr w:type="firstRow">
      <w:rPr>
        <w:b/>
        <w:bCs/>
        <w:color w:val="FFFFFF" w:themeColor="background1"/>
      </w:rPr>
      <w:tblPr/>
      <w:tcPr>
        <w:tcBorders>
          <w:top w:val="single" w:color="FFC677" w:themeColor="accent4" w:sz="4" w:space="0"/>
          <w:left w:val="single" w:color="FFC677" w:themeColor="accent4" w:sz="4" w:space="0"/>
          <w:bottom w:val="single" w:color="FFC677" w:themeColor="accent4" w:sz="4" w:space="0"/>
          <w:right w:val="single" w:color="FFC677" w:themeColor="accent4" w:sz="4" w:space="0"/>
          <w:insideH w:val="nil"/>
        </w:tcBorders>
        <w:shd w:val="clear" w:color="auto" w:fill="FFC677" w:themeFill="accent4"/>
      </w:tcPr>
    </w:tblStylePr>
    <w:tblStylePr w:type="lastRow">
      <w:rPr>
        <w:b/>
        <w:bCs/>
      </w:rPr>
      <w:tblPr/>
      <w:tcPr>
        <w:tcBorders>
          <w:top w:val="double" w:color="FFDCAD" w:themeColor="accent4" w:themeTint="99" w:sz="4" w:space="0"/>
        </w:tcBorders>
      </w:tcPr>
    </w:tblStylePr>
    <w:tblStylePr w:type="firstCol">
      <w:rPr>
        <w:b/>
        <w:bCs/>
      </w:rPr>
    </w:tblStylePr>
    <w:tblStylePr w:type="lastCol">
      <w:rPr>
        <w:b/>
        <w:bCs/>
      </w:rPr>
    </w:tblStylePr>
    <w:tblStylePr w:type="band1Vert">
      <w:tblPr/>
      <w:tcPr>
        <w:shd w:val="clear" w:color="auto" w:fill="FFF3E3" w:themeFill="accent4" w:themeFillTint="33"/>
      </w:tcPr>
    </w:tblStylePr>
    <w:tblStylePr w:type="band1Horz">
      <w:tblPr/>
      <w:tcPr>
        <w:shd w:val="clear" w:color="auto" w:fill="FFF3E3"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color="FFAE85" w:themeColor="accent5" w:themeTint="99" w:sz="4" w:space="0"/>
        <w:left w:val="single" w:color="FFAE85" w:themeColor="accent5" w:themeTint="99" w:sz="4" w:space="0"/>
        <w:bottom w:val="single" w:color="FFAE85" w:themeColor="accent5" w:themeTint="99" w:sz="4" w:space="0"/>
        <w:right w:val="single" w:color="FFAE85" w:themeColor="accent5" w:themeTint="99" w:sz="4" w:space="0"/>
        <w:insideH w:val="single" w:color="FFAE85" w:themeColor="accent5" w:themeTint="99" w:sz="4" w:space="0"/>
      </w:tblBorders>
    </w:tblPr>
    <w:tblStylePr w:type="firstRow">
      <w:rPr>
        <w:b/>
        <w:bCs/>
        <w:color w:val="FFFFFF" w:themeColor="background1"/>
      </w:rPr>
      <w:tblPr/>
      <w:tcPr>
        <w:tcBorders>
          <w:top w:val="single" w:color="FF7A34" w:themeColor="accent5" w:sz="4" w:space="0"/>
          <w:left w:val="single" w:color="FF7A34" w:themeColor="accent5" w:sz="4" w:space="0"/>
          <w:bottom w:val="single" w:color="FF7A34" w:themeColor="accent5" w:sz="4" w:space="0"/>
          <w:right w:val="single" w:color="FF7A34" w:themeColor="accent5" w:sz="4" w:space="0"/>
          <w:insideH w:val="nil"/>
        </w:tcBorders>
        <w:shd w:val="clear" w:color="auto" w:fill="FF7A34" w:themeFill="accent5"/>
      </w:tcPr>
    </w:tblStylePr>
    <w:tblStylePr w:type="lastRow">
      <w:rPr>
        <w:b/>
        <w:bCs/>
      </w:rPr>
      <w:tblPr/>
      <w:tcPr>
        <w:tcBorders>
          <w:top w:val="double" w:color="FFAE85" w:themeColor="accent5" w:themeTint="99" w:sz="4" w:space="0"/>
        </w:tcBorders>
      </w:tcPr>
    </w:tblStylePr>
    <w:tblStylePr w:type="firstCol">
      <w:rPr>
        <w:b/>
        <w:bCs/>
      </w:rPr>
    </w:tblStylePr>
    <w:tblStylePr w:type="lastCol">
      <w:rPr>
        <w:b/>
        <w:bCs/>
      </w:rPr>
    </w:tblStylePr>
    <w:tblStylePr w:type="band1Vert">
      <w:tblPr/>
      <w:tcPr>
        <w:shd w:val="clear" w:color="auto" w:fill="FFE4D6" w:themeFill="accent5" w:themeFillTint="33"/>
      </w:tcPr>
    </w:tblStylePr>
    <w:tblStylePr w:type="band1Horz">
      <w:tblPr/>
      <w:tcPr>
        <w:shd w:val="clear" w:color="auto" w:fill="FFE4D6"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color="F68C95" w:themeColor="accent6" w:themeTint="99" w:sz="4" w:space="0"/>
        <w:left w:val="single" w:color="F68C95" w:themeColor="accent6" w:themeTint="99" w:sz="4" w:space="0"/>
        <w:bottom w:val="single" w:color="F68C95" w:themeColor="accent6" w:themeTint="99" w:sz="4" w:space="0"/>
        <w:right w:val="single" w:color="F68C95" w:themeColor="accent6" w:themeTint="99" w:sz="4" w:space="0"/>
        <w:insideH w:val="single" w:color="F68C95" w:themeColor="accent6" w:themeTint="99" w:sz="4" w:space="0"/>
      </w:tblBorders>
    </w:tblPr>
    <w:tblStylePr w:type="firstRow">
      <w:rPr>
        <w:b/>
        <w:bCs/>
        <w:color w:val="FFFFFF" w:themeColor="background1"/>
      </w:rPr>
      <w:tblPr/>
      <w:tcPr>
        <w:tcBorders>
          <w:top w:val="single" w:color="F0404F" w:themeColor="accent6" w:sz="4" w:space="0"/>
          <w:left w:val="single" w:color="F0404F" w:themeColor="accent6" w:sz="4" w:space="0"/>
          <w:bottom w:val="single" w:color="F0404F" w:themeColor="accent6" w:sz="4" w:space="0"/>
          <w:right w:val="single" w:color="F0404F" w:themeColor="accent6" w:sz="4" w:space="0"/>
          <w:insideH w:val="nil"/>
        </w:tcBorders>
        <w:shd w:val="clear" w:color="auto" w:fill="F0404F" w:themeFill="accent6"/>
      </w:tcPr>
    </w:tblStylePr>
    <w:tblStylePr w:type="lastRow">
      <w:rPr>
        <w:b/>
        <w:bCs/>
      </w:rPr>
      <w:tblPr/>
      <w:tcPr>
        <w:tcBorders>
          <w:top w:val="double" w:color="F68C95" w:themeColor="accent6" w:themeTint="99" w:sz="4" w:space="0"/>
        </w:tcBorders>
      </w:tcPr>
    </w:tblStylePr>
    <w:tblStylePr w:type="firstCol">
      <w:rPr>
        <w:b/>
        <w:bCs/>
      </w:rPr>
    </w:tblStylePr>
    <w:tblStylePr w:type="lastCol">
      <w:rPr>
        <w:b/>
        <w:bCs/>
      </w:rPr>
    </w:tblStylePr>
    <w:tblStylePr w:type="band1Vert">
      <w:tblPr/>
      <w:tcPr>
        <w:shd w:val="clear" w:color="auto" w:fill="FCD8DB" w:themeFill="accent6" w:themeFillTint="33"/>
      </w:tcPr>
    </w:tblStylePr>
    <w:tblStylePr w:type="band1Horz">
      <w:tblPr/>
      <w:tcPr>
        <w:shd w:val="clear" w:color="auto" w:fill="FCD8DB"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Borders>
        <w:top w:val="single" w:color="103A36" w:themeColor="accent1" w:sz="24" w:space="0"/>
        <w:left w:val="single" w:color="103A36" w:themeColor="accent1" w:sz="24" w:space="0"/>
        <w:bottom w:val="single" w:color="103A36" w:themeColor="accent1" w:sz="24" w:space="0"/>
        <w:right w:val="single" w:color="103A36" w:themeColor="accent1" w:sz="24" w:space="0"/>
      </w:tblBorders>
    </w:tblPr>
    <w:tcPr>
      <w:shd w:val="clear" w:color="auto" w:fill="103A36"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Borders>
        <w:top w:val="single" w:color="009364" w:themeColor="accent2" w:sz="24" w:space="0"/>
        <w:left w:val="single" w:color="009364" w:themeColor="accent2" w:sz="24" w:space="0"/>
        <w:bottom w:val="single" w:color="009364" w:themeColor="accent2" w:sz="24" w:space="0"/>
        <w:right w:val="single" w:color="009364" w:themeColor="accent2" w:sz="24" w:space="0"/>
      </w:tblBorders>
    </w:tblPr>
    <w:tcPr>
      <w:shd w:val="clear" w:color="auto" w:fill="009364"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Borders>
        <w:top w:val="single" w:color="F6E265" w:themeColor="accent3" w:sz="24" w:space="0"/>
        <w:left w:val="single" w:color="F6E265" w:themeColor="accent3" w:sz="24" w:space="0"/>
        <w:bottom w:val="single" w:color="F6E265" w:themeColor="accent3" w:sz="24" w:space="0"/>
        <w:right w:val="single" w:color="F6E265" w:themeColor="accent3" w:sz="24" w:space="0"/>
      </w:tblBorders>
    </w:tblPr>
    <w:tcPr>
      <w:shd w:val="clear" w:color="auto" w:fill="F6E26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Borders>
        <w:top w:val="single" w:color="FFC677" w:themeColor="accent4" w:sz="24" w:space="0"/>
        <w:left w:val="single" w:color="FFC677" w:themeColor="accent4" w:sz="24" w:space="0"/>
        <w:bottom w:val="single" w:color="FFC677" w:themeColor="accent4" w:sz="24" w:space="0"/>
        <w:right w:val="single" w:color="FFC677" w:themeColor="accent4" w:sz="24" w:space="0"/>
      </w:tblBorders>
    </w:tblPr>
    <w:tcPr>
      <w:shd w:val="clear" w:color="auto" w:fill="FFC677"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Borders>
        <w:top w:val="single" w:color="FF7A34" w:themeColor="accent5" w:sz="24" w:space="0"/>
        <w:left w:val="single" w:color="FF7A34" w:themeColor="accent5" w:sz="24" w:space="0"/>
        <w:bottom w:val="single" w:color="FF7A34" w:themeColor="accent5" w:sz="24" w:space="0"/>
        <w:right w:val="single" w:color="FF7A34" w:themeColor="accent5" w:sz="24" w:space="0"/>
      </w:tblBorders>
    </w:tblPr>
    <w:tcPr>
      <w:shd w:val="clear" w:color="auto" w:fill="FF7A3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Borders>
        <w:top w:val="single" w:color="F0404F" w:themeColor="accent6" w:sz="24" w:space="0"/>
        <w:left w:val="single" w:color="F0404F" w:themeColor="accent6" w:sz="24" w:space="0"/>
        <w:bottom w:val="single" w:color="F0404F" w:themeColor="accent6" w:sz="24" w:space="0"/>
        <w:right w:val="single" w:color="F0404F" w:themeColor="accent6" w:sz="24" w:space="0"/>
      </w:tblBorders>
    </w:tblPr>
    <w:tcPr>
      <w:shd w:val="clear" w:color="auto" w:fill="F0404F"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0C2B28" w:themeColor="accent1" w:themeShade="BF"/>
    </w:rPr>
    <w:tblPr>
      <w:tblStyleRowBandSize w:val="1"/>
      <w:tblStyleColBandSize w:val="1"/>
      <w:tblBorders>
        <w:top w:val="single" w:color="103A36" w:themeColor="accent1" w:sz="4" w:space="0"/>
        <w:bottom w:val="single" w:color="103A36" w:themeColor="accent1" w:sz="4" w:space="0"/>
      </w:tblBorders>
    </w:tblPr>
    <w:tblStylePr w:type="firstRow">
      <w:rPr>
        <w:b/>
        <w:bCs/>
      </w:rPr>
      <w:tblPr/>
      <w:tcPr>
        <w:tcBorders>
          <w:bottom w:val="single" w:color="103A36" w:themeColor="accent1" w:sz="4" w:space="0"/>
        </w:tcBorders>
      </w:tcPr>
    </w:tblStylePr>
    <w:tblStylePr w:type="lastRow">
      <w:rPr>
        <w:b/>
        <w:bCs/>
      </w:rPr>
      <w:tblPr/>
      <w:tcPr>
        <w:tcBorders>
          <w:top w:val="double" w:color="103A36" w:themeColor="accent1" w:sz="4" w:space="0"/>
        </w:tcBorders>
      </w:tcPr>
    </w:tblStylePr>
    <w:tblStylePr w:type="firstCol">
      <w:rPr>
        <w:b/>
        <w:bCs/>
      </w:rPr>
    </w:tblStylePr>
    <w:tblStylePr w:type="lastCol">
      <w:rPr>
        <w:b/>
        <w:bCs/>
      </w:rPr>
    </w:tblStylePr>
    <w:tblStylePr w:type="band1Vert">
      <w:tblPr/>
      <w:tcPr>
        <w:shd w:val="clear" w:color="auto" w:fill="BAECE7" w:themeFill="accent1" w:themeFillTint="33"/>
      </w:tcPr>
    </w:tblStylePr>
    <w:tblStylePr w:type="band1Horz">
      <w:tblPr/>
      <w:tcPr>
        <w:shd w:val="clear" w:color="auto" w:fill="BAECE7"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006E4A" w:themeColor="accent2" w:themeShade="BF"/>
    </w:rPr>
    <w:tblPr>
      <w:tblStyleRowBandSize w:val="1"/>
      <w:tblStyleColBandSize w:val="1"/>
      <w:tblBorders>
        <w:top w:val="single" w:color="009364" w:themeColor="accent2" w:sz="4" w:space="0"/>
        <w:bottom w:val="single" w:color="009364" w:themeColor="accent2" w:sz="4" w:space="0"/>
      </w:tblBorders>
    </w:tblPr>
    <w:tblStylePr w:type="firstRow">
      <w:rPr>
        <w:b/>
        <w:bCs/>
      </w:rPr>
      <w:tblPr/>
      <w:tcPr>
        <w:tcBorders>
          <w:bottom w:val="single" w:color="009364" w:themeColor="accent2" w:sz="4" w:space="0"/>
        </w:tcBorders>
      </w:tcPr>
    </w:tblStylePr>
    <w:tblStylePr w:type="lastRow">
      <w:rPr>
        <w:b/>
        <w:bCs/>
      </w:rPr>
      <w:tblPr/>
      <w:tcPr>
        <w:tcBorders>
          <w:top w:val="double" w:color="009364" w:themeColor="accent2" w:sz="4" w:space="0"/>
        </w:tcBorders>
      </w:tcPr>
    </w:tblStylePr>
    <w:tblStylePr w:type="firstCol">
      <w:rPr>
        <w:b/>
        <w:bCs/>
      </w:rPr>
    </w:tblStylePr>
    <w:tblStylePr w:type="lastCol">
      <w:rPr>
        <w:b/>
        <w:bCs/>
      </w:rPr>
    </w:tblStylePr>
    <w:tblStylePr w:type="band1Vert">
      <w:tblPr/>
      <w:tcPr>
        <w:shd w:val="clear" w:color="auto" w:fill="B6FFE7" w:themeFill="accent2" w:themeFillTint="33"/>
      </w:tcPr>
    </w:tblStylePr>
    <w:tblStylePr w:type="band1Horz">
      <w:tblPr/>
      <w:tcPr>
        <w:shd w:val="clear" w:color="auto" w:fill="B6FFE7"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F1D112" w:themeColor="accent3" w:themeShade="BF"/>
    </w:rPr>
    <w:tblPr>
      <w:tblStyleRowBandSize w:val="1"/>
      <w:tblStyleColBandSize w:val="1"/>
      <w:tblBorders>
        <w:top w:val="single" w:color="F6E265" w:themeColor="accent3" w:sz="4" w:space="0"/>
        <w:bottom w:val="single" w:color="F6E265" w:themeColor="accent3" w:sz="4" w:space="0"/>
      </w:tblBorders>
    </w:tblPr>
    <w:tblStylePr w:type="firstRow">
      <w:rPr>
        <w:b/>
        <w:bCs/>
      </w:rPr>
      <w:tblPr/>
      <w:tcPr>
        <w:tcBorders>
          <w:bottom w:val="single" w:color="F6E265" w:themeColor="accent3" w:sz="4" w:space="0"/>
        </w:tcBorders>
      </w:tcPr>
    </w:tblStylePr>
    <w:tblStylePr w:type="lastRow">
      <w:rPr>
        <w:b/>
        <w:bCs/>
      </w:rPr>
      <w:tblPr/>
      <w:tcPr>
        <w:tcBorders>
          <w:top w:val="double" w:color="F6E265" w:themeColor="accent3" w:sz="4" w:space="0"/>
        </w:tcBorders>
      </w:tcPr>
    </w:tblStylePr>
    <w:tblStylePr w:type="firstCol">
      <w:rPr>
        <w:b/>
        <w:bCs/>
      </w:rPr>
    </w:tblStylePr>
    <w:tblStylePr w:type="lastCol">
      <w:rPr>
        <w:b/>
        <w:bCs/>
      </w:rPr>
    </w:tblStylePr>
    <w:tblStylePr w:type="band1Vert">
      <w:tblPr/>
      <w:tcPr>
        <w:shd w:val="clear" w:color="auto" w:fill="FDF9E0" w:themeFill="accent3" w:themeFillTint="33"/>
      </w:tcPr>
    </w:tblStylePr>
    <w:tblStylePr w:type="band1Horz">
      <w:tblPr/>
      <w:tcPr>
        <w:shd w:val="clear" w:color="auto" w:fill="FDF9E0"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FF9E19" w:themeColor="accent4" w:themeShade="BF"/>
    </w:rPr>
    <w:tblPr>
      <w:tblStyleRowBandSize w:val="1"/>
      <w:tblStyleColBandSize w:val="1"/>
      <w:tblBorders>
        <w:top w:val="single" w:color="FFC677" w:themeColor="accent4" w:sz="4" w:space="0"/>
        <w:bottom w:val="single" w:color="FFC677" w:themeColor="accent4" w:sz="4" w:space="0"/>
      </w:tblBorders>
    </w:tblPr>
    <w:tblStylePr w:type="firstRow">
      <w:rPr>
        <w:b/>
        <w:bCs/>
      </w:rPr>
      <w:tblPr/>
      <w:tcPr>
        <w:tcBorders>
          <w:bottom w:val="single" w:color="FFC677" w:themeColor="accent4" w:sz="4" w:space="0"/>
        </w:tcBorders>
      </w:tcPr>
    </w:tblStylePr>
    <w:tblStylePr w:type="lastRow">
      <w:rPr>
        <w:b/>
        <w:bCs/>
      </w:rPr>
      <w:tblPr/>
      <w:tcPr>
        <w:tcBorders>
          <w:top w:val="double" w:color="FFC677" w:themeColor="accent4" w:sz="4" w:space="0"/>
        </w:tcBorders>
      </w:tcPr>
    </w:tblStylePr>
    <w:tblStylePr w:type="firstCol">
      <w:rPr>
        <w:b/>
        <w:bCs/>
      </w:rPr>
    </w:tblStylePr>
    <w:tblStylePr w:type="lastCol">
      <w:rPr>
        <w:b/>
        <w:bCs/>
      </w:rPr>
    </w:tblStylePr>
    <w:tblStylePr w:type="band1Vert">
      <w:tblPr/>
      <w:tcPr>
        <w:shd w:val="clear" w:color="auto" w:fill="FFF3E3" w:themeFill="accent4" w:themeFillTint="33"/>
      </w:tcPr>
    </w:tblStylePr>
    <w:tblStylePr w:type="band1Horz">
      <w:tblPr/>
      <w:tcPr>
        <w:shd w:val="clear" w:color="auto" w:fill="FFF3E3"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E54E00" w:themeColor="accent5" w:themeShade="BF"/>
    </w:rPr>
    <w:tblPr>
      <w:tblStyleRowBandSize w:val="1"/>
      <w:tblStyleColBandSize w:val="1"/>
      <w:tblBorders>
        <w:top w:val="single" w:color="FF7A34" w:themeColor="accent5" w:sz="4" w:space="0"/>
        <w:bottom w:val="single" w:color="FF7A34" w:themeColor="accent5" w:sz="4" w:space="0"/>
      </w:tblBorders>
    </w:tblPr>
    <w:tblStylePr w:type="firstRow">
      <w:rPr>
        <w:b/>
        <w:bCs/>
      </w:rPr>
      <w:tblPr/>
      <w:tcPr>
        <w:tcBorders>
          <w:bottom w:val="single" w:color="FF7A34" w:themeColor="accent5" w:sz="4" w:space="0"/>
        </w:tcBorders>
      </w:tcPr>
    </w:tblStylePr>
    <w:tblStylePr w:type="lastRow">
      <w:rPr>
        <w:b/>
        <w:bCs/>
      </w:rPr>
      <w:tblPr/>
      <w:tcPr>
        <w:tcBorders>
          <w:top w:val="double" w:color="FF7A34" w:themeColor="accent5" w:sz="4" w:space="0"/>
        </w:tcBorders>
      </w:tcPr>
    </w:tblStylePr>
    <w:tblStylePr w:type="firstCol">
      <w:rPr>
        <w:b/>
        <w:bCs/>
      </w:rPr>
    </w:tblStylePr>
    <w:tblStylePr w:type="lastCol">
      <w:rPr>
        <w:b/>
        <w:bCs/>
      </w:rPr>
    </w:tblStylePr>
    <w:tblStylePr w:type="band1Vert">
      <w:tblPr/>
      <w:tcPr>
        <w:shd w:val="clear" w:color="auto" w:fill="FFE4D6" w:themeFill="accent5" w:themeFillTint="33"/>
      </w:tcPr>
    </w:tblStylePr>
    <w:tblStylePr w:type="band1Horz">
      <w:tblPr/>
      <w:tcPr>
        <w:shd w:val="clear" w:color="auto" w:fill="FFE4D6"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D31020" w:themeColor="accent6" w:themeShade="BF"/>
    </w:rPr>
    <w:tblPr>
      <w:tblStyleRowBandSize w:val="1"/>
      <w:tblStyleColBandSize w:val="1"/>
      <w:tblBorders>
        <w:top w:val="single" w:color="F0404F" w:themeColor="accent6" w:sz="4" w:space="0"/>
        <w:bottom w:val="single" w:color="F0404F" w:themeColor="accent6" w:sz="4" w:space="0"/>
      </w:tblBorders>
    </w:tblPr>
    <w:tblStylePr w:type="firstRow">
      <w:rPr>
        <w:b/>
        <w:bCs/>
      </w:rPr>
      <w:tblPr/>
      <w:tcPr>
        <w:tcBorders>
          <w:bottom w:val="single" w:color="F0404F" w:themeColor="accent6" w:sz="4" w:space="0"/>
        </w:tcBorders>
      </w:tcPr>
    </w:tblStylePr>
    <w:tblStylePr w:type="lastRow">
      <w:rPr>
        <w:b/>
        <w:bCs/>
      </w:rPr>
      <w:tblPr/>
      <w:tcPr>
        <w:tcBorders>
          <w:top w:val="double" w:color="F0404F" w:themeColor="accent6" w:sz="4" w:space="0"/>
        </w:tcBorders>
      </w:tcPr>
    </w:tblStylePr>
    <w:tblStylePr w:type="firstCol">
      <w:rPr>
        <w:b/>
        <w:bCs/>
      </w:rPr>
    </w:tblStylePr>
    <w:tblStylePr w:type="lastCol">
      <w:rPr>
        <w:b/>
        <w:bCs/>
      </w:rPr>
    </w:tblStylePr>
    <w:tblStylePr w:type="band1Vert">
      <w:tblPr/>
      <w:tcPr>
        <w:shd w:val="clear" w:color="auto" w:fill="FCD8DB" w:themeFill="accent6" w:themeFillTint="33"/>
      </w:tcPr>
    </w:tblStylePr>
    <w:tblStylePr w:type="band1Horz">
      <w:tblPr/>
      <w:tcPr>
        <w:shd w:val="clear" w:color="auto" w:fill="FCD8DB"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pPr>
      <w:spacing w:line="240" w:lineRule="auto"/>
    </w:pPr>
    <w:rPr>
      <w:color w:val="0C2B28"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03A36"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03A36"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03A36"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03A36" w:themeColor="accent1" w:sz="4" w:space="0"/>
        </w:tcBorders>
        <w:shd w:val="clear" w:color="auto" w:fill="FFFFFF" w:themeFill="background1"/>
      </w:tcPr>
    </w:tblStylePr>
    <w:tblStylePr w:type="band1Vert">
      <w:tblPr/>
      <w:tcPr>
        <w:shd w:val="clear" w:color="auto" w:fill="BAECE7" w:themeFill="accent1" w:themeFillTint="33"/>
      </w:tcPr>
    </w:tblStylePr>
    <w:tblStylePr w:type="band1Horz">
      <w:tblPr/>
      <w:tcPr>
        <w:shd w:val="clear" w:color="auto" w:fill="BAEC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pPr>
      <w:spacing w:line="240" w:lineRule="auto"/>
    </w:pPr>
    <w:rPr>
      <w:color w:val="006E4A"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9364"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9364"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9364"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9364" w:themeColor="accent2" w:sz="4" w:space="0"/>
        </w:tcBorders>
        <w:shd w:val="clear" w:color="auto" w:fill="FFFFFF" w:themeFill="background1"/>
      </w:tcPr>
    </w:tblStylePr>
    <w:tblStylePr w:type="band1Vert">
      <w:tblPr/>
      <w:tcPr>
        <w:shd w:val="clear" w:color="auto" w:fill="B6FFE7" w:themeFill="accent2" w:themeFillTint="33"/>
      </w:tcPr>
    </w:tblStylePr>
    <w:tblStylePr w:type="band1Horz">
      <w:tblPr/>
      <w:tcPr>
        <w:shd w:val="clear" w:color="auto" w:fill="B6FF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pPr>
      <w:spacing w:line="240" w:lineRule="auto"/>
    </w:pPr>
    <w:rPr>
      <w:color w:val="F1D112"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6E26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6E26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6E26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6E265" w:themeColor="accent3" w:sz="4" w:space="0"/>
        </w:tcBorders>
        <w:shd w:val="clear" w:color="auto" w:fill="FFFFFF" w:themeFill="background1"/>
      </w:tcPr>
    </w:tblStylePr>
    <w:tblStylePr w:type="band1Vert">
      <w:tblPr/>
      <w:tcPr>
        <w:shd w:val="clear" w:color="auto" w:fill="FDF9E0" w:themeFill="accent3" w:themeFillTint="33"/>
      </w:tcPr>
    </w:tblStylePr>
    <w:tblStylePr w:type="band1Horz">
      <w:tblPr/>
      <w:tcPr>
        <w:shd w:val="clear" w:color="auto" w:fill="FDF9E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pPr>
      <w:spacing w:line="240" w:lineRule="auto"/>
    </w:pPr>
    <w:rPr>
      <w:color w:val="FF9E19"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FC677"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FC677"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FC677"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FC677" w:themeColor="accent4" w:sz="4" w:space="0"/>
        </w:tcBorders>
        <w:shd w:val="clear" w:color="auto" w:fill="FFFFFF" w:themeFill="background1"/>
      </w:tcPr>
    </w:tblStylePr>
    <w:tblStylePr w:type="band1Vert">
      <w:tblPr/>
      <w:tcPr>
        <w:shd w:val="clear" w:color="auto" w:fill="FFF3E3" w:themeFill="accent4" w:themeFillTint="33"/>
      </w:tcPr>
    </w:tblStylePr>
    <w:tblStylePr w:type="band1Horz">
      <w:tblPr/>
      <w:tcPr>
        <w:shd w:val="clear" w:color="auto" w:fill="FFF3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pPr>
      <w:spacing w:line="240" w:lineRule="auto"/>
    </w:pPr>
    <w:rPr>
      <w:color w:val="E54E00"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F7A3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F7A3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F7A3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F7A34" w:themeColor="accent5" w:sz="4" w:space="0"/>
        </w:tcBorders>
        <w:shd w:val="clear" w:color="auto" w:fill="FFFFFF" w:themeFill="background1"/>
      </w:tcPr>
    </w:tblStylePr>
    <w:tblStylePr w:type="band1Vert">
      <w:tblPr/>
      <w:tcPr>
        <w:shd w:val="clear" w:color="auto" w:fill="FFE4D6" w:themeFill="accent5" w:themeFillTint="33"/>
      </w:tcPr>
    </w:tblStylePr>
    <w:tblStylePr w:type="band1Horz">
      <w:tblPr/>
      <w:tcPr>
        <w:shd w:val="clear" w:color="auto" w:fill="FFE4D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pPr>
      <w:spacing w:line="240" w:lineRule="auto"/>
    </w:pPr>
    <w:rPr>
      <w:color w:val="D3102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0404F"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0404F"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0404F"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0404F" w:themeColor="accent6" w:sz="4" w:space="0"/>
        </w:tcBorders>
        <w:shd w:val="clear" w:color="auto" w:fill="FFFFFF" w:themeFill="background1"/>
      </w:tcPr>
    </w:tblStylePr>
    <w:tblStylePr w:type="band1Vert">
      <w:tblPr/>
      <w:tcPr>
        <w:shd w:val="clear" w:color="auto" w:fill="FCD8DB" w:themeFill="accent6" w:themeFillTint="33"/>
      </w:tcPr>
    </w:tblStylePr>
    <w:tblStylePr w:type="band1Horz">
      <w:tblPr/>
      <w:tcPr>
        <w:shd w:val="clear" w:color="auto" w:fill="FCD8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color="278F85" w:themeColor="accent1" w:themeTint="BF" w:sz="8" w:space="0"/>
        <w:left w:val="single" w:color="278F85" w:themeColor="accent1" w:themeTint="BF" w:sz="8" w:space="0"/>
        <w:bottom w:val="single" w:color="278F85" w:themeColor="accent1" w:themeTint="BF" w:sz="8" w:space="0"/>
        <w:right w:val="single" w:color="278F85" w:themeColor="accent1" w:themeTint="BF" w:sz="8" w:space="0"/>
        <w:insideH w:val="single" w:color="278F85" w:themeColor="accent1" w:themeTint="BF" w:sz="8" w:space="0"/>
        <w:insideV w:val="single" w:color="278F85" w:themeColor="accent1" w:themeTint="BF" w:sz="8" w:space="0"/>
      </w:tblBorders>
    </w:tblPr>
    <w:tcPr>
      <w:shd w:val="clear" w:color="auto" w:fill="AAE7E1" w:themeFill="accent1" w:themeFillTint="3F"/>
    </w:tcPr>
    <w:tblStylePr w:type="firstRow">
      <w:rPr>
        <w:b/>
        <w:bCs/>
      </w:rPr>
    </w:tblStylePr>
    <w:tblStylePr w:type="lastRow">
      <w:rPr>
        <w:b/>
        <w:bCs/>
      </w:rPr>
      <w:tblPr/>
      <w:tcPr>
        <w:tcBorders>
          <w:top w:val="single" w:color="278F85" w:themeColor="accent1" w:themeTint="BF" w:sz="18" w:space="0"/>
        </w:tcBorders>
      </w:tcPr>
    </w:tblStylePr>
    <w:tblStylePr w:type="firstCol">
      <w:rPr>
        <w:b/>
        <w:bCs/>
      </w:rPr>
    </w:tblStylePr>
    <w:tblStylePr w:type="lastCol">
      <w:rPr>
        <w:b/>
        <w:bCs/>
      </w:rPr>
    </w:tblStylePr>
    <w:tblStylePr w:type="band1Vert">
      <w:tblPr/>
      <w:tcPr>
        <w:shd w:val="clear" w:color="auto" w:fill="54D0C3" w:themeFill="accent1" w:themeFillTint="7F"/>
      </w:tcPr>
    </w:tblStylePr>
    <w:tblStylePr w:type="band1Horz">
      <w:tblPr/>
      <w:tcPr>
        <w:shd w:val="clear" w:color="auto" w:fill="54D0C3"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color="00EEA1" w:themeColor="accent2" w:themeTint="BF" w:sz="8" w:space="0"/>
        <w:left w:val="single" w:color="00EEA1" w:themeColor="accent2" w:themeTint="BF" w:sz="8" w:space="0"/>
        <w:bottom w:val="single" w:color="00EEA1" w:themeColor="accent2" w:themeTint="BF" w:sz="8" w:space="0"/>
        <w:right w:val="single" w:color="00EEA1" w:themeColor="accent2" w:themeTint="BF" w:sz="8" w:space="0"/>
        <w:insideH w:val="single" w:color="00EEA1" w:themeColor="accent2" w:themeTint="BF" w:sz="8" w:space="0"/>
        <w:insideV w:val="single" w:color="00EEA1" w:themeColor="accent2" w:themeTint="BF" w:sz="8" w:space="0"/>
      </w:tblBorders>
    </w:tblPr>
    <w:tcPr>
      <w:shd w:val="clear" w:color="auto" w:fill="A5FFE2" w:themeFill="accent2" w:themeFillTint="3F"/>
    </w:tcPr>
    <w:tblStylePr w:type="firstRow">
      <w:rPr>
        <w:b/>
        <w:bCs/>
      </w:rPr>
    </w:tblStylePr>
    <w:tblStylePr w:type="lastRow">
      <w:rPr>
        <w:b/>
        <w:bCs/>
      </w:rPr>
      <w:tblPr/>
      <w:tcPr>
        <w:tcBorders>
          <w:top w:val="single" w:color="00EEA1" w:themeColor="accent2" w:themeTint="BF" w:sz="18" w:space="0"/>
        </w:tcBorders>
      </w:tcPr>
    </w:tblStylePr>
    <w:tblStylePr w:type="firstCol">
      <w:rPr>
        <w:b/>
        <w:bCs/>
      </w:rPr>
    </w:tblStylePr>
    <w:tblStylePr w:type="lastCol">
      <w:rPr>
        <w:b/>
        <w:bCs/>
      </w:rPr>
    </w:tblStylePr>
    <w:tblStylePr w:type="band1Vert">
      <w:tblPr/>
      <w:tcPr>
        <w:shd w:val="clear" w:color="auto" w:fill="4AFFC4" w:themeFill="accent2" w:themeFillTint="7F"/>
      </w:tcPr>
    </w:tblStylePr>
    <w:tblStylePr w:type="band1Horz">
      <w:tblPr/>
      <w:tcPr>
        <w:shd w:val="clear" w:color="auto" w:fill="4AFFC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color="F8E88B" w:themeColor="accent3" w:themeTint="BF" w:sz="8" w:space="0"/>
        <w:left w:val="single" w:color="F8E88B" w:themeColor="accent3" w:themeTint="BF" w:sz="8" w:space="0"/>
        <w:bottom w:val="single" w:color="F8E88B" w:themeColor="accent3" w:themeTint="BF" w:sz="8" w:space="0"/>
        <w:right w:val="single" w:color="F8E88B" w:themeColor="accent3" w:themeTint="BF" w:sz="8" w:space="0"/>
        <w:insideH w:val="single" w:color="F8E88B" w:themeColor="accent3" w:themeTint="BF" w:sz="8" w:space="0"/>
        <w:insideV w:val="single" w:color="F8E88B" w:themeColor="accent3" w:themeTint="BF" w:sz="8" w:space="0"/>
      </w:tblBorders>
    </w:tblPr>
    <w:tcPr>
      <w:shd w:val="clear" w:color="auto" w:fill="FCF7D8" w:themeFill="accent3" w:themeFillTint="3F"/>
    </w:tcPr>
    <w:tblStylePr w:type="firstRow">
      <w:rPr>
        <w:b/>
        <w:bCs/>
      </w:rPr>
    </w:tblStylePr>
    <w:tblStylePr w:type="lastRow">
      <w:rPr>
        <w:b/>
        <w:bCs/>
      </w:rPr>
      <w:tblPr/>
      <w:tcPr>
        <w:tcBorders>
          <w:top w:val="single" w:color="F8E88B" w:themeColor="accent3" w:themeTint="BF" w:sz="18" w:space="0"/>
        </w:tcBorders>
      </w:tcPr>
    </w:tblStylePr>
    <w:tblStylePr w:type="firstCol">
      <w:rPr>
        <w:b/>
        <w:bCs/>
      </w:rPr>
    </w:tblStylePr>
    <w:tblStylePr w:type="lastCol">
      <w:rPr>
        <w:b/>
        <w:bCs/>
      </w:rPr>
    </w:tblStylePr>
    <w:tblStylePr w:type="band1Vert">
      <w:tblPr/>
      <w:tcPr>
        <w:shd w:val="clear" w:color="auto" w:fill="FAF0B2" w:themeFill="accent3" w:themeFillTint="7F"/>
      </w:tcPr>
    </w:tblStylePr>
    <w:tblStylePr w:type="band1Horz">
      <w:tblPr/>
      <w:tcPr>
        <w:shd w:val="clear" w:color="auto" w:fill="FAF0B2"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color="FFD499" w:themeColor="accent4" w:themeTint="BF" w:sz="8" w:space="0"/>
        <w:left w:val="single" w:color="FFD499" w:themeColor="accent4" w:themeTint="BF" w:sz="8" w:space="0"/>
        <w:bottom w:val="single" w:color="FFD499" w:themeColor="accent4" w:themeTint="BF" w:sz="8" w:space="0"/>
        <w:right w:val="single" w:color="FFD499" w:themeColor="accent4" w:themeTint="BF" w:sz="8" w:space="0"/>
        <w:insideH w:val="single" w:color="FFD499" w:themeColor="accent4" w:themeTint="BF" w:sz="8" w:space="0"/>
        <w:insideV w:val="single" w:color="FFD499" w:themeColor="accent4" w:themeTint="BF" w:sz="8" w:space="0"/>
      </w:tblBorders>
    </w:tblPr>
    <w:tcPr>
      <w:shd w:val="clear" w:color="auto" w:fill="FFF0DD" w:themeFill="accent4" w:themeFillTint="3F"/>
    </w:tcPr>
    <w:tblStylePr w:type="firstRow">
      <w:rPr>
        <w:b/>
        <w:bCs/>
      </w:rPr>
    </w:tblStylePr>
    <w:tblStylePr w:type="lastRow">
      <w:rPr>
        <w:b/>
        <w:bCs/>
      </w:rPr>
      <w:tblPr/>
      <w:tcPr>
        <w:tcBorders>
          <w:top w:val="single" w:color="FFD499" w:themeColor="accent4" w:themeTint="BF" w:sz="18" w:space="0"/>
        </w:tcBorders>
      </w:tcPr>
    </w:tblStylePr>
    <w:tblStylePr w:type="firstCol">
      <w:rPr>
        <w:b/>
        <w:bCs/>
      </w:rPr>
    </w:tblStylePr>
    <w:tblStylePr w:type="lastCol">
      <w:rPr>
        <w:b/>
        <w:bCs/>
      </w:rPr>
    </w:tblStylePr>
    <w:tblStylePr w:type="band1Vert">
      <w:tblPr/>
      <w:tcPr>
        <w:shd w:val="clear" w:color="auto" w:fill="FFE2BB" w:themeFill="accent4" w:themeFillTint="7F"/>
      </w:tcPr>
    </w:tblStylePr>
    <w:tblStylePr w:type="band1Horz">
      <w:tblPr/>
      <w:tcPr>
        <w:shd w:val="clear" w:color="auto" w:fill="FFE2BB"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color="FF9A66" w:themeColor="accent5" w:themeTint="BF" w:sz="8" w:space="0"/>
        <w:left w:val="single" w:color="FF9A66" w:themeColor="accent5" w:themeTint="BF" w:sz="8" w:space="0"/>
        <w:bottom w:val="single" w:color="FF9A66" w:themeColor="accent5" w:themeTint="BF" w:sz="8" w:space="0"/>
        <w:right w:val="single" w:color="FF9A66" w:themeColor="accent5" w:themeTint="BF" w:sz="8" w:space="0"/>
        <w:insideH w:val="single" w:color="FF9A66" w:themeColor="accent5" w:themeTint="BF" w:sz="8" w:space="0"/>
        <w:insideV w:val="single" w:color="FF9A66" w:themeColor="accent5" w:themeTint="BF" w:sz="8" w:space="0"/>
      </w:tblBorders>
    </w:tblPr>
    <w:tcPr>
      <w:shd w:val="clear" w:color="auto" w:fill="FFDDCC" w:themeFill="accent5" w:themeFillTint="3F"/>
    </w:tcPr>
    <w:tblStylePr w:type="firstRow">
      <w:rPr>
        <w:b/>
        <w:bCs/>
      </w:rPr>
    </w:tblStylePr>
    <w:tblStylePr w:type="lastRow">
      <w:rPr>
        <w:b/>
        <w:bCs/>
      </w:rPr>
      <w:tblPr/>
      <w:tcPr>
        <w:tcBorders>
          <w:top w:val="single" w:color="FF9A66" w:themeColor="accent5" w:themeTint="BF" w:sz="18" w:space="0"/>
        </w:tcBorders>
      </w:tcPr>
    </w:tblStylePr>
    <w:tblStylePr w:type="firstCol">
      <w:rPr>
        <w:b/>
        <w:bCs/>
      </w:rPr>
    </w:tblStylePr>
    <w:tblStylePr w:type="lastCol">
      <w:rPr>
        <w:b/>
        <w:bCs/>
      </w:rPr>
    </w:tblStylePr>
    <w:tblStylePr w:type="band1Vert">
      <w:tblPr/>
      <w:tcPr>
        <w:shd w:val="clear" w:color="auto" w:fill="FFBC99" w:themeFill="accent5" w:themeFillTint="7F"/>
      </w:tcPr>
    </w:tblStylePr>
    <w:tblStylePr w:type="band1Horz">
      <w:tblPr/>
      <w:tcPr>
        <w:shd w:val="clear" w:color="auto" w:fill="FFBC99"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color="F36F7A" w:themeColor="accent6" w:themeTint="BF" w:sz="8" w:space="0"/>
        <w:left w:val="single" w:color="F36F7A" w:themeColor="accent6" w:themeTint="BF" w:sz="8" w:space="0"/>
        <w:bottom w:val="single" w:color="F36F7A" w:themeColor="accent6" w:themeTint="BF" w:sz="8" w:space="0"/>
        <w:right w:val="single" w:color="F36F7A" w:themeColor="accent6" w:themeTint="BF" w:sz="8" w:space="0"/>
        <w:insideH w:val="single" w:color="F36F7A" w:themeColor="accent6" w:themeTint="BF" w:sz="8" w:space="0"/>
        <w:insideV w:val="single" w:color="F36F7A" w:themeColor="accent6" w:themeTint="BF" w:sz="8" w:space="0"/>
      </w:tblBorders>
    </w:tblPr>
    <w:tcPr>
      <w:shd w:val="clear" w:color="auto" w:fill="FBCFD3" w:themeFill="accent6" w:themeFillTint="3F"/>
    </w:tcPr>
    <w:tblStylePr w:type="firstRow">
      <w:rPr>
        <w:b/>
        <w:bCs/>
      </w:rPr>
    </w:tblStylePr>
    <w:tblStylePr w:type="lastRow">
      <w:rPr>
        <w:b/>
        <w:bCs/>
      </w:rPr>
      <w:tblPr/>
      <w:tcPr>
        <w:tcBorders>
          <w:top w:val="single" w:color="F36F7A" w:themeColor="accent6" w:themeTint="BF" w:sz="18" w:space="0"/>
        </w:tcBorders>
      </w:tcPr>
    </w:tblStylePr>
    <w:tblStylePr w:type="firstCol">
      <w:rPr>
        <w:b/>
        <w:bCs/>
      </w:rPr>
    </w:tblStylePr>
    <w:tblStylePr w:type="lastCol">
      <w:rPr>
        <w:b/>
        <w:bCs/>
      </w:rPr>
    </w:tblStylePr>
    <w:tblStylePr w:type="band1Vert">
      <w:tblPr/>
      <w:tcPr>
        <w:shd w:val="clear" w:color="auto" w:fill="F79FA6" w:themeFill="accent6" w:themeFillTint="7F"/>
      </w:tcPr>
    </w:tblStylePr>
    <w:tblStylePr w:type="band1Horz">
      <w:tblPr/>
      <w:tcPr>
        <w:shd w:val="clear" w:color="auto" w:fill="F79FA6" w:themeFill="accent6" w:themeFillTint="7F"/>
      </w:tcPr>
    </w:tblStylePr>
  </w:style>
  <w:style w:type="table" w:styleId="MediumGrid2">
    <w:name w:val="Medium Grid 2"/>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103A36" w:themeColor="accent1" w:sz="8" w:space="0"/>
        <w:left w:val="single" w:color="103A36" w:themeColor="accent1" w:sz="8" w:space="0"/>
        <w:bottom w:val="single" w:color="103A36" w:themeColor="accent1" w:sz="8" w:space="0"/>
        <w:right w:val="single" w:color="103A36" w:themeColor="accent1" w:sz="8" w:space="0"/>
        <w:insideH w:val="single" w:color="103A36" w:themeColor="accent1" w:sz="8" w:space="0"/>
        <w:insideV w:val="single" w:color="103A36" w:themeColor="accent1" w:sz="8" w:space="0"/>
      </w:tblBorders>
    </w:tblPr>
    <w:tcPr>
      <w:shd w:val="clear" w:color="auto" w:fill="AAE7E1" w:themeFill="accent1" w:themeFillTint="3F"/>
    </w:tcPr>
    <w:tblStylePr w:type="firstRow">
      <w:rPr>
        <w:b/>
        <w:bCs/>
        <w:color w:val="000000" w:themeColor="text1"/>
      </w:rPr>
      <w:tblPr/>
      <w:tcPr>
        <w:shd w:val="clear" w:color="auto" w:fill="DDF5F3"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CE7" w:themeFill="accent1" w:themeFillTint="33"/>
      </w:tcPr>
    </w:tblStylePr>
    <w:tblStylePr w:type="band1Vert">
      <w:tblPr/>
      <w:tcPr>
        <w:shd w:val="clear" w:color="auto" w:fill="54D0C3" w:themeFill="accent1" w:themeFillTint="7F"/>
      </w:tcPr>
    </w:tblStylePr>
    <w:tblStylePr w:type="band1Horz">
      <w:tblPr/>
      <w:tcPr>
        <w:tcBorders>
          <w:insideH w:val="single" w:color="103A36" w:themeColor="accent1" w:sz="6" w:space="0"/>
          <w:insideV w:val="single" w:color="103A36" w:themeColor="accent1" w:sz="6" w:space="0"/>
        </w:tcBorders>
        <w:shd w:val="clear" w:color="auto" w:fill="54D0C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009364" w:themeColor="accent2" w:sz="8" w:space="0"/>
        <w:left w:val="single" w:color="009364" w:themeColor="accent2" w:sz="8" w:space="0"/>
        <w:bottom w:val="single" w:color="009364" w:themeColor="accent2" w:sz="8" w:space="0"/>
        <w:right w:val="single" w:color="009364" w:themeColor="accent2" w:sz="8" w:space="0"/>
        <w:insideH w:val="single" w:color="009364" w:themeColor="accent2" w:sz="8" w:space="0"/>
        <w:insideV w:val="single" w:color="009364" w:themeColor="accent2" w:sz="8" w:space="0"/>
      </w:tblBorders>
    </w:tblPr>
    <w:tcPr>
      <w:shd w:val="clear" w:color="auto" w:fill="A5FFE2" w:themeFill="accent2" w:themeFillTint="3F"/>
    </w:tcPr>
    <w:tblStylePr w:type="firstRow">
      <w:rPr>
        <w:b/>
        <w:bCs/>
        <w:color w:val="000000" w:themeColor="text1"/>
      </w:rPr>
      <w:tblPr/>
      <w:tcPr>
        <w:shd w:val="clear" w:color="auto" w:fill="DBFFF3"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FFE7" w:themeFill="accent2" w:themeFillTint="33"/>
      </w:tcPr>
    </w:tblStylePr>
    <w:tblStylePr w:type="band1Vert">
      <w:tblPr/>
      <w:tcPr>
        <w:shd w:val="clear" w:color="auto" w:fill="4AFFC4" w:themeFill="accent2" w:themeFillTint="7F"/>
      </w:tcPr>
    </w:tblStylePr>
    <w:tblStylePr w:type="band1Horz">
      <w:tblPr/>
      <w:tcPr>
        <w:tcBorders>
          <w:insideH w:val="single" w:color="009364" w:themeColor="accent2" w:sz="6" w:space="0"/>
          <w:insideV w:val="single" w:color="009364" w:themeColor="accent2" w:sz="6" w:space="0"/>
        </w:tcBorders>
        <w:shd w:val="clear" w:color="auto" w:fill="4AFFC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F6E265" w:themeColor="accent3" w:sz="8" w:space="0"/>
        <w:left w:val="single" w:color="F6E265" w:themeColor="accent3" w:sz="8" w:space="0"/>
        <w:bottom w:val="single" w:color="F6E265" w:themeColor="accent3" w:sz="8" w:space="0"/>
        <w:right w:val="single" w:color="F6E265" w:themeColor="accent3" w:sz="8" w:space="0"/>
        <w:insideH w:val="single" w:color="F6E265" w:themeColor="accent3" w:sz="8" w:space="0"/>
        <w:insideV w:val="single" w:color="F6E265" w:themeColor="accent3" w:sz="8" w:space="0"/>
      </w:tblBorders>
    </w:tblPr>
    <w:tcPr>
      <w:shd w:val="clear" w:color="auto" w:fill="FCF7D8" w:themeFill="accent3" w:themeFillTint="3F"/>
    </w:tcPr>
    <w:tblStylePr w:type="firstRow">
      <w:rPr>
        <w:b/>
        <w:bCs/>
        <w:color w:val="000000" w:themeColor="text1"/>
      </w:rPr>
      <w:tblPr/>
      <w:tcPr>
        <w:shd w:val="clear" w:color="auto" w:fill="FEFCEF"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E0" w:themeFill="accent3" w:themeFillTint="33"/>
      </w:tcPr>
    </w:tblStylePr>
    <w:tblStylePr w:type="band1Vert">
      <w:tblPr/>
      <w:tcPr>
        <w:shd w:val="clear" w:color="auto" w:fill="FAF0B2" w:themeFill="accent3" w:themeFillTint="7F"/>
      </w:tcPr>
    </w:tblStylePr>
    <w:tblStylePr w:type="band1Horz">
      <w:tblPr/>
      <w:tcPr>
        <w:tcBorders>
          <w:insideH w:val="single" w:color="F6E265" w:themeColor="accent3" w:sz="6" w:space="0"/>
          <w:insideV w:val="single" w:color="F6E265" w:themeColor="accent3" w:sz="6" w:space="0"/>
        </w:tcBorders>
        <w:shd w:val="clear" w:color="auto" w:fill="FAF0B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FFC677" w:themeColor="accent4" w:sz="8" w:space="0"/>
        <w:left w:val="single" w:color="FFC677" w:themeColor="accent4" w:sz="8" w:space="0"/>
        <w:bottom w:val="single" w:color="FFC677" w:themeColor="accent4" w:sz="8" w:space="0"/>
        <w:right w:val="single" w:color="FFC677" w:themeColor="accent4" w:sz="8" w:space="0"/>
        <w:insideH w:val="single" w:color="FFC677" w:themeColor="accent4" w:sz="8" w:space="0"/>
        <w:insideV w:val="single" w:color="FFC677" w:themeColor="accent4" w:sz="8" w:space="0"/>
      </w:tblBorders>
    </w:tblPr>
    <w:tcPr>
      <w:shd w:val="clear" w:color="auto" w:fill="FFF0DD" w:themeFill="accent4" w:themeFillTint="3F"/>
    </w:tcPr>
    <w:tblStylePr w:type="firstRow">
      <w:rPr>
        <w:b/>
        <w:bCs/>
        <w:color w:val="000000" w:themeColor="text1"/>
      </w:rPr>
      <w:tblPr/>
      <w:tcPr>
        <w:shd w:val="clear" w:color="auto" w:fill="FFF9F1"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E3" w:themeFill="accent4" w:themeFillTint="33"/>
      </w:tcPr>
    </w:tblStylePr>
    <w:tblStylePr w:type="band1Vert">
      <w:tblPr/>
      <w:tcPr>
        <w:shd w:val="clear" w:color="auto" w:fill="FFE2BB" w:themeFill="accent4" w:themeFillTint="7F"/>
      </w:tcPr>
    </w:tblStylePr>
    <w:tblStylePr w:type="band1Horz">
      <w:tblPr/>
      <w:tcPr>
        <w:tcBorders>
          <w:insideH w:val="single" w:color="FFC677" w:themeColor="accent4" w:sz="6" w:space="0"/>
          <w:insideV w:val="single" w:color="FFC677" w:themeColor="accent4" w:sz="6" w:space="0"/>
        </w:tcBorders>
        <w:shd w:val="clear" w:color="auto" w:fill="FFE2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FF7A34" w:themeColor="accent5" w:sz="8" w:space="0"/>
        <w:left w:val="single" w:color="FF7A34" w:themeColor="accent5" w:sz="8" w:space="0"/>
        <w:bottom w:val="single" w:color="FF7A34" w:themeColor="accent5" w:sz="8" w:space="0"/>
        <w:right w:val="single" w:color="FF7A34" w:themeColor="accent5" w:sz="8" w:space="0"/>
        <w:insideH w:val="single" w:color="FF7A34" w:themeColor="accent5" w:sz="8" w:space="0"/>
        <w:insideV w:val="single" w:color="FF7A34" w:themeColor="accent5" w:sz="8" w:space="0"/>
      </w:tblBorders>
    </w:tblPr>
    <w:tcPr>
      <w:shd w:val="clear" w:color="auto" w:fill="FFDDCC" w:themeFill="accent5" w:themeFillTint="3F"/>
    </w:tcPr>
    <w:tblStylePr w:type="firstRow">
      <w:rPr>
        <w:b/>
        <w:bCs/>
        <w:color w:val="000000" w:themeColor="text1"/>
      </w:rPr>
      <w:tblPr/>
      <w:tcPr>
        <w:shd w:val="clear" w:color="auto" w:fill="FFF1EB"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D6" w:themeFill="accent5" w:themeFillTint="33"/>
      </w:tcPr>
    </w:tblStylePr>
    <w:tblStylePr w:type="band1Vert">
      <w:tblPr/>
      <w:tcPr>
        <w:shd w:val="clear" w:color="auto" w:fill="FFBC99" w:themeFill="accent5" w:themeFillTint="7F"/>
      </w:tcPr>
    </w:tblStylePr>
    <w:tblStylePr w:type="band1Horz">
      <w:tblPr/>
      <w:tcPr>
        <w:tcBorders>
          <w:insideH w:val="single" w:color="FF7A34" w:themeColor="accent5" w:sz="6" w:space="0"/>
          <w:insideV w:val="single" w:color="FF7A34" w:themeColor="accent5" w:sz="6" w:space="0"/>
        </w:tcBorders>
        <w:shd w:val="clear" w:color="auto" w:fill="FFBC9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F0404F" w:themeColor="accent6" w:sz="8" w:space="0"/>
        <w:left w:val="single" w:color="F0404F" w:themeColor="accent6" w:sz="8" w:space="0"/>
        <w:bottom w:val="single" w:color="F0404F" w:themeColor="accent6" w:sz="8" w:space="0"/>
        <w:right w:val="single" w:color="F0404F" w:themeColor="accent6" w:sz="8" w:space="0"/>
        <w:insideH w:val="single" w:color="F0404F" w:themeColor="accent6" w:sz="8" w:space="0"/>
        <w:insideV w:val="single" w:color="F0404F" w:themeColor="accent6" w:sz="8" w:space="0"/>
      </w:tblBorders>
    </w:tblPr>
    <w:tcPr>
      <w:shd w:val="clear" w:color="auto" w:fill="FBCFD3" w:themeFill="accent6" w:themeFillTint="3F"/>
    </w:tcPr>
    <w:tblStylePr w:type="firstRow">
      <w:rPr>
        <w:b/>
        <w:bCs/>
        <w:color w:val="000000" w:themeColor="text1"/>
      </w:rPr>
      <w:tblPr/>
      <w:tcPr>
        <w:shd w:val="clear" w:color="auto" w:fill="FDECED"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8DB" w:themeFill="accent6" w:themeFillTint="33"/>
      </w:tcPr>
    </w:tblStylePr>
    <w:tblStylePr w:type="band1Vert">
      <w:tblPr/>
      <w:tcPr>
        <w:shd w:val="clear" w:color="auto" w:fill="F79FA6" w:themeFill="accent6" w:themeFillTint="7F"/>
      </w:tcPr>
    </w:tblStylePr>
    <w:tblStylePr w:type="band1Horz">
      <w:tblPr/>
      <w:tcPr>
        <w:tcBorders>
          <w:insideH w:val="single" w:color="F0404F" w:themeColor="accent6" w:sz="6" w:space="0"/>
          <w:insideV w:val="single" w:color="F0404F" w:themeColor="accent6" w:sz="6" w:space="0"/>
        </w:tcBorders>
        <w:shd w:val="clear" w:color="auto" w:fill="F79F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AE7E1"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03A36"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03A36"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03A36"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03A36"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54D0C3"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54D0C3"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5FFE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9364"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9364"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9364"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9364"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4AFFC4"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4AFFC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CF7D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6E26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6E26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6E26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6E26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AF0B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AF0B2"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F0DD"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C677"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C677"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C677"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C677"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E2BB"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E2BB"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DDCC"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7A3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7A3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7A3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7A3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BC99"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BC99"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BCFD3"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0404F"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0404F"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0404F"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0404F"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79FA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79FA6"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01032"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color="103A36" w:themeColor="accent1" w:sz="8" w:space="0"/>
        <w:bottom w:val="single" w:color="103A36" w:themeColor="accent1" w:sz="8" w:space="0"/>
      </w:tblBorders>
    </w:tblPr>
    <w:tblStylePr w:type="firstRow">
      <w:rPr>
        <w:rFonts w:asciiTheme="majorHAnsi" w:hAnsiTheme="majorHAnsi" w:eastAsiaTheme="majorEastAsia" w:cstheme="majorBidi"/>
      </w:rPr>
      <w:tblPr/>
      <w:tcPr>
        <w:tcBorders>
          <w:top w:val="nil"/>
          <w:bottom w:val="single" w:color="103A36" w:themeColor="accent1" w:sz="8" w:space="0"/>
        </w:tcBorders>
      </w:tcPr>
    </w:tblStylePr>
    <w:tblStylePr w:type="lastRow">
      <w:rPr>
        <w:b/>
        <w:bCs/>
        <w:color w:val="001032" w:themeColor="text2"/>
      </w:rPr>
      <w:tblPr/>
      <w:tcPr>
        <w:tcBorders>
          <w:top w:val="single" w:color="103A36" w:themeColor="accent1" w:sz="8" w:space="0"/>
          <w:bottom w:val="single" w:color="103A36" w:themeColor="accent1" w:sz="8" w:space="0"/>
        </w:tcBorders>
      </w:tcPr>
    </w:tblStylePr>
    <w:tblStylePr w:type="firstCol">
      <w:rPr>
        <w:b/>
        <w:bCs/>
      </w:rPr>
    </w:tblStylePr>
    <w:tblStylePr w:type="lastCol">
      <w:rPr>
        <w:b/>
        <w:bCs/>
      </w:rPr>
      <w:tblPr/>
      <w:tcPr>
        <w:tcBorders>
          <w:top w:val="single" w:color="103A36" w:themeColor="accent1" w:sz="8" w:space="0"/>
          <w:bottom w:val="single" w:color="103A36" w:themeColor="accent1" w:sz="8" w:space="0"/>
        </w:tcBorders>
      </w:tcPr>
    </w:tblStylePr>
    <w:tblStylePr w:type="band1Vert">
      <w:tblPr/>
      <w:tcPr>
        <w:shd w:val="clear" w:color="auto" w:fill="AAE7E1" w:themeFill="accent1" w:themeFillTint="3F"/>
      </w:tcPr>
    </w:tblStylePr>
    <w:tblStylePr w:type="band1Horz">
      <w:tblPr/>
      <w:tcPr>
        <w:shd w:val="clear" w:color="auto" w:fill="AAE7E1"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color="009364" w:themeColor="accent2" w:sz="8" w:space="0"/>
        <w:bottom w:val="single" w:color="009364" w:themeColor="accent2" w:sz="8" w:space="0"/>
      </w:tblBorders>
    </w:tblPr>
    <w:tblStylePr w:type="firstRow">
      <w:rPr>
        <w:rFonts w:asciiTheme="majorHAnsi" w:hAnsiTheme="majorHAnsi" w:eastAsiaTheme="majorEastAsia" w:cstheme="majorBidi"/>
      </w:rPr>
      <w:tblPr/>
      <w:tcPr>
        <w:tcBorders>
          <w:top w:val="nil"/>
          <w:bottom w:val="single" w:color="009364" w:themeColor="accent2" w:sz="8" w:space="0"/>
        </w:tcBorders>
      </w:tcPr>
    </w:tblStylePr>
    <w:tblStylePr w:type="lastRow">
      <w:rPr>
        <w:b/>
        <w:bCs/>
        <w:color w:val="001032" w:themeColor="text2"/>
      </w:rPr>
      <w:tblPr/>
      <w:tcPr>
        <w:tcBorders>
          <w:top w:val="single" w:color="009364" w:themeColor="accent2" w:sz="8" w:space="0"/>
          <w:bottom w:val="single" w:color="009364" w:themeColor="accent2" w:sz="8" w:space="0"/>
        </w:tcBorders>
      </w:tcPr>
    </w:tblStylePr>
    <w:tblStylePr w:type="firstCol">
      <w:rPr>
        <w:b/>
        <w:bCs/>
      </w:rPr>
    </w:tblStylePr>
    <w:tblStylePr w:type="lastCol">
      <w:rPr>
        <w:b/>
        <w:bCs/>
      </w:rPr>
      <w:tblPr/>
      <w:tcPr>
        <w:tcBorders>
          <w:top w:val="single" w:color="009364" w:themeColor="accent2" w:sz="8" w:space="0"/>
          <w:bottom w:val="single" w:color="009364" w:themeColor="accent2" w:sz="8" w:space="0"/>
        </w:tcBorders>
      </w:tcPr>
    </w:tblStylePr>
    <w:tblStylePr w:type="band1Vert">
      <w:tblPr/>
      <w:tcPr>
        <w:shd w:val="clear" w:color="auto" w:fill="A5FFE2" w:themeFill="accent2" w:themeFillTint="3F"/>
      </w:tcPr>
    </w:tblStylePr>
    <w:tblStylePr w:type="band1Horz">
      <w:tblPr/>
      <w:tcPr>
        <w:shd w:val="clear" w:color="auto" w:fill="A5FFE2"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color="F6E265" w:themeColor="accent3" w:sz="8" w:space="0"/>
        <w:bottom w:val="single" w:color="F6E265" w:themeColor="accent3" w:sz="8" w:space="0"/>
      </w:tblBorders>
    </w:tblPr>
    <w:tblStylePr w:type="firstRow">
      <w:rPr>
        <w:rFonts w:asciiTheme="majorHAnsi" w:hAnsiTheme="majorHAnsi" w:eastAsiaTheme="majorEastAsia" w:cstheme="majorBidi"/>
      </w:rPr>
      <w:tblPr/>
      <w:tcPr>
        <w:tcBorders>
          <w:top w:val="nil"/>
          <w:bottom w:val="single" w:color="F6E265" w:themeColor="accent3" w:sz="8" w:space="0"/>
        </w:tcBorders>
      </w:tcPr>
    </w:tblStylePr>
    <w:tblStylePr w:type="lastRow">
      <w:rPr>
        <w:b/>
        <w:bCs/>
        <w:color w:val="001032" w:themeColor="text2"/>
      </w:rPr>
      <w:tblPr/>
      <w:tcPr>
        <w:tcBorders>
          <w:top w:val="single" w:color="F6E265" w:themeColor="accent3" w:sz="8" w:space="0"/>
          <w:bottom w:val="single" w:color="F6E265" w:themeColor="accent3" w:sz="8" w:space="0"/>
        </w:tcBorders>
      </w:tcPr>
    </w:tblStylePr>
    <w:tblStylePr w:type="firstCol">
      <w:rPr>
        <w:b/>
        <w:bCs/>
      </w:rPr>
    </w:tblStylePr>
    <w:tblStylePr w:type="lastCol">
      <w:rPr>
        <w:b/>
        <w:bCs/>
      </w:rPr>
      <w:tblPr/>
      <w:tcPr>
        <w:tcBorders>
          <w:top w:val="single" w:color="F6E265" w:themeColor="accent3" w:sz="8" w:space="0"/>
          <w:bottom w:val="single" w:color="F6E265" w:themeColor="accent3" w:sz="8" w:space="0"/>
        </w:tcBorders>
      </w:tcPr>
    </w:tblStylePr>
    <w:tblStylePr w:type="band1Vert">
      <w:tblPr/>
      <w:tcPr>
        <w:shd w:val="clear" w:color="auto" w:fill="FCF7D8" w:themeFill="accent3" w:themeFillTint="3F"/>
      </w:tcPr>
    </w:tblStylePr>
    <w:tblStylePr w:type="band1Horz">
      <w:tblPr/>
      <w:tcPr>
        <w:shd w:val="clear" w:color="auto" w:fill="FCF7D8"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color="FFC677" w:themeColor="accent4" w:sz="8" w:space="0"/>
        <w:bottom w:val="single" w:color="FFC677" w:themeColor="accent4" w:sz="8" w:space="0"/>
      </w:tblBorders>
    </w:tblPr>
    <w:tblStylePr w:type="firstRow">
      <w:rPr>
        <w:rFonts w:asciiTheme="majorHAnsi" w:hAnsiTheme="majorHAnsi" w:eastAsiaTheme="majorEastAsia" w:cstheme="majorBidi"/>
      </w:rPr>
      <w:tblPr/>
      <w:tcPr>
        <w:tcBorders>
          <w:top w:val="nil"/>
          <w:bottom w:val="single" w:color="FFC677" w:themeColor="accent4" w:sz="8" w:space="0"/>
        </w:tcBorders>
      </w:tcPr>
    </w:tblStylePr>
    <w:tblStylePr w:type="lastRow">
      <w:rPr>
        <w:b/>
        <w:bCs/>
        <w:color w:val="001032" w:themeColor="text2"/>
      </w:rPr>
      <w:tblPr/>
      <w:tcPr>
        <w:tcBorders>
          <w:top w:val="single" w:color="FFC677" w:themeColor="accent4" w:sz="8" w:space="0"/>
          <w:bottom w:val="single" w:color="FFC677" w:themeColor="accent4" w:sz="8" w:space="0"/>
        </w:tcBorders>
      </w:tcPr>
    </w:tblStylePr>
    <w:tblStylePr w:type="firstCol">
      <w:rPr>
        <w:b/>
        <w:bCs/>
      </w:rPr>
    </w:tblStylePr>
    <w:tblStylePr w:type="lastCol">
      <w:rPr>
        <w:b/>
        <w:bCs/>
      </w:rPr>
      <w:tblPr/>
      <w:tcPr>
        <w:tcBorders>
          <w:top w:val="single" w:color="FFC677" w:themeColor="accent4" w:sz="8" w:space="0"/>
          <w:bottom w:val="single" w:color="FFC677" w:themeColor="accent4" w:sz="8" w:space="0"/>
        </w:tcBorders>
      </w:tcPr>
    </w:tblStylePr>
    <w:tblStylePr w:type="band1Vert">
      <w:tblPr/>
      <w:tcPr>
        <w:shd w:val="clear" w:color="auto" w:fill="FFF0DD" w:themeFill="accent4" w:themeFillTint="3F"/>
      </w:tcPr>
    </w:tblStylePr>
    <w:tblStylePr w:type="band1Horz">
      <w:tblPr/>
      <w:tcPr>
        <w:shd w:val="clear" w:color="auto" w:fill="FFF0DD"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color="FF7A34" w:themeColor="accent5" w:sz="8" w:space="0"/>
        <w:bottom w:val="single" w:color="FF7A34" w:themeColor="accent5" w:sz="8" w:space="0"/>
      </w:tblBorders>
    </w:tblPr>
    <w:tblStylePr w:type="firstRow">
      <w:rPr>
        <w:rFonts w:asciiTheme="majorHAnsi" w:hAnsiTheme="majorHAnsi" w:eastAsiaTheme="majorEastAsia" w:cstheme="majorBidi"/>
      </w:rPr>
      <w:tblPr/>
      <w:tcPr>
        <w:tcBorders>
          <w:top w:val="nil"/>
          <w:bottom w:val="single" w:color="FF7A34" w:themeColor="accent5" w:sz="8" w:space="0"/>
        </w:tcBorders>
      </w:tcPr>
    </w:tblStylePr>
    <w:tblStylePr w:type="lastRow">
      <w:rPr>
        <w:b/>
        <w:bCs/>
        <w:color w:val="001032" w:themeColor="text2"/>
      </w:rPr>
      <w:tblPr/>
      <w:tcPr>
        <w:tcBorders>
          <w:top w:val="single" w:color="FF7A34" w:themeColor="accent5" w:sz="8" w:space="0"/>
          <w:bottom w:val="single" w:color="FF7A34" w:themeColor="accent5" w:sz="8" w:space="0"/>
        </w:tcBorders>
      </w:tcPr>
    </w:tblStylePr>
    <w:tblStylePr w:type="firstCol">
      <w:rPr>
        <w:b/>
        <w:bCs/>
      </w:rPr>
    </w:tblStylePr>
    <w:tblStylePr w:type="lastCol">
      <w:rPr>
        <w:b/>
        <w:bCs/>
      </w:rPr>
      <w:tblPr/>
      <w:tcPr>
        <w:tcBorders>
          <w:top w:val="single" w:color="FF7A34" w:themeColor="accent5" w:sz="8" w:space="0"/>
          <w:bottom w:val="single" w:color="FF7A34" w:themeColor="accent5" w:sz="8" w:space="0"/>
        </w:tcBorders>
      </w:tcPr>
    </w:tblStylePr>
    <w:tblStylePr w:type="band1Vert">
      <w:tblPr/>
      <w:tcPr>
        <w:shd w:val="clear" w:color="auto" w:fill="FFDDCC" w:themeFill="accent5" w:themeFillTint="3F"/>
      </w:tcPr>
    </w:tblStylePr>
    <w:tblStylePr w:type="band1Horz">
      <w:tblPr/>
      <w:tcPr>
        <w:shd w:val="clear" w:color="auto" w:fill="FFDDCC"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color="F0404F" w:themeColor="accent6" w:sz="8" w:space="0"/>
        <w:bottom w:val="single" w:color="F0404F" w:themeColor="accent6" w:sz="8" w:space="0"/>
      </w:tblBorders>
    </w:tblPr>
    <w:tblStylePr w:type="firstRow">
      <w:rPr>
        <w:rFonts w:asciiTheme="majorHAnsi" w:hAnsiTheme="majorHAnsi" w:eastAsiaTheme="majorEastAsia" w:cstheme="majorBidi"/>
      </w:rPr>
      <w:tblPr/>
      <w:tcPr>
        <w:tcBorders>
          <w:top w:val="nil"/>
          <w:bottom w:val="single" w:color="F0404F" w:themeColor="accent6" w:sz="8" w:space="0"/>
        </w:tcBorders>
      </w:tcPr>
    </w:tblStylePr>
    <w:tblStylePr w:type="lastRow">
      <w:rPr>
        <w:b/>
        <w:bCs/>
        <w:color w:val="001032" w:themeColor="text2"/>
      </w:rPr>
      <w:tblPr/>
      <w:tcPr>
        <w:tcBorders>
          <w:top w:val="single" w:color="F0404F" w:themeColor="accent6" w:sz="8" w:space="0"/>
          <w:bottom w:val="single" w:color="F0404F" w:themeColor="accent6" w:sz="8" w:space="0"/>
        </w:tcBorders>
      </w:tcPr>
    </w:tblStylePr>
    <w:tblStylePr w:type="firstCol">
      <w:rPr>
        <w:b/>
        <w:bCs/>
      </w:rPr>
    </w:tblStylePr>
    <w:tblStylePr w:type="lastCol">
      <w:rPr>
        <w:b/>
        <w:bCs/>
      </w:rPr>
      <w:tblPr/>
      <w:tcPr>
        <w:tcBorders>
          <w:top w:val="single" w:color="F0404F" w:themeColor="accent6" w:sz="8" w:space="0"/>
          <w:bottom w:val="single" w:color="F0404F" w:themeColor="accent6" w:sz="8" w:space="0"/>
        </w:tcBorders>
      </w:tcPr>
    </w:tblStylePr>
    <w:tblStylePr w:type="band1Vert">
      <w:tblPr/>
      <w:tcPr>
        <w:shd w:val="clear" w:color="auto" w:fill="FBCFD3" w:themeFill="accent6" w:themeFillTint="3F"/>
      </w:tcPr>
    </w:tblStylePr>
    <w:tblStylePr w:type="band1Horz">
      <w:tblPr/>
      <w:tcPr>
        <w:shd w:val="clear" w:color="auto" w:fill="FBCFD3" w:themeFill="accent6" w:themeFillTint="3F"/>
      </w:tcPr>
    </w:tblStylePr>
  </w:style>
  <w:style w:type="table" w:styleId="MediumList2">
    <w:name w:val="Medium List 2"/>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103A36" w:themeColor="accent1" w:sz="8" w:space="0"/>
        <w:left w:val="single" w:color="103A36" w:themeColor="accent1" w:sz="8" w:space="0"/>
        <w:bottom w:val="single" w:color="103A36" w:themeColor="accent1" w:sz="8" w:space="0"/>
        <w:right w:val="single" w:color="103A36" w:themeColor="accent1" w:sz="8" w:space="0"/>
      </w:tblBorders>
    </w:tblPr>
    <w:tblStylePr w:type="firstRow">
      <w:rPr>
        <w:sz w:val="24"/>
        <w:szCs w:val="24"/>
      </w:rPr>
      <w:tblPr/>
      <w:tcPr>
        <w:tcBorders>
          <w:top w:val="nil"/>
          <w:left w:val="nil"/>
          <w:bottom w:val="single" w:color="103A36" w:themeColor="accent1" w:sz="24" w:space="0"/>
          <w:right w:val="nil"/>
          <w:insideH w:val="nil"/>
          <w:insideV w:val="nil"/>
        </w:tcBorders>
        <w:shd w:val="clear" w:color="auto" w:fill="FFFFFF" w:themeFill="background1"/>
      </w:tcPr>
    </w:tblStylePr>
    <w:tblStylePr w:type="lastRow">
      <w:tblPr/>
      <w:tcPr>
        <w:tcBorders>
          <w:top w:val="single" w:color="103A36"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03A36" w:themeColor="accent1" w:sz="8" w:space="0"/>
          <w:insideH w:val="nil"/>
          <w:insideV w:val="nil"/>
        </w:tcBorders>
        <w:shd w:val="clear" w:color="auto" w:fill="FFFFFF" w:themeFill="background1"/>
      </w:tcPr>
    </w:tblStylePr>
    <w:tblStylePr w:type="lastCol">
      <w:tblPr/>
      <w:tcPr>
        <w:tcBorders>
          <w:top w:val="nil"/>
          <w:left w:val="single" w:color="103A36"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7E1" w:themeFill="accent1" w:themeFillTint="3F"/>
      </w:tcPr>
    </w:tblStylePr>
    <w:tblStylePr w:type="band1Horz">
      <w:tblPr/>
      <w:tcPr>
        <w:tcBorders>
          <w:top w:val="nil"/>
          <w:bottom w:val="nil"/>
          <w:insideH w:val="nil"/>
          <w:insideV w:val="nil"/>
        </w:tcBorders>
        <w:shd w:val="clear" w:color="auto" w:fill="AAE7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009364" w:themeColor="accent2" w:sz="8" w:space="0"/>
        <w:left w:val="single" w:color="009364" w:themeColor="accent2" w:sz="8" w:space="0"/>
        <w:bottom w:val="single" w:color="009364" w:themeColor="accent2" w:sz="8" w:space="0"/>
        <w:right w:val="single" w:color="009364" w:themeColor="accent2" w:sz="8" w:space="0"/>
      </w:tblBorders>
    </w:tblPr>
    <w:tblStylePr w:type="firstRow">
      <w:rPr>
        <w:sz w:val="24"/>
        <w:szCs w:val="24"/>
      </w:rPr>
      <w:tblPr/>
      <w:tcPr>
        <w:tcBorders>
          <w:top w:val="nil"/>
          <w:left w:val="nil"/>
          <w:bottom w:val="single" w:color="009364" w:themeColor="accent2" w:sz="24" w:space="0"/>
          <w:right w:val="nil"/>
          <w:insideH w:val="nil"/>
          <w:insideV w:val="nil"/>
        </w:tcBorders>
        <w:shd w:val="clear" w:color="auto" w:fill="FFFFFF" w:themeFill="background1"/>
      </w:tcPr>
    </w:tblStylePr>
    <w:tblStylePr w:type="lastRow">
      <w:tblPr/>
      <w:tcPr>
        <w:tcBorders>
          <w:top w:val="single" w:color="009364"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9364" w:themeColor="accent2" w:sz="8" w:space="0"/>
          <w:insideH w:val="nil"/>
          <w:insideV w:val="nil"/>
        </w:tcBorders>
        <w:shd w:val="clear" w:color="auto" w:fill="FFFFFF" w:themeFill="background1"/>
      </w:tcPr>
    </w:tblStylePr>
    <w:tblStylePr w:type="lastCol">
      <w:tblPr/>
      <w:tcPr>
        <w:tcBorders>
          <w:top w:val="nil"/>
          <w:left w:val="single" w:color="009364"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FFE2" w:themeFill="accent2" w:themeFillTint="3F"/>
      </w:tcPr>
    </w:tblStylePr>
    <w:tblStylePr w:type="band1Horz">
      <w:tblPr/>
      <w:tcPr>
        <w:tcBorders>
          <w:top w:val="nil"/>
          <w:bottom w:val="nil"/>
          <w:insideH w:val="nil"/>
          <w:insideV w:val="nil"/>
        </w:tcBorders>
        <w:shd w:val="clear" w:color="auto" w:fill="A5FF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F6E265" w:themeColor="accent3" w:sz="8" w:space="0"/>
        <w:left w:val="single" w:color="F6E265" w:themeColor="accent3" w:sz="8" w:space="0"/>
        <w:bottom w:val="single" w:color="F6E265" w:themeColor="accent3" w:sz="8" w:space="0"/>
        <w:right w:val="single" w:color="F6E265" w:themeColor="accent3" w:sz="8" w:space="0"/>
      </w:tblBorders>
    </w:tblPr>
    <w:tblStylePr w:type="firstRow">
      <w:rPr>
        <w:sz w:val="24"/>
        <w:szCs w:val="24"/>
      </w:rPr>
      <w:tblPr/>
      <w:tcPr>
        <w:tcBorders>
          <w:top w:val="nil"/>
          <w:left w:val="nil"/>
          <w:bottom w:val="single" w:color="F6E265" w:themeColor="accent3" w:sz="24" w:space="0"/>
          <w:right w:val="nil"/>
          <w:insideH w:val="nil"/>
          <w:insideV w:val="nil"/>
        </w:tcBorders>
        <w:shd w:val="clear" w:color="auto" w:fill="FFFFFF" w:themeFill="background1"/>
      </w:tcPr>
    </w:tblStylePr>
    <w:tblStylePr w:type="lastRow">
      <w:tblPr/>
      <w:tcPr>
        <w:tcBorders>
          <w:top w:val="single" w:color="F6E26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6E265" w:themeColor="accent3" w:sz="8" w:space="0"/>
          <w:insideH w:val="nil"/>
          <w:insideV w:val="nil"/>
        </w:tcBorders>
        <w:shd w:val="clear" w:color="auto" w:fill="FFFFFF" w:themeFill="background1"/>
      </w:tcPr>
    </w:tblStylePr>
    <w:tblStylePr w:type="lastCol">
      <w:tblPr/>
      <w:tcPr>
        <w:tcBorders>
          <w:top w:val="nil"/>
          <w:left w:val="single" w:color="F6E26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D8" w:themeFill="accent3" w:themeFillTint="3F"/>
      </w:tcPr>
    </w:tblStylePr>
    <w:tblStylePr w:type="band1Horz">
      <w:tblPr/>
      <w:tcPr>
        <w:tcBorders>
          <w:top w:val="nil"/>
          <w:bottom w:val="nil"/>
          <w:insideH w:val="nil"/>
          <w:insideV w:val="nil"/>
        </w:tcBorders>
        <w:shd w:val="clear" w:color="auto" w:fill="FCF7D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FFC677" w:themeColor="accent4" w:sz="8" w:space="0"/>
        <w:left w:val="single" w:color="FFC677" w:themeColor="accent4" w:sz="8" w:space="0"/>
        <w:bottom w:val="single" w:color="FFC677" w:themeColor="accent4" w:sz="8" w:space="0"/>
        <w:right w:val="single" w:color="FFC677" w:themeColor="accent4" w:sz="8" w:space="0"/>
      </w:tblBorders>
    </w:tblPr>
    <w:tblStylePr w:type="firstRow">
      <w:rPr>
        <w:sz w:val="24"/>
        <w:szCs w:val="24"/>
      </w:rPr>
      <w:tblPr/>
      <w:tcPr>
        <w:tcBorders>
          <w:top w:val="nil"/>
          <w:left w:val="nil"/>
          <w:bottom w:val="single" w:color="FFC677" w:themeColor="accent4" w:sz="24" w:space="0"/>
          <w:right w:val="nil"/>
          <w:insideH w:val="nil"/>
          <w:insideV w:val="nil"/>
        </w:tcBorders>
        <w:shd w:val="clear" w:color="auto" w:fill="FFFFFF" w:themeFill="background1"/>
      </w:tcPr>
    </w:tblStylePr>
    <w:tblStylePr w:type="lastRow">
      <w:tblPr/>
      <w:tcPr>
        <w:tcBorders>
          <w:top w:val="single" w:color="FFC677"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677" w:themeColor="accent4" w:sz="8" w:space="0"/>
          <w:insideH w:val="nil"/>
          <w:insideV w:val="nil"/>
        </w:tcBorders>
        <w:shd w:val="clear" w:color="auto" w:fill="FFFFFF" w:themeFill="background1"/>
      </w:tcPr>
    </w:tblStylePr>
    <w:tblStylePr w:type="lastCol">
      <w:tblPr/>
      <w:tcPr>
        <w:tcBorders>
          <w:top w:val="nil"/>
          <w:left w:val="single" w:color="FFC67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DD" w:themeFill="accent4" w:themeFillTint="3F"/>
      </w:tcPr>
    </w:tblStylePr>
    <w:tblStylePr w:type="band1Horz">
      <w:tblPr/>
      <w:tcPr>
        <w:tcBorders>
          <w:top w:val="nil"/>
          <w:bottom w:val="nil"/>
          <w:insideH w:val="nil"/>
          <w:insideV w:val="nil"/>
        </w:tcBorders>
        <w:shd w:val="clear" w:color="auto" w:fill="FFF0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FF7A34" w:themeColor="accent5" w:sz="8" w:space="0"/>
        <w:left w:val="single" w:color="FF7A34" w:themeColor="accent5" w:sz="8" w:space="0"/>
        <w:bottom w:val="single" w:color="FF7A34" w:themeColor="accent5" w:sz="8" w:space="0"/>
        <w:right w:val="single" w:color="FF7A34" w:themeColor="accent5" w:sz="8" w:space="0"/>
      </w:tblBorders>
    </w:tblPr>
    <w:tblStylePr w:type="firstRow">
      <w:rPr>
        <w:sz w:val="24"/>
        <w:szCs w:val="24"/>
      </w:rPr>
      <w:tblPr/>
      <w:tcPr>
        <w:tcBorders>
          <w:top w:val="nil"/>
          <w:left w:val="nil"/>
          <w:bottom w:val="single" w:color="FF7A34" w:themeColor="accent5" w:sz="24" w:space="0"/>
          <w:right w:val="nil"/>
          <w:insideH w:val="nil"/>
          <w:insideV w:val="nil"/>
        </w:tcBorders>
        <w:shd w:val="clear" w:color="auto" w:fill="FFFFFF" w:themeFill="background1"/>
      </w:tcPr>
    </w:tblStylePr>
    <w:tblStylePr w:type="lastRow">
      <w:tblPr/>
      <w:tcPr>
        <w:tcBorders>
          <w:top w:val="single" w:color="FF7A3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7A34" w:themeColor="accent5" w:sz="8" w:space="0"/>
          <w:insideH w:val="nil"/>
          <w:insideV w:val="nil"/>
        </w:tcBorders>
        <w:shd w:val="clear" w:color="auto" w:fill="FFFFFF" w:themeFill="background1"/>
      </w:tcPr>
    </w:tblStylePr>
    <w:tblStylePr w:type="lastCol">
      <w:tblPr/>
      <w:tcPr>
        <w:tcBorders>
          <w:top w:val="nil"/>
          <w:left w:val="single" w:color="FF7A3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DCC" w:themeFill="accent5" w:themeFillTint="3F"/>
      </w:tcPr>
    </w:tblStylePr>
    <w:tblStylePr w:type="band1Horz">
      <w:tblPr/>
      <w:tcPr>
        <w:tcBorders>
          <w:top w:val="nil"/>
          <w:bottom w:val="nil"/>
          <w:insideH w:val="nil"/>
          <w:insideV w:val="nil"/>
        </w:tcBorders>
        <w:shd w:val="clear" w:color="auto" w:fill="FFDD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F0404F" w:themeColor="accent6" w:sz="8" w:space="0"/>
        <w:left w:val="single" w:color="F0404F" w:themeColor="accent6" w:sz="8" w:space="0"/>
        <w:bottom w:val="single" w:color="F0404F" w:themeColor="accent6" w:sz="8" w:space="0"/>
        <w:right w:val="single" w:color="F0404F" w:themeColor="accent6" w:sz="8" w:space="0"/>
      </w:tblBorders>
    </w:tblPr>
    <w:tblStylePr w:type="firstRow">
      <w:rPr>
        <w:sz w:val="24"/>
        <w:szCs w:val="24"/>
      </w:rPr>
      <w:tblPr/>
      <w:tcPr>
        <w:tcBorders>
          <w:top w:val="nil"/>
          <w:left w:val="nil"/>
          <w:bottom w:val="single" w:color="F0404F" w:themeColor="accent6" w:sz="24" w:space="0"/>
          <w:right w:val="nil"/>
          <w:insideH w:val="nil"/>
          <w:insideV w:val="nil"/>
        </w:tcBorders>
        <w:shd w:val="clear" w:color="auto" w:fill="FFFFFF" w:themeFill="background1"/>
      </w:tcPr>
    </w:tblStylePr>
    <w:tblStylePr w:type="lastRow">
      <w:tblPr/>
      <w:tcPr>
        <w:tcBorders>
          <w:top w:val="single" w:color="F0404F"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0404F" w:themeColor="accent6" w:sz="8" w:space="0"/>
          <w:insideH w:val="nil"/>
          <w:insideV w:val="nil"/>
        </w:tcBorders>
        <w:shd w:val="clear" w:color="auto" w:fill="FFFFFF" w:themeFill="background1"/>
      </w:tcPr>
    </w:tblStylePr>
    <w:tblStylePr w:type="lastCol">
      <w:tblPr/>
      <w:tcPr>
        <w:tcBorders>
          <w:top w:val="nil"/>
          <w:left w:val="single" w:color="F0404F"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CFD3" w:themeFill="accent6" w:themeFillTint="3F"/>
      </w:tcPr>
    </w:tblStylePr>
    <w:tblStylePr w:type="band1Horz">
      <w:tblPr/>
      <w:tcPr>
        <w:tcBorders>
          <w:top w:val="nil"/>
          <w:bottom w:val="nil"/>
          <w:insideH w:val="nil"/>
          <w:insideV w:val="nil"/>
        </w:tcBorders>
        <w:shd w:val="clear" w:color="auto" w:fill="FBCF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color="278F85" w:themeColor="accent1" w:themeTint="BF" w:sz="8" w:space="0"/>
        <w:left w:val="single" w:color="278F85" w:themeColor="accent1" w:themeTint="BF" w:sz="8" w:space="0"/>
        <w:bottom w:val="single" w:color="278F85" w:themeColor="accent1" w:themeTint="BF" w:sz="8" w:space="0"/>
        <w:right w:val="single" w:color="278F85" w:themeColor="accent1" w:themeTint="BF" w:sz="8" w:space="0"/>
        <w:insideH w:val="single" w:color="278F85" w:themeColor="accent1" w:themeTint="BF" w:sz="8" w:space="0"/>
      </w:tblBorders>
    </w:tblPr>
    <w:tblStylePr w:type="firstRow">
      <w:pPr>
        <w:spacing w:before="0" w:after="0" w:line="240" w:lineRule="auto"/>
      </w:pPr>
      <w:rPr>
        <w:b/>
        <w:bCs/>
        <w:color w:val="FFFFFF" w:themeColor="background1"/>
      </w:rPr>
      <w:tblPr/>
      <w:tcPr>
        <w:tcBorders>
          <w:top w:val="single" w:color="278F85" w:themeColor="accent1" w:themeTint="BF" w:sz="8" w:space="0"/>
          <w:left w:val="single" w:color="278F85" w:themeColor="accent1" w:themeTint="BF" w:sz="8" w:space="0"/>
          <w:bottom w:val="single" w:color="278F85" w:themeColor="accent1" w:themeTint="BF" w:sz="8" w:space="0"/>
          <w:right w:val="single" w:color="278F85" w:themeColor="accent1" w:themeTint="BF" w:sz="8" w:space="0"/>
          <w:insideH w:val="nil"/>
          <w:insideV w:val="nil"/>
        </w:tcBorders>
        <w:shd w:val="clear" w:color="auto" w:fill="103A36" w:themeFill="accent1"/>
      </w:tcPr>
    </w:tblStylePr>
    <w:tblStylePr w:type="lastRow">
      <w:pPr>
        <w:spacing w:before="0" w:after="0" w:line="240" w:lineRule="auto"/>
      </w:pPr>
      <w:rPr>
        <w:b/>
        <w:bCs/>
      </w:rPr>
      <w:tblPr/>
      <w:tcPr>
        <w:tcBorders>
          <w:top w:val="double" w:color="278F85" w:themeColor="accent1" w:themeTint="BF" w:sz="6" w:space="0"/>
          <w:left w:val="single" w:color="278F85" w:themeColor="accent1" w:themeTint="BF" w:sz="8" w:space="0"/>
          <w:bottom w:val="single" w:color="278F85" w:themeColor="accent1" w:themeTint="BF" w:sz="8" w:space="0"/>
          <w:right w:val="single" w:color="278F85"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AAE7E1" w:themeFill="accent1" w:themeFillTint="3F"/>
      </w:tcPr>
    </w:tblStylePr>
    <w:tblStylePr w:type="band1Horz">
      <w:tblPr/>
      <w:tcPr>
        <w:tcBorders>
          <w:insideH w:val="nil"/>
          <w:insideV w:val="nil"/>
        </w:tcBorders>
        <w:shd w:val="clear" w:color="auto" w:fill="AAE7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color="00EEA1" w:themeColor="accent2" w:themeTint="BF" w:sz="8" w:space="0"/>
        <w:left w:val="single" w:color="00EEA1" w:themeColor="accent2" w:themeTint="BF" w:sz="8" w:space="0"/>
        <w:bottom w:val="single" w:color="00EEA1" w:themeColor="accent2" w:themeTint="BF" w:sz="8" w:space="0"/>
        <w:right w:val="single" w:color="00EEA1" w:themeColor="accent2" w:themeTint="BF" w:sz="8" w:space="0"/>
        <w:insideH w:val="single" w:color="00EEA1" w:themeColor="accent2" w:themeTint="BF" w:sz="8" w:space="0"/>
      </w:tblBorders>
    </w:tblPr>
    <w:tblStylePr w:type="firstRow">
      <w:pPr>
        <w:spacing w:before="0" w:after="0" w:line="240" w:lineRule="auto"/>
      </w:pPr>
      <w:rPr>
        <w:b/>
        <w:bCs/>
        <w:color w:val="FFFFFF" w:themeColor="background1"/>
      </w:rPr>
      <w:tblPr/>
      <w:tcPr>
        <w:tcBorders>
          <w:top w:val="single" w:color="00EEA1" w:themeColor="accent2" w:themeTint="BF" w:sz="8" w:space="0"/>
          <w:left w:val="single" w:color="00EEA1" w:themeColor="accent2" w:themeTint="BF" w:sz="8" w:space="0"/>
          <w:bottom w:val="single" w:color="00EEA1" w:themeColor="accent2" w:themeTint="BF" w:sz="8" w:space="0"/>
          <w:right w:val="single" w:color="00EEA1" w:themeColor="accent2" w:themeTint="BF" w:sz="8" w:space="0"/>
          <w:insideH w:val="nil"/>
          <w:insideV w:val="nil"/>
        </w:tcBorders>
        <w:shd w:val="clear" w:color="auto" w:fill="009364" w:themeFill="accent2"/>
      </w:tcPr>
    </w:tblStylePr>
    <w:tblStylePr w:type="lastRow">
      <w:pPr>
        <w:spacing w:before="0" w:after="0" w:line="240" w:lineRule="auto"/>
      </w:pPr>
      <w:rPr>
        <w:b/>
        <w:bCs/>
      </w:rPr>
      <w:tblPr/>
      <w:tcPr>
        <w:tcBorders>
          <w:top w:val="double" w:color="00EEA1" w:themeColor="accent2" w:themeTint="BF" w:sz="6" w:space="0"/>
          <w:left w:val="single" w:color="00EEA1" w:themeColor="accent2" w:themeTint="BF" w:sz="8" w:space="0"/>
          <w:bottom w:val="single" w:color="00EEA1" w:themeColor="accent2" w:themeTint="BF" w:sz="8" w:space="0"/>
          <w:right w:val="single" w:color="00EEA1"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A5FFE2" w:themeFill="accent2" w:themeFillTint="3F"/>
      </w:tcPr>
    </w:tblStylePr>
    <w:tblStylePr w:type="band1Horz">
      <w:tblPr/>
      <w:tcPr>
        <w:tcBorders>
          <w:insideH w:val="nil"/>
          <w:insideV w:val="nil"/>
        </w:tcBorders>
        <w:shd w:val="clear" w:color="auto" w:fill="A5FFE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color="F8E88B" w:themeColor="accent3" w:themeTint="BF" w:sz="8" w:space="0"/>
        <w:left w:val="single" w:color="F8E88B" w:themeColor="accent3" w:themeTint="BF" w:sz="8" w:space="0"/>
        <w:bottom w:val="single" w:color="F8E88B" w:themeColor="accent3" w:themeTint="BF" w:sz="8" w:space="0"/>
        <w:right w:val="single" w:color="F8E88B" w:themeColor="accent3" w:themeTint="BF" w:sz="8" w:space="0"/>
        <w:insideH w:val="single" w:color="F8E88B" w:themeColor="accent3" w:themeTint="BF" w:sz="8" w:space="0"/>
      </w:tblBorders>
    </w:tblPr>
    <w:tblStylePr w:type="firstRow">
      <w:pPr>
        <w:spacing w:before="0" w:after="0" w:line="240" w:lineRule="auto"/>
      </w:pPr>
      <w:rPr>
        <w:b/>
        <w:bCs/>
        <w:color w:val="FFFFFF" w:themeColor="background1"/>
      </w:rPr>
      <w:tblPr/>
      <w:tcPr>
        <w:tcBorders>
          <w:top w:val="single" w:color="F8E88B" w:themeColor="accent3" w:themeTint="BF" w:sz="8" w:space="0"/>
          <w:left w:val="single" w:color="F8E88B" w:themeColor="accent3" w:themeTint="BF" w:sz="8" w:space="0"/>
          <w:bottom w:val="single" w:color="F8E88B" w:themeColor="accent3" w:themeTint="BF" w:sz="8" w:space="0"/>
          <w:right w:val="single" w:color="F8E88B" w:themeColor="accent3" w:themeTint="BF" w:sz="8" w:space="0"/>
          <w:insideH w:val="nil"/>
          <w:insideV w:val="nil"/>
        </w:tcBorders>
        <w:shd w:val="clear" w:color="auto" w:fill="F6E265" w:themeFill="accent3"/>
      </w:tcPr>
    </w:tblStylePr>
    <w:tblStylePr w:type="lastRow">
      <w:pPr>
        <w:spacing w:before="0" w:after="0" w:line="240" w:lineRule="auto"/>
      </w:pPr>
      <w:rPr>
        <w:b/>
        <w:bCs/>
      </w:rPr>
      <w:tblPr/>
      <w:tcPr>
        <w:tcBorders>
          <w:top w:val="double" w:color="F8E88B" w:themeColor="accent3" w:themeTint="BF" w:sz="6" w:space="0"/>
          <w:left w:val="single" w:color="F8E88B" w:themeColor="accent3" w:themeTint="BF" w:sz="8" w:space="0"/>
          <w:bottom w:val="single" w:color="F8E88B" w:themeColor="accent3" w:themeTint="BF" w:sz="8" w:space="0"/>
          <w:right w:val="single" w:color="F8E88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CF7D8" w:themeFill="accent3" w:themeFillTint="3F"/>
      </w:tcPr>
    </w:tblStylePr>
    <w:tblStylePr w:type="band1Horz">
      <w:tblPr/>
      <w:tcPr>
        <w:tcBorders>
          <w:insideH w:val="nil"/>
          <w:insideV w:val="nil"/>
        </w:tcBorders>
        <w:shd w:val="clear" w:color="auto" w:fill="FCF7D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color="FFD499" w:themeColor="accent4" w:themeTint="BF" w:sz="8" w:space="0"/>
        <w:left w:val="single" w:color="FFD499" w:themeColor="accent4" w:themeTint="BF" w:sz="8" w:space="0"/>
        <w:bottom w:val="single" w:color="FFD499" w:themeColor="accent4" w:themeTint="BF" w:sz="8" w:space="0"/>
        <w:right w:val="single" w:color="FFD499" w:themeColor="accent4" w:themeTint="BF" w:sz="8" w:space="0"/>
        <w:insideH w:val="single" w:color="FFD499" w:themeColor="accent4" w:themeTint="BF" w:sz="8" w:space="0"/>
      </w:tblBorders>
    </w:tblPr>
    <w:tblStylePr w:type="firstRow">
      <w:pPr>
        <w:spacing w:before="0" w:after="0" w:line="240" w:lineRule="auto"/>
      </w:pPr>
      <w:rPr>
        <w:b/>
        <w:bCs/>
        <w:color w:val="FFFFFF" w:themeColor="background1"/>
      </w:rPr>
      <w:tblPr/>
      <w:tcPr>
        <w:tcBorders>
          <w:top w:val="single" w:color="FFD499" w:themeColor="accent4" w:themeTint="BF" w:sz="8" w:space="0"/>
          <w:left w:val="single" w:color="FFD499" w:themeColor="accent4" w:themeTint="BF" w:sz="8" w:space="0"/>
          <w:bottom w:val="single" w:color="FFD499" w:themeColor="accent4" w:themeTint="BF" w:sz="8" w:space="0"/>
          <w:right w:val="single" w:color="FFD499" w:themeColor="accent4" w:themeTint="BF" w:sz="8" w:space="0"/>
          <w:insideH w:val="nil"/>
          <w:insideV w:val="nil"/>
        </w:tcBorders>
        <w:shd w:val="clear" w:color="auto" w:fill="FFC677" w:themeFill="accent4"/>
      </w:tcPr>
    </w:tblStylePr>
    <w:tblStylePr w:type="lastRow">
      <w:pPr>
        <w:spacing w:before="0" w:after="0" w:line="240" w:lineRule="auto"/>
      </w:pPr>
      <w:rPr>
        <w:b/>
        <w:bCs/>
      </w:rPr>
      <w:tblPr/>
      <w:tcPr>
        <w:tcBorders>
          <w:top w:val="double" w:color="FFD499" w:themeColor="accent4" w:themeTint="BF" w:sz="6" w:space="0"/>
          <w:left w:val="single" w:color="FFD499" w:themeColor="accent4" w:themeTint="BF" w:sz="8" w:space="0"/>
          <w:bottom w:val="single" w:color="FFD499" w:themeColor="accent4" w:themeTint="BF" w:sz="8" w:space="0"/>
          <w:right w:val="single" w:color="FFD49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F0DD" w:themeFill="accent4" w:themeFillTint="3F"/>
      </w:tcPr>
    </w:tblStylePr>
    <w:tblStylePr w:type="band1Horz">
      <w:tblPr/>
      <w:tcPr>
        <w:tcBorders>
          <w:insideH w:val="nil"/>
          <w:insideV w:val="nil"/>
        </w:tcBorders>
        <w:shd w:val="clear" w:color="auto" w:fill="FFF0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color="FF9A66" w:themeColor="accent5" w:themeTint="BF" w:sz="8" w:space="0"/>
        <w:left w:val="single" w:color="FF9A66" w:themeColor="accent5" w:themeTint="BF" w:sz="8" w:space="0"/>
        <w:bottom w:val="single" w:color="FF9A66" w:themeColor="accent5" w:themeTint="BF" w:sz="8" w:space="0"/>
        <w:right w:val="single" w:color="FF9A66" w:themeColor="accent5" w:themeTint="BF" w:sz="8" w:space="0"/>
        <w:insideH w:val="single" w:color="FF9A66" w:themeColor="accent5" w:themeTint="BF" w:sz="8" w:space="0"/>
      </w:tblBorders>
    </w:tblPr>
    <w:tblStylePr w:type="firstRow">
      <w:pPr>
        <w:spacing w:before="0" w:after="0" w:line="240" w:lineRule="auto"/>
      </w:pPr>
      <w:rPr>
        <w:b/>
        <w:bCs/>
        <w:color w:val="FFFFFF" w:themeColor="background1"/>
      </w:rPr>
      <w:tblPr/>
      <w:tcPr>
        <w:tcBorders>
          <w:top w:val="single" w:color="FF9A66" w:themeColor="accent5" w:themeTint="BF" w:sz="8" w:space="0"/>
          <w:left w:val="single" w:color="FF9A66" w:themeColor="accent5" w:themeTint="BF" w:sz="8" w:space="0"/>
          <w:bottom w:val="single" w:color="FF9A66" w:themeColor="accent5" w:themeTint="BF" w:sz="8" w:space="0"/>
          <w:right w:val="single" w:color="FF9A66" w:themeColor="accent5" w:themeTint="BF" w:sz="8" w:space="0"/>
          <w:insideH w:val="nil"/>
          <w:insideV w:val="nil"/>
        </w:tcBorders>
        <w:shd w:val="clear" w:color="auto" w:fill="FF7A34" w:themeFill="accent5"/>
      </w:tcPr>
    </w:tblStylePr>
    <w:tblStylePr w:type="lastRow">
      <w:pPr>
        <w:spacing w:before="0" w:after="0" w:line="240" w:lineRule="auto"/>
      </w:pPr>
      <w:rPr>
        <w:b/>
        <w:bCs/>
      </w:rPr>
      <w:tblPr/>
      <w:tcPr>
        <w:tcBorders>
          <w:top w:val="double" w:color="FF9A66" w:themeColor="accent5" w:themeTint="BF" w:sz="6" w:space="0"/>
          <w:left w:val="single" w:color="FF9A66" w:themeColor="accent5" w:themeTint="BF" w:sz="8" w:space="0"/>
          <w:bottom w:val="single" w:color="FF9A66" w:themeColor="accent5" w:themeTint="BF" w:sz="8" w:space="0"/>
          <w:right w:val="single" w:color="FF9A66"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FDDCC" w:themeFill="accent5" w:themeFillTint="3F"/>
      </w:tcPr>
    </w:tblStylePr>
    <w:tblStylePr w:type="band1Horz">
      <w:tblPr/>
      <w:tcPr>
        <w:tcBorders>
          <w:insideH w:val="nil"/>
          <w:insideV w:val="nil"/>
        </w:tcBorders>
        <w:shd w:val="clear" w:color="auto" w:fill="FFDDC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color="F36F7A" w:themeColor="accent6" w:themeTint="BF" w:sz="8" w:space="0"/>
        <w:left w:val="single" w:color="F36F7A" w:themeColor="accent6" w:themeTint="BF" w:sz="8" w:space="0"/>
        <w:bottom w:val="single" w:color="F36F7A" w:themeColor="accent6" w:themeTint="BF" w:sz="8" w:space="0"/>
        <w:right w:val="single" w:color="F36F7A" w:themeColor="accent6" w:themeTint="BF" w:sz="8" w:space="0"/>
        <w:insideH w:val="single" w:color="F36F7A" w:themeColor="accent6" w:themeTint="BF" w:sz="8" w:space="0"/>
      </w:tblBorders>
    </w:tblPr>
    <w:tblStylePr w:type="firstRow">
      <w:pPr>
        <w:spacing w:before="0" w:after="0" w:line="240" w:lineRule="auto"/>
      </w:pPr>
      <w:rPr>
        <w:b/>
        <w:bCs/>
        <w:color w:val="FFFFFF" w:themeColor="background1"/>
      </w:rPr>
      <w:tblPr/>
      <w:tcPr>
        <w:tcBorders>
          <w:top w:val="single" w:color="F36F7A" w:themeColor="accent6" w:themeTint="BF" w:sz="8" w:space="0"/>
          <w:left w:val="single" w:color="F36F7A" w:themeColor="accent6" w:themeTint="BF" w:sz="8" w:space="0"/>
          <w:bottom w:val="single" w:color="F36F7A" w:themeColor="accent6" w:themeTint="BF" w:sz="8" w:space="0"/>
          <w:right w:val="single" w:color="F36F7A" w:themeColor="accent6" w:themeTint="BF" w:sz="8" w:space="0"/>
          <w:insideH w:val="nil"/>
          <w:insideV w:val="nil"/>
        </w:tcBorders>
        <w:shd w:val="clear" w:color="auto" w:fill="F0404F" w:themeFill="accent6"/>
      </w:tcPr>
    </w:tblStylePr>
    <w:tblStylePr w:type="lastRow">
      <w:pPr>
        <w:spacing w:before="0" w:after="0" w:line="240" w:lineRule="auto"/>
      </w:pPr>
      <w:rPr>
        <w:b/>
        <w:bCs/>
      </w:rPr>
      <w:tblPr/>
      <w:tcPr>
        <w:tcBorders>
          <w:top w:val="double" w:color="F36F7A" w:themeColor="accent6" w:themeTint="BF" w:sz="6" w:space="0"/>
          <w:left w:val="single" w:color="F36F7A" w:themeColor="accent6" w:themeTint="BF" w:sz="8" w:space="0"/>
          <w:bottom w:val="single" w:color="F36F7A" w:themeColor="accent6" w:themeTint="BF" w:sz="8" w:space="0"/>
          <w:right w:val="single" w:color="F36F7A"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BCFD3" w:themeFill="accent6" w:themeFillTint="3F"/>
      </w:tcPr>
    </w:tblStylePr>
    <w:tblStylePr w:type="band1Horz">
      <w:tblPr/>
      <w:tcPr>
        <w:tcBorders>
          <w:insideH w:val="nil"/>
          <w:insideV w:val="nil"/>
        </w:tcBorders>
        <w:shd w:val="clear" w:color="auto" w:fill="FBCF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03A36"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03A36" w:themeFill="accent1"/>
      </w:tcPr>
    </w:tblStylePr>
    <w:tblStylePr w:type="lastCol">
      <w:rPr>
        <w:b/>
        <w:bCs/>
        <w:color w:val="FFFFFF" w:themeColor="background1"/>
      </w:rPr>
      <w:tblPr/>
      <w:tcPr>
        <w:tcBorders>
          <w:left w:val="nil"/>
          <w:right w:val="nil"/>
          <w:insideH w:val="nil"/>
          <w:insideV w:val="nil"/>
        </w:tcBorders>
        <w:shd w:val="clear" w:color="auto" w:fill="103A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9364"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9364" w:themeFill="accent2"/>
      </w:tcPr>
    </w:tblStylePr>
    <w:tblStylePr w:type="lastCol">
      <w:rPr>
        <w:b/>
        <w:bCs/>
        <w:color w:val="FFFFFF" w:themeColor="background1"/>
      </w:rPr>
      <w:tblPr/>
      <w:tcPr>
        <w:tcBorders>
          <w:left w:val="nil"/>
          <w:right w:val="nil"/>
          <w:insideH w:val="nil"/>
          <w:insideV w:val="nil"/>
        </w:tcBorders>
        <w:shd w:val="clear" w:color="auto" w:fill="00936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6E26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6E265" w:themeFill="accent3"/>
      </w:tcPr>
    </w:tblStylePr>
    <w:tblStylePr w:type="lastCol">
      <w:rPr>
        <w:b/>
        <w:bCs/>
        <w:color w:val="FFFFFF" w:themeColor="background1"/>
      </w:rPr>
      <w:tblPr/>
      <w:tcPr>
        <w:tcBorders>
          <w:left w:val="nil"/>
          <w:right w:val="nil"/>
          <w:insideH w:val="nil"/>
          <w:insideV w:val="nil"/>
        </w:tcBorders>
        <w:shd w:val="clear" w:color="auto" w:fill="F6E26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677"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C677" w:themeFill="accent4"/>
      </w:tcPr>
    </w:tblStylePr>
    <w:tblStylePr w:type="lastCol">
      <w:rPr>
        <w:b/>
        <w:bCs/>
        <w:color w:val="FFFFFF" w:themeColor="background1"/>
      </w:rPr>
      <w:tblPr/>
      <w:tcPr>
        <w:tcBorders>
          <w:left w:val="nil"/>
          <w:right w:val="nil"/>
          <w:insideH w:val="nil"/>
          <w:insideV w:val="nil"/>
        </w:tcBorders>
        <w:shd w:val="clear" w:color="auto" w:fill="FFC6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7A3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7A34" w:themeFill="accent5"/>
      </w:tcPr>
    </w:tblStylePr>
    <w:tblStylePr w:type="lastCol">
      <w:rPr>
        <w:b/>
        <w:bCs/>
        <w:color w:val="FFFFFF" w:themeColor="background1"/>
      </w:rPr>
      <w:tblPr/>
      <w:tcPr>
        <w:tcBorders>
          <w:left w:val="nil"/>
          <w:right w:val="nil"/>
          <w:insideH w:val="nil"/>
          <w:insideV w:val="nil"/>
        </w:tcBorders>
        <w:shd w:val="clear" w:color="auto" w:fill="FF7A3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0404F"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0404F" w:themeFill="accent6"/>
      </w:tcPr>
    </w:tblStylePr>
    <w:tblStylePr w:type="lastCol">
      <w:rPr>
        <w:b/>
        <w:bCs/>
        <w:color w:val="FFFFFF" w:themeColor="background1"/>
      </w:rPr>
      <w:tblPr/>
      <w:tcPr>
        <w:tcBorders>
          <w:left w:val="nil"/>
          <w:right w:val="nil"/>
          <w:insideH w:val="nil"/>
          <w:insideV w:val="nil"/>
        </w:tcBorders>
        <w:shd w:val="clear" w:color="auto" w:fill="F0404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58629F"/>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58629F"/>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58629F"/>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58629F"/>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58629F"/>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58629F"/>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58629F"/>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58629F"/>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58629F"/>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58629F"/>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58629F"/>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58629F"/>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58629F"/>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58629F"/>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58629F"/>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58629F"/>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58629F"/>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58629F"/>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58629F"/>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58629F"/>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58629F"/>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58629F"/>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semiHidden/>
    <w:rsid w:val="0058629F"/>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semiHidden/>
    <w:rsid w:val="0058629F"/>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58629F"/>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58629F"/>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58629F"/>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58629F"/>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58629F"/>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58629F"/>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58629F"/>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58629F"/>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58629F"/>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58629F"/>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58629F"/>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58629F"/>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5862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58629F"/>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58629F"/>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58629F"/>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NoteHeading">
    <w:name w:val="Note Heading"/>
    <w:basedOn w:val="Normal"/>
    <w:next w:val="Normal"/>
    <w:link w:val="NoteHeadingChar"/>
    <w:qFormat/>
    <w:rsid w:val="00811E79"/>
    <w:pPr>
      <w:spacing w:before="100" w:after="100" w:line="220" w:lineRule="atLeast"/>
    </w:pPr>
    <w:rPr>
      <w:sz w:val="16"/>
    </w:rPr>
  </w:style>
  <w:style w:type="character" w:styleId="NoteHeadingChar" w:customStyle="1">
    <w:name w:val="Note Heading Char"/>
    <w:basedOn w:val="DefaultParagraphFont"/>
    <w:link w:val="NoteHeading"/>
    <w:rsid w:val="00811E79"/>
    <w:rPr>
      <w:sz w:val="16"/>
    </w:r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styleId="PlainTextChar" w:customStyle="1">
    <w:name w:val="Plain Text Char"/>
    <w:basedOn w:val="DefaultParagraphFont"/>
    <w:link w:val="PlainText"/>
    <w:uiPriority w:val="99"/>
    <w:semiHidden/>
    <w:rsid w:val="0058629F"/>
    <w:rPr>
      <w:rFonts w:ascii="Calibri" w:hAnsi="Calibri"/>
      <w:color w:val="auto"/>
      <w:szCs w:val="21"/>
    </w:rPr>
  </w:style>
  <w:style w:type="character" w:styleId="FootnoteTextChar" w:customStyle="1">
    <w:name w:val="Footnote Text Char"/>
    <w:basedOn w:val="DefaultParagraphFont"/>
    <w:link w:val="FootnoteText"/>
    <w:rsid w:val="00D96685"/>
    <w:rPr>
      <w:sz w:val="16"/>
    </w:rPr>
  </w:style>
  <w:style w:type="character" w:styleId="TOC1Char" w:customStyle="1">
    <w:name w:val="TOC 1 Char"/>
    <w:basedOn w:val="DefaultParagraphFont"/>
    <w:link w:val="TOC1"/>
    <w:uiPriority w:val="39"/>
    <w:rsid w:val="007B6704"/>
    <w:rPr>
      <w:b/>
      <w:noProof/>
      <w:sz w:val="24"/>
    </w:rPr>
  </w:style>
  <w:style w:type="paragraph" w:styleId="EndnoteText">
    <w:name w:val="endnote text"/>
    <w:basedOn w:val="Normal"/>
    <w:link w:val="EndnoteTextChar"/>
    <w:semiHidden/>
    <w:unhideWhenUsed/>
    <w:rsid w:val="00D96685"/>
    <w:pPr>
      <w:spacing w:before="40" w:after="0" w:line="220" w:lineRule="atLeast"/>
    </w:pPr>
    <w:rPr>
      <w:sz w:val="16"/>
    </w:rPr>
  </w:style>
  <w:style w:type="paragraph" w:styleId="ListContinue4">
    <w:name w:val="List Continue 4"/>
    <w:basedOn w:val="Normal"/>
    <w:semiHidden/>
    <w:rsid w:val="0058629F"/>
    <w:pPr>
      <w:spacing w:before="100" w:after="100"/>
      <w:ind w:left="1814"/>
    </w:pPr>
  </w:style>
  <w:style w:type="paragraph" w:styleId="ListContinue5">
    <w:name w:val="List Continue 5"/>
    <w:basedOn w:val="Normal"/>
    <w:semiHidden/>
    <w:rsid w:val="0058629F"/>
    <w:pPr>
      <w:spacing w:before="100" w:after="100"/>
      <w:ind w:left="2268"/>
    </w:pPr>
  </w:style>
  <w:style w:type="numbering" w:styleId="LstBullets" w:customStyle="1">
    <w:name w:val="Lst_Bullets"/>
    <w:uiPriority w:val="99"/>
    <w:rsid w:val="00B2011B"/>
    <w:pPr>
      <w:numPr>
        <w:numId w:val="8"/>
      </w:numPr>
    </w:pPr>
  </w:style>
  <w:style w:type="paragraph" w:styleId="List">
    <w:name w:val="List"/>
    <w:basedOn w:val="Normal"/>
    <w:rsid w:val="0011224F"/>
    <w:pPr>
      <w:numPr>
        <w:numId w:val="10"/>
      </w:numPr>
    </w:pPr>
  </w:style>
  <w:style w:type="paragraph" w:styleId="List2">
    <w:name w:val="List 2"/>
    <w:basedOn w:val="Normal"/>
    <w:rsid w:val="0011224F"/>
    <w:pPr>
      <w:numPr>
        <w:ilvl w:val="1"/>
        <w:numId w:val="10"/>
      </w:numPr>
    </w:pPr>
  </w:style>
  <w:style w:type="paragraph" w:styleId="DisclaimerTextinFrame12pt" w:customStyle="1">
    <w:name w:val="Disclaimer Text in Frame 12pt"/>
    <w:basedOn w:val="DisclaimerTextinFrame"/>
    <w:uiPriority w:val="31"/>
    <w:rsid w:val="00625F4C"/>
    <w:pPr>
      <w:framePr w:wrap="around"/>
      <w:spacing w:before="190"/>
    </w:pPr>
    <w:rPr>
      <w:sz w:val="24"/>
    </w:rPr>
  </w:style>
  <w:style w:type="character" w:styleId="UnresolvedMention">
    <w:name w:val="Unresolved Mention"/>
    <w:basedOn w:val="DefaultParagraphFont"/>
    <w:uiPriority w:val="99"/>
    <w:semiHidden/>
    <w:unhideWhenUsed/>
    <w:rsid w:val="00625F4C"/>
    <w:rPr>
      <w:color w:val="605E5C"/>
      <w:shd w:val="clear" w:color="auto" w:fill="E1DFDD"/>
    </w:rPr>
  </w:style>
  <w:style w:type="paragraph" w:styleId="Source" w:customStyle="1">
    <w:name w:val="Source"/>
    <w:basedOn w:val="Normal"/>
    <w:next w:val="Normal"/>
    <w:qFormat/>
    <w:rsid w:val="0028513C"/>
    <w:pPr>
      <w:numPr>
        <w:numId w:val="5"/>
      </w:numPr>
      <w:spacing w:before="120" w:after="360" w:line="220" w:lineRule="atLeast"/>
    </w:pPr>
    <w:rPr>
      <w:sz w:val="16"/>
    </w:rPr>
  </w:style>
  <w:style w:type="character" w:styleId="EndnoteTextChar" w:customStyle="1">
    <w:name w:val="Endnote Text Char"/>
    <w:basedOn w:val="DefaultParagraphFont"/>
    <w:link w:val="EndnoteText"/>
    <w:semiHidden/>
    <w:rsid w:val="00D96685"/>
    <w:rPr>
      <w:sz w:val="16"/>
    </w:rPr>
  </w:style>
  <w:style w:type="character" w:styleId="EndnoteReference">
    <w:name w:val="endnote reference"/>
    <w:basedOn w:val="DefaultParagraphFont"/>
    <w:semiHidden/>
    <w:unhideWhenUsed/>
    <w:rsid w:val="00E36C40"/>
    <w:rPr>
      <w:vertAlign w:val="superscript"/>
    </w:rPr>
  </w:style>
  <w:style w:type="paragraph" w:styleId="NotesNumbered" w:customStyle="1">
    <w:name w:val="Notes Numbered"/>
    <w:basedOn w:val="NoteHeading"/>
    <w:qFormat/>
    <w:rsid w:val="00811E79"/>
    <w:pPr>
      <w:numPr>
        <w:numId w:val="4"/>
      </w:numPr>
      <w:contextualSpacing/>
    </w:pPr>
  </w:style>
  <w:style w:type="paragraph" w:styleId="Introduction" w:customStyle="1">
    <w:name w:val="Introduction"/>
    <w:basedOn w:val="Normal"/>
    <w:qFormat/>
    <w:rsid w:val="000115DE"/>
    <w:pPr>
      <w:spacing w:line="320" w:lineRule="atLeast"/>
    </w:pPr>
    <w:rPr>
      <w:sz w:val="26"/>
    </w:rPr>
  </w:style>
  <w:style w:type="paragraph" w:styleId="Quote">
    <w:name w:val="Quote"/>
    <w:basedOn w:val="Normal"/>
    <w:next w:val="Normal"/>
    <w:link w:val="QuoteChar"/>
    <w:rsid w:val="0028513C"/>
    <w:pPr>
      <w:spacing w:before="240" w:after="240" w:line="320" w:lineRule="atLeast"/>
    </w:pPr>
    <w:rPr>
      <w:iCs/>
      <w:color w:val="00855B"/>
      <w:sz w:val="26"/>
    </w:rPr>
  </w:style>
  <w:style w:type="character" w:styleId="QuoteChar" w:customStyle="1">
    <w:name w:val="Quote Char"/>
    <w:basedOn w:val="DefaultParagraphFont"/>
    <w:link w:val="Quote"/>
    <w:rsid w:val="0028513C"/>
    <w:rPr>
      <w:iCs/>
      <w:color w:val="00855B"/>
      <w:sz w:val="26"/>
    </w:rPr>
  </w:style>
  <w:style w:type="table" w:styleId="TableGrid">
    <w:name w:val="Table Grid"/>
    <w:basedOn w:val="TableNormal"/>
    <w:rsid w:val="00397986"/>
    <w:pPr>
      <w:spacing w:before="110" w:after="11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3" w:type="dxa"/>
        <w:right w:w="113" w:type="dxa"/>
      </w:tblCellMar>
    </w:tblPr>
    <w:tblStylePr w:type="firstRow">
      <w:rPr>
        <w:b/>
        <w:color w:val="FFFFFF" w:themeColor="background1"/>
      </w:rPr>
      <w:tblPr/>
      <w:tcPr>
        <w:tcBorders>
          <w:top w:val="single" w:color="auto" w:sz="4" w:space="0"/>
          <w:left w:val="single" w:color="auto" w:sz="4" w:space="0"/>
          <w:bottom w:val="single" w:color="auto" w:sz="4" w:space="0"/>
          <w:right w:val="single" w:color="auto" w:sz="4" w:space="0"/>
          <w:insideH w:val="single" w:color="auto" w:sz="4" w:space="0"/>
          <w:insideV w:val="single" w:color="FFFFFF" w:themeColor="background1" w:sz="4" w:space="0"/>
          <w:tl2br w:val="nil"/>
          <w:tr2bl w:val="nil"/>
        </w:tcBorders>
        <w:shd w:val="clear" w:color="auto" w:fill="001032" w:themeFill="text2"/>
      </w:tcPr>
    </w:tblStylePr>
  </w:style>
  <w:style w:type="paragraph" w:styleId="ListNumber4">
    <w:name w:val="List Number 4"/>
    <w:basedOn w:val="ListNumber3"/>
    <w:unhideWhenUsed/>
    <w:rsid w:val="00AB6CB2"/>
    <w:pPr>
      <w:numPr>
        <w:ilvl w:val="3"/>
      </w:numPr>
    </w:pPr>
  </w:style>
  <w:style w:type="paragraph" w:styleId="ListBullet4">
    <w:name w:val="List Bullet 4"/>
    <w:basedOn w:val="ListBullet3"/>
    <w:unhideWhenUsed/>
    <w:rsid w:val="00B30BDC"/>
    <w:pPr>
      <w:numPr>
        <w:ilvl w:val="3"/>
      </w:numPr>
      <w:contextualSpacing/>
    </w:pPr>
  </w:style>
  <w:style w:type="paragraph" w:styleId="TOC3">
    <w:name w:val="toc 3"/>
    <w:basedOn w:val="Normal"/>
    <w:next w:val="Normal"/>
    <w:autoRedefine/>
    <w:uiPriority w:val="39"/>
    <w:rsid w:val="007B6704"/>
    <w:pPr>
      <w:tabs>
        <w:tab w:val="right" w:pos="9582"/>
      </w:tabs>
      <w:spacing w:before="240" w:after="240"/>
      <w:ind w:left="567" w:right="567"/>
    </w:pPr>
    <w:rPr>
      <w:sz w:val="24"/>
    </w:rPr>
  </w:style>
  <w:style w:type="paragraph" w:styleId="Date">
    <w:name w:val="Date"/>
    <w:basedOn w:val="Normal"/>
    <w:next w:val="Normal"/>
    <w:link w:val="DateChar"/>
    <w:uiPriority w:val="31"/>
    <w:unhideWhenUsed/>
    <w:rsid w:val="0005768A"/>
    <w:pPr>
      <w:spacing w:before="0" w:after="0" w:line="336" w:lineRule="atLeast"/>
    </w:pPr>
    <w:rPr>
      <w:sz w:val="28"/>
    </w:rPr>
  </w:style>
  <w:style w:type="character" w:styleId="DateChar" w:customStyle="1">
    <w:name w:val="Date Char"/>
    <w:basedOn w:val="DefaultParagraphFont"/>
    <w:link w:val="Date"/>
    <w:uiPriority w:val="31"/>
    <w:rsid w:val="000F09E7"/>
    <w:rPr>
      <w:sz w:val="28"/>
    </w:rPr>
  </w:style>
  <w:style w:type="paragraph" w:styleId="List3">
    <w:name w:val="List 3"/>
    <w:basedOn w:val="Normal"/>
    <w:rsid w:val="0011224F"/>
    <w:pPr>
      <w:numPr>
        <w:ilvl w:val="2"/>
        <w:numId w:val="10"/>
      </w:numPr>
    </w:pPr>
  </w:style>
  <w:style w:type="paragraph" w:styleId="ListAlpha" w:customStyle="1">
    <w:name w:val="List Alpha"/>
    <w:basedOn w:val="Normal"/>
    <w:rsid w:val="0021154B"/>
    <w:pPr>
      <w:numPr>
        <w:numId w:val="14"/>
      </w:numPr>
    </w:pPr>
  </w:style>
  <w:style w:type="numbering" w:styleId="LstLegalNumbering" w:customStyle="1">
    <w:name w:val="Lst_LegalNumbering"/>
    <w:uiPriority w:val="99"/>
    <w:rsid w:val="0011224F"/>
    <w:pPr>
      <w:numPr>
        <w:numId w:val="11"/>
      </w:numPr>
    </w:pPr>
  </w:style>
  <w:style w:type="numbering" w:styleId="LstAlpha" w:customStyle="1">
    <w:name w:val="Lst_Alpha"/>
    <w:uiPriority w:val="99"/>
    <w:rsid w:val="0021154B"/>
    <w:pPr>
      <w:numPr>
        <w:numId w:val="13"/>
      </w:numPr>
    </w:pPr>
  </w:style>
  <w:style w:type="numbering" w:styleId="LstHeadings" w:customStyle="1">
    <w:name w:val="Lst_Headings"/>
    <w:uiPriority w:val="99"/>
    <w:rsid w:val="00E72AE2"/>
    <w:pPr>
      <w:numPr>
        <w:numId w:val="15"/>
      </w:numPr>
    </w:pPr>
  </w:style>
  <w:style w:type="paragraph" w:styleId="FooterLineBelow" w:customStyle="1">
    <w:name w:val="Footer Line Below"/>
    <w:basedOn w:val="Footer"/>
    <w:uiPriority w:val="31"/>
    <w:rsid w:val="00026F37"/>
    <w:pPr>
      <w:pBdr>
        <w:bottom w:val="single" w:color="000000" w:themeColor="text1" w:sz="4" w:space="1"/>
      </w:pBdr>
      <w:spacing w:after="180"/>
    </w:pPr>
    <w:rPr>
      <w:bCs/>
      <w:noProof/>
    </w:rPr>
  </w:style>
  <w:style w:type="paragraph" w:styleId="List4">
    <w:name w:val="List 4"/>
    <w:basedOn w:val="Normal"/>
    <w:rsid w:val="0011224F"/>
    <w:pPr>
      <w:numPr>
        <w:ilvl w:val="3"/>
        <w:numId w:val="10"/>
      </w:numPr>
    </w:pPr>
  </w:style>
  <w:style w:type="paragraph" w:styleId="ListParagraph">
    <w:name w:val="List Paragraph"/>
    <w:basedOn w:val="Normal"/>
    <w:uiPriority w:val="34"/>
    <w:qFormat/>
    <w:rsid w:val="003D6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hyperlink" Target="https://creativecommons.org/licenses/by/4.0/legalcode" TargetMode="External" Id="rId18" /><Relationship Type="http://schemas.openxmlformats.org/officeDocument/2006/relationships/hyperlink" Target="https://www.vic.gov.au/employment-projections-dashboard" TargetMode="External" Id="rId26" /><Relationship Type="http://schemas.openxmlformats.org/officeDocument/2006/relationships/hyperlink" Target="https://education.nsw.gov.au/content/dam/main-education/about-us/strategies-and-reports/nsw-skills-plan/NSW_Skills_Plan_report.pdf" TargetMode="External" Id="rId21" /><Relationship Type="http://schemas.openxmlformats.org/officeDocument/2006/relationships/hyperlink" Target="https://www.wa.gov.au/government/publications/science-and-technology-plan-was-10-year-science-and-technology-plan" TargetMode="External" Id="rId34"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creativecommons.org/licenses/by/4.0/)" TargetMode="External" Id="rId17" /><Relationship Type="http://schemas.openxmlformats.org/officeDocument/2006/relationships/hyperlink" Target="https://content.vic.gov.au/sites/default/files/2026-01/victorian-skills-plan-for-2025-into-2026.pdf" TargetMode="External" Id="rId25" /><Relationship Type="http://schemas.openxmlformats.org/officeDocument/2006/relationships/hyperlink" Target="https://www.wa.gov.au/government/publications/diversify-wa-future-state"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image" Target="media/image3.jpg" Id="rId16" /><Relationship Type="http://schemas.openxmlformats.org/officeDocument/2006/relationships/hyperlink" Target="https://education.nsw.gov.au/content/dam/main-education/higher-education-and-tertiary-policy/NSW-Higher-Education-Strategy.pdf" TargetMode="External" Id="rId20" /><Relationship Type="http://schemas.openxmlformats.org/officeDocument/2006/relationships/hyperlink" Target="https://www.wa.gov.au/government/wa-government-priorities-2025-2029"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vic.gov.au/victorian-skills-plan" TargetMode="External" Id="rId24" /><Relationship Type="http://schemas.openxmlformats.org/officeDocument/2006/relationships/hyperlink" Target="https://www.wa.gov.au/organisation/department-of-energy-and-economic-diversification/diversify-wa-economic-development-framework" TargetMode="External" Id="rId32" /><Relationship Type="http://schemas.openxmlformats.org/officeDocument/2006/relationships/fontTable" Target="fontTable.xml" Id="rId37"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hyperlink" Target="https://global.vic.gov.au/news-events-and-resources/resource/victorias-ai-mission-statement" TargetMode="External" Id="rId23" /><Relationship Type="http://schemas.openxmlformats.org/officeDocument/2006/relationships/hyperlink" Target="https://www.yoorrook.org.au/" TargetMode="External" Id="rId28" /><Relationship Type="http://schemas.openxmlformats.org/officeDocument/2006/relationships/hyperlink" Target="https://www.dewr.gov.au/national-skills-agreement/national-skills-plan" TargetMode="External" Id="rId36" /><Relationship Type="http://schemas.openxmlformats.org/officeDocument/2006/relationships/footnotes" Target="footnotes.xml" Id="rId10" /><Relationship Type="http://schemas.openxmlformats.org/officeDocument/2006/relationships/hyperlink" Target="https://www.legislation.gov.au/C2026A00025/asmade/text" TargetMode="External" Id="rId19" /><Relationship Type="http://schemas.openxmlformats.org/officeDocument/2006/relationships/hyperlink" Target="https://treasury.gov.au/policy-topics/future-made-australia"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yperlink" Target="https://www.vic.gov.au/victorias-economic-growth-statement" TargetMode="External" Id="rId22" /><Relationship Type="http://schemas.openxmlformats.org/officeDocument/2006/relationships/hyperlink" Target="https://www.treatyvictoria.vic.gov.au/victorias-statewide-treaty" TargetMode="External" Id="rId27" /><Relationship Type="http://schemas.openxmlformats.org/officeDocument/2006/relationships/hyperlink" Target="https://www.wa.gov.au/government/publications/stem-skills-future-state-future-skills-accelerating-stem-skills-western-australia" TargetMode="External" Id="rId30" /><Relationship Type="http://schemas.openxmlformats.org/officeDocument/2006/relationships/hyperlink" Target="https://www.skills.tas.gov.au/strategic-documents-and-policies/skills_tasmania_skills_plan" TargetMode="External" Id="rId35" /><Relationship Type="http://schemas.openxmlformats.org/officeDocument/2006/relationships/settings" Target="settings.xml" Id="rId8" /><Relationship Type="http://schemas.openxmlformats.org/officeDocument/2006/relationships/customXml" Target="../customXml/item3.xml" Id="rId3" /></Relationships>
</file>

<file path=word/_rels/footnotes.xml.rels><?xml version="1.0" encoding="UTF-8" standalone="yes"?>
<Relationships xmlns="http://schemas.openxmlformats.org/package/2006/relationships"><Relationship Id="rId1" Type="http://schemas.openxmlformats.org/officeDocument/2006/relationships/hyperlink" Target="https://www.dewr.gov.au/national-skills-agreement/national-skills-plan" TargetMode="External"/></Relationships>
</file>

<file path=word/theme/theme1.xml><?xml version="1.0" encoding="utf-8"?>
<a:theme xmlns:a="http://schemas.openxmlformats.org/drawingml/2006/main" name="Office Theme">
  <a:themeElements>
    <a:clrScheme name="ATEC">
      <a:dk1>
        <a:srgbClr val="000000"/>
      </a:dk1>
      <a:lt1>
        <a:sysClr val="window" lastClr="FFFFFF"/>
      </a:lt1>
      <a:dk2>
        <a:srgbClr val="001032"/>
      </a:dk2>
      <a:lt2>
        <a:srgbClr val="E8E8E8"/>
      </a:lt2>
      <a:accent1>
        <a:srgbClr val="103A36"/>
      </a:accent1>
      <a:accent2>
        <a:srgbClr val="009364"/>
      </a:accent2>
      <a:accent3>
        <a:srgbClr val="F6E265"/>
      </a:accent3>
      <a:accent4>
        <a:srgbClr val="FFC677"/>
      </a:accent4>
      <a:accent5>
        <a:srgbClr val="FF7A34"/>
      </a:accent5>
      <a:accent6>
        <a:srgbClr val="F0404F"/>
      </a:accent6>
      <a:hlink>
        <a:srgbClr val="3C2CFF"/>
      </a:hlink>
      <a:folHlink>
        <a:srgbClr val="B0316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72cac6-940c-4742-b333-53bc562b4053">
      <Terms xmlns="http://schemas.microsoft.com/office/infopath/2007/PartnerControls"/>
    </lcf76f155ced4ddcb4097134ff3c332f>
    <TaxCatchAll xmlns="c35adfce-f9b0-4566-a0fa-e4f70df87b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67d4a5d81c181566f70d9e75783df939">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4753cad2b54da6560eecea6a5511e10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630DB4-8CF3-466A-9AE4-C4C5A1FCAB0F}">
  <ds:schemaRefs>
    <ds:schemaRef ds:uri="http://schemas.microsoft.com/office/2006/metadata/properties"/>
    <ds:schemaRef ds:uri="http://schemas.microsoft.com/office/infopath/2007/PartnerControls"/>
    <ds:schemaRef ds:uri="4a9c6c2e-cc90-47c0-be42-0b97b97642c0"/>
    <ds:schemaRef ds:uri="150ed607-d011-45d5-8216-b1990882b9c0"/>
  </ds:schemaRefs>
</ds:datastoreItem>
</file>

<file path=customXml/itemProps3.xml><?xml version="1.0" encoding="utf-8"?>
<ds:datastoreItem xmlns:ds="http://schemas.openxmlformats.org/officeDocument/2006/customXml" ds:itemID="{BE7C255A-F196-46F9-9F81-BF1CC6113B81}"/>
</file>

<file path=customXml/itemProps4.xml><?xml version="1.0" encoding="utf-8"?>
<ds:datastoreItem xmlns:ds="http://schemas.openxmlformats.org/officeDocument/2006/customXml" ds:itemID="{10349A0D-1C6A-40FF-BEA2-01F674F96988}">
  <ds:schemaRefs>
    <ds:schemaRef ds:uri="http://schemas.microsoft.com/sharepoint/v3/contenttype/forms"/>
  </ds:schemaRefs>
</ds:datastoreItem>
</file>

<file path=customXml/itemProps5.xml><?xml version="1.0" encoding="utf-8"?>
<ds:datastoreItem xmlns:ds="http://schemas.openxmlformats.org/officeDocument/2006/customXml" ds:itemID="{112D7543-EE1B-48E3-92E2-57DA804FDC0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TOOHEY,Karen</lastModifiedBy>
  <revision>2</revision>
  <dcterms:created xsi:type="dcterms:W3CDTF">2026-05-03T23:29:00.0000000Z</dcterms:created>
  <dcterms:modified xsi:type="dcterms:W3CDTF">2026-05-04T02:22:00.4405131Z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SetDate">
    <vt:lpwstr>2026-03-26T05:51:12Z</vt:lpwstr>
  </property>
  <property fmtid="{D5CDD505-2E9C-101B-9397-08002B2CF9AE}" pid="3" name="MediaServiceImageTags">
    <vt:lpwstr/>
  </property>
  <property fmtid="{D5CDD505-2E9C-101B-9397-08002B2CF9AE}" pid="4" name="ContentTypeId">
    <vt:lpwstr>0x01010093162BA753748F4BB53721499FC70481</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Enabled">
    <vt:lpwstr>true</vt:lpwstr>
  </property>
  <property fmtid="{D5CDD505-2E9C-101B-9397-08002B2CF9AE}" pid="7" name="docLang">
    <vt:lpwstr>en</vt:lpwstr>
  </property>
  <property fmtid="{D5CDD505-2E9C-101B-9397-08002B2CF9AE}" pid="8" name="MSIP_Label_79d889eb-932f-4752-8739-64d25806ef64_Tag">
    <vt:lpwstr>10, 0, 1, 1</vt:lpwstr>
  </property>
  <property fmtid="{D5CDD505-2E9C-101B-9397-08002B2CF9AE}" pid="9" name="MSIP_Label_79d889eb-932f-4752-8739-64d25806ef64_Method">
    <vt:lpwstr>Privileged</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7fcd7512-3a64-4140-b518-ffb9516d7b38</vt:lpwstr>
  </property>
  <property fmtid="{D5CDD505-2E9C-101B-9397-08002B2CF9AE}" pid="12" name="MSIP_Label_79d889eb-932f-4752-8739-64d25806ef64_ContentBits">
    <vt:lpwstr>0</vt:lpwstr>
  </property>
</Properties>
</file>