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F1952" w14:textId="3432C224" w:rsidR="00010F89" w:rsidRPr="008C4640" w:rsidRDefault="00361695" w:rsidP="1F992170">
      <w:pPr>
        <w:tabs>
          <w:tab w:val="right" w:pos="10065"/>
        </w:tabs>
        <w:spacing w:after="960"/>
        <w:ind w:left="57" w:right="-284"/>
        <w:contextualSpacing/>
      </w:pPr>
      <w:r w:rsidRPr="000601AD">
        <w:rPr>
          <w:noProof/>
        </w:rPr>
        <mc:AlternateContent>
          <mc:Choice Requires="wps">
            <w:drawing>
              <wp:anchor distT="0" distB="0" distL="114300" distR="114300" simplePos="0" relativeHeight="251658241" behindDoc="1" locked="1" layoutInCell="1" allowOverlap="1" wp14:anchorId="22D35C70" wp14:editId="3AF5AB2D">
                <wp:simplePos x="0" y="0"/>
                <wp:positionH relativeFrom="margin">
                  <wp:align>right</wp:align>
                </wp:positionH>
                <wp:positionV relativeFrom="page">
                  <wp:posOffset>622935</wp:posOffset>
                </wp:positionV>
                <wp:extent cx="1533600" cy="403200"/>
                <wp:effectExtent l="0" t="0" r="7620" b="0"/>
                <wp:wrapNone/>
                <wp:docPr id="1854459199"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33600" cy="403200"/>
                        </a:xfrm>
                        <a:prstGeom prst="roundRect">
                          <a:avLst>
                            <a:gd name="adj" fmla="val 50000"/>
                          </a:avLst>
                        </a:prstGeom>
                        <a:solidFill>
                          <a:schemeClr val="accent3"/>
                        </a:solidFill>
                        <a:ln w="6350">
                          <a:noFill/>
                        </a:ln>
                      </wps:spPr>
                      <wps:txbx>
                        <w:txbxContent>
                          <w:p w14:paraId="657B68F5" w14:textId="4CDC44CD" w:rsidR="00361695" w:rsidRPr="008C4640" w:rsidRDefault="003E277B" w:rsidP="00361695">
                            <w:pPr>
                              <w:pStyle w:val="Date"/>
                              <w:jc w:val="both"/>
                            </w:pPr>
                            <w:r>
                              <w:t>2</w:t>
                            </w:r>
                            <w:r w:rsidR="00C7052B">
                              <w:t>6</w:t>
                            </w:r>
                            <w:r w:rsidR="007F0CFE">
                              <w:t xml:space="preserve"> </w:t>
                            </w:r>
                            <w:r w:rsidR="002669E1">
                              <w:t>May 2026</w:t>
                            </w:r>
                          </w:p>
                        </w:txbxContent>
                      </wps:txbx>
                      <wps:bodyPr rot="0" spcFirstLastPara="0" vertOverflow="overflow" horzOverflow="overflow" vert="horz" wrap="none" lIns="144000" tIns="28800" rIns="180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2D35C70" id="Text Box 7" o:spid="_x0000_s1026" alt="&quot;&quot;" style="position:absolute;left:0;text-align:left;margin-left:69.55pt;margin-top:49.05pt;width:120.75pt;height:31.75pt;z-index:-251658239;visibility:visible;mso-wrap-style:non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" fillcolor="#f6e265 [3206]" stroked="f" strokeweight=".5pt">
                <v:textbox style="mso-fit-shape-to-text:t" inset="4mm,.8mm,5mm,1mm">
                  <w:txbxContent>
                    <w:p w14:paraId="657B68F5" w14:textId="4CDC44CD" w:rsidR="00361695" w:rsidRPr="008C4640" w:rsidRDefault="003E277B" w:rsidP="00361695">
                      <w:pPr>
                        <w:pStyle w:val="Date"/>
                        <w:jc w:val="both"/>
                      </w:pPr>
                      <w:r>
                        <w:t>2</w:t>
                      </w:r>
                      <w:r w:rsidR="00C7052B">
                        <w:t>6</w:t>
                      </w:r>
                      <w:r w:rsidR="007F0CFE">
                        <w:t xml:space="preserve"> </w:t>
                      </w:r>
                      <w:r w:rsidR="002669E1">
                        <w:t>May 2026</w:t>
                      </w:r>
                    </w:p>
                  </w:txbxContent>
                </v:textbox>
                <w10:wrap anchorx="margin" anchory="page"/>
                <w10:anchorlock/>
              </v:roundrect>
            </w:pict>
          </mc:Fallback>
        </mc:AlternateContent>
      </w:r>
      <w:r w:rsidR="00E13296" w:rsidRPr="000601AD">
        <w:rPr>
          <w:noProof/>
        </w:rPr>
        <w:drawing>
          <wp:inline distT="0" distB="0" distL="0" distR="0" wp14:anchorId="5E6929E6" wp14:editId="6678C5DE">
            <wp:extent cx="4227341" cy="738060"/>
            <wp:effectExtent l="0" t="0" r="1905" b="5080"/>
            <wp:docPr id="1499889889" name="Picture 1" descr="Australian Government&#10;ATEC&#10;Australian Tertiary Educatio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889889" name="Picture 1" descr="Australian Government&#10;ATEC&#10;Australian Tertiary Education Commiss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38730" cy="740049"/>
                    </a:xfrm>
                    <a:prstGeom prst="rect">
                      <a:avLst/>
                    </a:prstGeom>
                  </pic:spPr>
                </pic:pic>
              </a:graphicData>
            </a:graphic>
          </wp:inline>
        </w:drawing>
      </w:r>
      <w:r w:rsidR="04122C90" w:rsidRPr="00D814E9">
        <w:t xml:space="preserve"> </w:t>
      </w:r>
    </w:p>
    <w:p w14:paraId="5C6D0097" w14:textId="6308A21D" w:rsidR="00BC2021" w:rsidRPr="007E44DB" w:rsidRDefault="00502322" w:rsidP="004B3EF8">
      <w:pPr>
        <w:pStyle w:val="Title"/>
      </w:pPr>
      <w:r>
        <w:t>A More Joined-Up Tertiary System: Discussion Paper</w:t>
      </w:r>
      <w:r w:rsidR="0005768A" w:rsidRPr="005D3CDE">
        <w:rPr>
          <w:noProof/>
        </w:rPr>
        <w:drawing>
          <wp:anchor distT="0" distB="0" distL="114300" distR="114300" simplePos="0" relativeHeight="251658240" behindDoc="1" locked="0" layoutInCell="1" allowOverlap="1" wp14:anchorId="5F3F0ECC" wp14:editId="0F834B8A">
            <wp:simplePos x="0" y="0"/>
            <wp:positionH relativeFrom="page">
              <wp:align>left</wp:align>
            </wp:positionH>
            <wp:positionV relativeFrom="page">
              <wp:align>bottom</wp:align>
            </wp:positionV>
            <wp:extent cx="7560000" cy="6764400"/>
            <wp:effectExtent l="0" t="0" r="3175" b="0"/>
            <wp:wrapNone/>
            <wp:docPr id="206581631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816316" name="Picture 4">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6764400"/>
                    </a:xfrm>
                    <a:prstGeom prst="rect">
                      <a:avLst/>
                    </a:prstGeom>
                  </pic:spPr>
                </pic:pic>
              </a:graphicData>
            </a:graphic>
            <wp14:sizeRelH relativeFrom="margin">
              <wp14:pctWidth>0</wp14:pctWidth>
            </wp14:sizeRelH>
            <wp14:sizeRelV relativeFrom="margin">
              <wp14:pctHeight>0</wp14:pctHeight>
            </wp14:sizeRelV>
          </wp:anchor>
        </w:drawing>
      </w:r>
    </w:p>
    <w:p w14:paraId="5CBC7C31" w14:textId="594E6F3A" w:rsidR="00057C60" w:rsidRPr="007E44DB" w:rsidRDefault="00057C60" w:rsidP="00057C60"/>
    <w:p w14:paraId="45F54DC0" w14:textId="77777777" w:rsidR="00980347" w:rsidRPr="007E44DB" w:rsidRDefault="00980347" w:rsidP="00057C60">
      <w:pPr>
        <w:pStyle w:val="Title"/>
        <w:sectPr w:rsidR="00980347" w:rsidRPr="007E44DB" w:rsidSect="00FE48F1">
          <w:footerReference w:type="default" r:id="rId14"/>
          <w:footerReference w:type="first" r:id="rId15"/>
          <w:pgSz w:w="11907" w:h="16839" w:code="9"/>
          <w:pgMar w:top="726" w:right="907" w:bottom="1134" w:left="907" w:header="567" w:footer="805" w:gutter="0"/>
          <w:cols w:space="708"/>
          <w:titlePg/>
          <w:docGrid w:linePitch="360"/>
        </w:sectPr>
      </w:pPr>
    </w:p>
    <w:p w14:paraId="60ED7DEC" w14:textId="40258CB8" w:rsidR="00625F4C" w:rsidRPr="00E9392B" w:rsidRDefault="00625F4C" w:rsidP="00625F4C">
      <w:pPr>
        <w:pStyle w:val="DisclaimerTextinFrame12pt"/>
        <w:framePr w:wrap="around"/>
        <w:rPr>
          <w:lang w:val="fr-FR"/>
        </w:rPr>
      </w:pPr>
    </w:p>
    <w:p w14:paraId="1204A6B8" w14:textId="77777777" w:rsidR="00625F4C" w:rsidRPr="008C4640" w:rsidRDefault="00625F4C" w:rsidP="00625F4C">
      <w:pPr>
        <w:pStyle w:val="DisclaimerTextinFrame"/>
        <w:framePr w:wrap="around"/>
        <w:spacing w:before="480" w:after="400"/>
      </w:pPr>
      <w:r w:rsidRPr="005D3CDE">
        <w:rPr>
          <w:noProof/>
        </w:rPr>
        <w:drawing>
          <wp:inline distT="0" distB="0" distL="0" distR="0" wp14:anchorId="36435B56" wp14:editId="5113B4A1">
            <wp:extent cx="860367" cy="315884"/>
            <wp:effectExtent l="0" t="0" r="0" b="8255"/>
            <wp:docPr id="155335485" name="Picture 8" descr="Creative Comm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35485" name="Picture 8" descr="Creative Commons&#10;"/>
                    <pic:cNvPicPr/>
                  </pic:nvPicPr>
                  <pic:blipFill>
                    <a:blip r:embed="rId16">
                      <a:extLst>
                        <a:ext uri="{28A0092B-C50C-407E-A947-70E740481C1C}">
                          <a14:useLocalDpi xmlns:a14="http://schemas.microsoft.com/office/drawing/2010/main" val="0"/>
                        </a:ext>
                      </a:extLst>
                    </a:blip>
                    <a:stretch>
                      <a:fillRect/>
                    </a:stretch>
                  </pic:blipFill>
                  <pic:spPr>
                    <a:xfrm>
                      <a:off x="0" y="0"/>
                      <a:ext cx="860367" cy="315884"/>
                    </a:xfrm>
                    <a:prstGeom prst="rect">
                      <a:avLst/>
                    </a:prstGeom>
                  </pic:spPr>
                </pic:pic>
              </a:graphicData>
            </a:graphic>
          </wp:inline>
        </w:drawing>
      </w:r>
    </w:p>
    <w:p w14:paraId="577CAE78" w14:textId="77777777" w:rsidR="00625F4C" w:rsidRPr="008C4640" w:rsidRDefault="00625F4C" w:rsidP="00625F4C">
      <w:pPr>
        <w:pStyle w:val="DisclaimerTextinFrame"/>
        <w:framePr w:wrap="around"/>
      </w:pPr>
      <w:r w:rsidRPr="008C4640">
        <w:t xml:space="preserve">With the exception of the Commonwealth Coat of Arms, the </w:t>
      </w:r>
      <w:r w:rsidR="00E13296" w:rsidRPr="008C4640">
        <w:t>Australian Government</w:t>
      </w:r>
      <w:r w:rsidRPr="008C4640">
        <w:t xml:space="preserve"> logo, any material protected by a trade mark and where otherwise noted all material presented in this document is provided under a Creative Commons Attribution 4.0 International (</w:t>
      </w:r>
      <w:hyperlink r:id="rId17" w:history="1">
        <w:r w:rsidRPr="008C4640">
          <w:t>https://creativecommons.org/licenses/by/4.0/)</w:t>
        </w:r>
      </w:hyperlink>
      <w:r w:rsidRPr="008C4640">
        <w:t xml:space="preserve"> licence.</w:t>
      </w:r>
    </w:p>
    <w:p w14:paraId="653E1253" w14:textId="77777777" w:rsidR="00625F4C" w:rsidRPr="008C4640" w:rsidRDefault="00625F4C" w:rsidP="00625F4C">
      <w:pPr>
        <w:pStyle w:val="DisclaimerTextinFrame"/>
        <w:framePr w:wrap="around"/>
      </w:pPr>
      <w:r w:rsidRPr="008C4640">
        <w:t>The details of the relevant licence conditions are available on the Creative Commons website (accessible using the links provided) as is the full legal code for the CC BY 4.0 International (</w:t>
      </w:r>
      <w:hyperlink r:id="rId18" w:history="1">
        <w:r w:rsidRPr="008C4640">
          <w:t>https://creativecommons.org/licenses/by/4.0/legalcode</w:t>
        </w:r>
      </w:hyperlink>
      <w:r w:rsidRPr="008C4640">
        <w:t>)</w:t>
      </w:r>
    </w:p>
    <w:p w14:paraId="1951E71A" w14:textId="77777777" w:rsidR="00625F4C" w:rsidRPr="008C4640" w:rsidRDefault="00625F4C" w:rsidP="00625F4C"/>
    <w:p w14:paraId="761B87F7" w14:textId="77777777" w:rsidR="00625F4C" w:rsidRPr="008C4640" w:rsidRDefault="00625F4C" w:rsidP="00625F4C"/>
    <w:p w14:paraId="193BFF6D" w14:textId="77777777" w:rsidR="00625F4C" w:rsidRPr="008C4640" w:rsidRDefault="00625F4C" w:rsidP="00625F4C">
      <w:pPr>
        <w:sectPr w:rsidR="00625F4C" w:rsidRPr="008C4640" w:rsidSect="0098053D">
          <w:pgSz w:w="11907" w:h="16839" w:code="9"/>
          <w:pgMar w:top="1077" w:right="1134" w:bottom="1134" w:left="1134" w:header="567" w:footer="805" w:gutter="0"/>
          <w:cols w:space="708"/>
          <w:titlePg/>
          <w:docGrid w:linePitch="360"/>
        </w:sectPr>
      </w:pPr>
    </w:p>
    <w:p w14:paraId="2DC2B345" w14:textId="77777777" w:rsidR="002A48F8" w:rsidRPr="008C4640" w:rsidRDefault="002A48F8" w:rsidP="00B53611">
      <w:pPr>
        <w:pStyle w:val="Heading1"/>
      </w:pPr>
      <w:bookmarkStart w:id="0" w:name="_Toc229643947"/>
      <w:r w:rsidRPr="008C4640">
        <w:t>Contents</w:t>
      </w:r>
      <w:bookmarkEnd w:id="0"/>
    </w:p>
    <w:sdt>
      <w:sdtPr>
        <w:rPr>
          <w:rFonts w:eastAsia="MS Mincho"/>
          <w:b/>
          <w:bCs w:val="0"/>
          <w:noProof w:val="0"/>
          <w:sz w:val="22"/>
          <w:szCs w:val="22"/>
        </w:rPr>
        <w:id w:val="435646828"/>
        <w:docPartObj>
          <w:docPartGallery w:val="Table of Contents"/>
          <w:docPartUnique/>
        </w:docPartObj>
      </w:sdtPr>
      <w:sdtEndPr>
        <w:rPr>
          <w:rFonts w:eastAsia="Times New Roman"/>
          <w:b w:val="0"/>
          <w:sz w:val="20"/>
          <w:szCs w:val="20"/>
        </w:rPr>
      </w:sdtEndPr>
      <w:sdtContent>
        <w:p w14:paraId="050D5E0F" w14:textId="39EBFDC0" w:rsidR="00B175D2" w:rsidRDefault="007B6704">
          <w:pPr>
            <w:pStyle w:val="TOC1"/>
            <w:rPr>
              <w:rFonts w:eastAsiaTheme="minorEastAsia" w:cstheme="minorBidi"/>
              <w:bCs w:val="0"/>
              <w:color w:val="auto"/>
              <w:kern w:val="2"/>
              <w:szCs w:val="24"/>
              <w14:ligatures w14:val="standardContextual"/>
            </w:rPr>
          </w:pPr>
          <w:r w:rsidRPr="00D353D1">
            <w:rPr>
              <w:rFonts w:eastAsiaTheme="minorEastAsia" w:cstheme="minorBidi"/>
              <w:b/>
              <w:noProof w:val="0"/>
              <w:sz w:val="28"/>
            </w:rPr>
            <w:fldChar w:fldCharType="begin"/>
          </w:r>
          <w:r w:rsidRPr="00D353D1">
            <w:rPr>
              <w:noProof w:val="0"/>
            </w:rPr>
            <w:instrText xml:space="preserve"> TOC \o "1-3" \h \z \u </w:instrText>
          </w:r>
          <w:r w:rsidRPr="00D353D1">
            <w:rPr>
              <w:rFonts w:eastAsiaTheme="minorEastAsia" w:cstheme="minorBidi"/>
              <w:b/>
              <w:noProof w:val="0"/>
              <w:sz w:val="28"/>
            </w:rPr>
            <w:fldChar w:fldCharType="separate"/>
          </w:r>
          <w:hyperlink w:anchor="_Toc229643947" w:history="1">
            <w:r w:rsidR="00B175D2" w:rsidRPr="00F16697">
              <w:rPr>
                <w:rStyle w:val="Hyperlink"/>
              </w:rPr>
              <w:t>Contents</w:t>
            </w:r>
            <w:r w:rsidR="00B175D2">
              <w:rPr>
                <w:webHidden/>
              </w:rPr>
              <w:tab/>
            </w:r>
            <w:r w:rsidR="00B175D2">
              <w:rPr>
                <w:webHidden/>
              </w:rPr>
              <w:fldChar w:fldCharType="begin"/>
            </w:r>
            <w:r w:rsidR="00B175D2">
              <w:rPr>
                <w:webHidden/>
              </w:rPr>
              <w:instrText xml:space="preserve"> PAGEREF _Toc229643947 \h </w:instrText>
            </w:r>
            <w:r w:rsidR="00B175D2">
              <w:rPr>
                <w:webHidden/>
              </w:rPr>
            </w:r>
            <w:r w:rsidR="00B175D2">
              <w:rPr>
                <w:webHidden/>
              </w:rPr>
              <w:fldChar w:fldCharType="separate"/>
            </w:r>
            <w:r w:rsidR="008645D3">
              <w:rPr>
                <w:webHidden/>
              </w:rPr>
              <w:t>3</w:t>
            </w:r>
            <w:r w:rsidR="00B175D2">
              <w:rPr>
                <w:webHidden/>
              </w:rPr>
              <w:fldChar w:fldCharType="end"/>
            </w:r>
          </w:hyperlink>
        </w:p>
        <w:p w14:paraId="6CDE262F" w14:textId="2C88F5DF" w:rsidR="00B175D2" w:rsidRDefault="00B175D2">
          <w:pPr>
            <w:pStyle w:val="TOC2"/>
            <w:rPr>
              <w:color w:val="auto"/>
              <w:kern w:val="2"/>
              <w:szCs w:val="24"/>
              <w14:ligatures w14:val="standardContextual"/>
            </w:rPr>
          </w:pPr>
          <w:hyperlink w:anchor="_Toc229643948" w:history="1">
            <w:r w:rsidRPr="00F16697">
              <w:rPr>
                <w:rStyle w:val="Hyperlink"/>
              </w:rPr>
              <w:t>List of figures and tables</w:t>
            </w:r>
            <w:r>
              <w:rPr>
                <w:webHidden/>
              </w:rPr>
              <w:tab/>
            </w:r>
            <w:r>
              <w:rPr>
                <w:webHidden/>
              </w:rPr>
              <w:fldChar w:fldCharType="begin"/>
            </w:r>
            <w:r>
              <w:rPr>
                <w:webHidden/>
              </w:rPr>
              <w:instrText xml:space="preserve"> PAGEREF _Toc229643948 \h </w:instrText>
            </w:r>
            <w:r>
              <w:rPr>
                <w:webHidden/>
              </w:rPr>
            </w:r>
            <w:r>
              <w:rPr>
                <w:webHidden/>
              </w:rPr>
              <w:fldChar w:fldCharType="separate"/>
            </w:r>
            <w:r w:rsidR="008645D3">
              <w:rPr>
                <w:webHidden/>
              </w:rPr>
              <w:t>5</w:t>
            </w:r>
            <w:r>
              <w:rPr>
                <w:webHidden/>
              </w:rPr>
              <w:fldChar w:fldCharType="end"/>
            </w:r>
          </w:hyperlink>
        </w:p>
        <w:p w14:paraId="216BD6E2" w14:textId="3489BB64" w:rsidR="00B175D2" w:rsidRDefault="00B175D2">
          <w:pPr>
            <w:pStyle w:val="TOC2"/>
            <w:rPr>
              <w:color w:val="auto"/>
              <w:kern w:val="2"/>
              <w:szCs w:val="24"/>
              <w14:ligatures w14:val="standardContextual"/>
            </w:rPr>
          </w:pPr>
          <w:hyperlink w:anchor="_Toc229643949" w:history="1">
            <w:r w:rsidRPr="00F16697">
              <w:rPr>
                <w:rStyle w:val="Hyperlink"/>
              </w:rPr>
              <w:t>Glossary of Acronyms</w:t>
            </w:r>
            <w:r>
              <w:rPr>
                <w:webHidden/>
              </w:rPr>
              <w:tab/>
            </w:r>
            <w:r>
              <w:rPr>
                <w:webHidden/>
              </w:rPr>
              <w:fldChar w:fldCharType="begin"/>
            </w:r>
            <w:r>
              <w:rPr>
                <w:webHidden/>
              </w:rPr>
              <w:instrText xml:space="preserve"> PAGEREF _Toc229643949 \h </w:instrText>
            </w:r>
            <w:r>
              <w:rPr>
                <w:webHidden/>
              </w:rPr>
            </w:r>
            <w:r>
              <w:rPr>
                <w:webHidden/>
              </w:rPr>
              <w:fldChar w:fldCharType="separate"/>
            </w:r>
            <w:r w:rsidR="008645D3">
              <w:rPr>
                <w:webHidden/>
              </w:rPr>
              <w:t>6</w:t>
            </w:r>
            <w:r>
              <w:rPr>
                <w:webHidden/>
              </w:rPr>
              <w:fldChar w:fldCharType="end"/>
            </w:r>
          </w:hyperlink>
        </w:p>
        <w:p w14:paraId="411F4EAE" w14:textId="0901A17D" w:rsidR="00B175D2" w:rsidRDefault="00B175D2">
          <w:pPr>
            <w:pStyle w:val="TOC1"/>
            <w:rPr>
              <w:rFonts w:eastAsiaTheme="minorEastAsia" w:cstheme="minorBidi"/>
              <w:bCs w:val="0"/>
              <w:color w:val="auto"/>
              <w:kern w:val="2"/>
              <w:szCs w:val="24"/>
              <w14:ligatures w14:val="standardContextual"/>
            </w:rPr>
          </w:pPr>
          <w:hyperlink w:anchor="_Toc229643950" w:history="1">
            <w:r w:rsidRPr="00F16697">
              <w:rPr>
                <w:rStyle w:val="Hyperlink"/>
              </w:rPr>
              <w:t>Executive Summary</w:t>
            </w:r>
            <w:r>
              <w:rPr>
                <w:webHidden/>
              </w:rPr>
              <w:tab/>
            </w:r>
            <w:r>
              <w:rPr>
                <w:webHidden/>
              </w:rPr>
              <w:fldChar w:fldCharType="begin"/>
            </w:r>
            <w:r>
              <w:rPr>
                <w:webHidden/>
              </w:rPr>
              <w:instrText xml:space="preserve"> PAGEREF _Toc229643950 \h </w:instrText>
            </w:r>
            <w:r>
              <w:rPr>
                <w:webHidden/>
              </w:rPr>
            </w:r>
            <w:r>
              <w:rPr>
                <w:webHidden/>
              </w:rPr>
              <w:fldChar w:fldCharType="separate"/>
            </w:r>
            <w:r w:rsidR="008645D3">
              <w:rPr>
                <w:webHidden/>
              </w:rPr>
              <w:t>7</w:t>
            </w:r>
            <w:r>
              <w:rPr>
                <w:webHidden/>
              </w:rPr>
              <w:fldChar w:fldCharType="end"/>
            </w:r>
          </w:hyperlink>
        </w:p>
        <w:p w14:paraId="691A33FD" w14:textId="04C1B8C3" w:rsidR="00B175D2" w:rsidRDefault="00B175D2">
          <w:pPr>
            <w:pStyle w:val="TOC2"/>
            <w:rPr>
              <w:color w:val="auto"/>
              <w:kern w:val="2"/>
              <w:szCs w:val="24"/>
              <w14:ligatures w14:val="standardContextual"/>
            </w:rPr>
          </w:pPr>
          <w:hyperlink w:anchor="_Toc229643951" w:history="1">
            <w:r w:rsidRPr="00F16697">
              <w:rPr>
                <w:rStyle w:val="Hyperlink"/>
              </w:rPr>
              <w:t>Benefits of a more joined-up tertiary system</w:t>
            </w:r>
            <w:r>
              <w:rPr>
                <w:webHidden/>
              </w:rPr>
              <w:tab/>
            </w:r>
            <w:r>
              <w:rPr>
                <w:webHidden/>
              </w:rPr>
              <w:fldChar w:fldCharType="begin"/>
            </w:r>
            <w:r>
              <w:rPr>
                <w:webHidden/>
              </w:rPr>
              <w:instrText xml:space="preserve"> PAGEREF _Toc229643951 \h </w:instrText>
            </w:r>
            <w:r>
              <w:rPr>
                <w:webHidden/>
              </w:rPr>
            </w:r>
            <w:r>
              <w:rPr>
                <w:webHidden/>
              </w:rPr>
              <w:fldChar w:fldCharType="separate"/>
            </w:r>
            <w:r w:rsidR="008645D3">
              <w:rPr>
                <w:webHidden/>
              </w:rPr>
              <w:t>7</w:t>
            </w:r>
            <w:r>
              <w:rPr>
                <w:webHidden/>
              </w:rPr>
              <w:fldChar w:fldCharType="end"/>
            </w:r>
          </w:hyperlink>
        </w:p>
        <w:p w14:paraId="2D495564" w14:textId="3B47695B" w:rsidR="00B175D2" w:rsidRDefault="00B175D2">
          <w:pPr>
            <w:pStyle w:val="TOC3"/>
            <w:rPr>
              <w:rFonts w:eastAsiaTheme="minorEastAsia" w:cstheme="minorBidi"/>
              <w:noProof/>
              <w:color w:val="auto"/>
              <w:kern w:val="2"/>
              <w:szCs w:val="24"/>
              <w14:ligatures w14:val="standardContextual"/>
            </w:rPr>
          </w:pPr>
          <w:hyperlink w:anchor="_Toc229643952" w:history="1">
            <w:r w:rsidRPr="00F16697">
              <w:rPr>
                <w:rStyle w:val="Hyperlink"/>
                <w:rFonts w:eastAsiaTheme="majorEastAsia"/>
                <w:noProof/>
              </w:rPr>
              <w:t>Next steps and reform opportunities</w:t>
            </w:r>
            <w:r>
              <w:rPr>
                <w:noProof/>
                <w:webHidden/>
              </w:rPr>
              <w:tab/>
            </w:r>
            <w:r>
              <w:rPr>
                <w:noProof/>
                <w:webHidden/>
              </w:rPr>
              <w:fldChar w:fldCharType="begin"/>
            </w:r>
            <w:r>
              <w:rPr>
                <w:noProof/>
                <w:webHidden/>
              </w:rPr>
              <w:instrText xml:space="preserve"> PAGEREF _Toc229643952 \h </w:instrText>
            </w:r>
            <w:r>
              <w:rPr>
                <w:noProof/>
                <w:webHidden/>
              </w:rPr>
            </w:r>
            <w:r>
              <w:rPr>
                <w:noProof/>
                <w:webHidden/>
              </w:rPr>
              <w:fldChar w:fldCharType="separate"/>
            </w:r>
            <w:r w:rsidR="008645D3">
              <w:rPr>
                <w:noProof/>
                <w:webHidden/>
              </w:rPr>
              <w:t>9</w:t>
            </w:r>
            <w:r>
              <w:rPr>
                <w:noProof/>
                <w:webHidden/>
              </w:rPr>
              <w:fldChar w:fldCharType="end"/>
            </w:r>
          </w:hyperlink>
        </w:p>
        <w:p w14:paraId="715DA70E" w14:textId="7DF7B8C6" w:rsidR="00B175D2" w:rsidRDefault="00B175D2">
          <w:pPr>
            <w:pStyle w:val="TOC1"/>
            <w:tabs>
              <w:tab w:val="left" w:pos="851"/>
            </w:tabs>
            <w:rPr>
              <w:rFonts w:eastAsiaTheme="minorEastAsia" w:cstheme="minorBidi"/>
              <w:bCs w:val="0"/>
              <w:color w:val="auto"/>
              <w:kern w:val="2"/>
              <w:szCs w:val="24"/>
              <w14:ligatures w14:val="standardContextual"/>
            </w:rPr>
          </w:pPr>
          <w:hyperlink w:anchor="_Toc229643953" w:history="1">
            <w:r w:rsidRPr="00F16697">
              <w:rPr>
                <w:rStyle w:val="Hyperlink"/>
              </w:rPr>
              <w:t>1.</w:t>
            </w:r>
            <w:r>
              <w:rPr>
                <w:rFonts w:eastAsiaTheme="minorEastAsia" w:cstheme="minorBidi"/>
                <w:bCs w:val="0"/>
                <w:color w:val="auto"/>
                <w:kern w:val="2"/>
                <w:szCs w:val="24"/>
                <w14:ligatures w14:val="standardContextual"/>
              </w:rPr>
              <w:tab/>
            </w:r>
            <w:r w:rsidRPr="00F16697">
              <w:rPr>
                <w:rStyle w:val="Hyperlink"/>
              </w:rPr>
              <w:t>Introduction</w:t>
            </w:r>
            <w:r>
              <w:rPr>
                <w:webHidden/>
              </w:rPr>
              <w:tab/>
            </w:r>
            <w:r>
              <w:rPr>
                <w:webHidden/>
              </w:rPr>
              <w:fldChar w:fldCharType="begin"/>
            </w:r>
            <w:r>
              <w:rPr>
                <w:webHidden/>
              </w:rPr>
              <w:instrText xml:space="preserve"> PAGEREF _Toc229643953 \h </w:instrText>
            </w:r>
            <w:r>
              <w:rPr>
                <w:webHidden/>
              </w:rPr>
            </w:r>
            <w:r>
              <w:rPr>
                <w:webHidden/>
              </w:rPr>
              <w:fldChar w:fldCharType="separate"/>
            </w:r>
            <w:r w:rsidR="008645D3">
              <w:rPr>
                <w:webHidden/>
              </w:rPr>
              <w:t>10</w:t>
            </w:r>
            <w:r>
              <w:rPr>
                <w:webHidden/>
              </w:rPr>
              <w:fldChar w:fldCharType="end"/>
            </w:r>
          </w:hyperlink>
        </w:p>
        <w:p w14:paraId="30DEBA19" w14:textId="6063AA41" w:rsidR="00B175D2" w:rsidRDefault="00B175D2">
          <w:pPr>
            <w:pStyle w:val="TOC2"/>
            <w:tabs>
              <w:tab w:val="left" w:pos="1080"/>
            </w:tabs>
            <w:rPr>
              <w:color w:val="auto"/>
              <w:kern w:val="2"/>
              <w:szCs w:val="24"/>
              <w14:ligatures w14:val="standardContextual"/>
            </w:rPr>
          </w:pPr>
          <w:hyperlink w:anchor="_Toc229643954" w:history="1">
            <w:r w:rsidRPr="00F16697">
              <w:rPr>
                <w:rStyle w:val="Hyperlink"/>
              </w:rPr>
              <w:t>1.1.</w:t>
            </w:r>
            <w:r>
              <w:rPr>
                <w:color w:val="auto"/>
                <w:kern w:val="2"/>
                <w:szCs w:val="24"/>
                <w14:ligatures w14:val="standardContextual"/>
              </w:rPr>
              <w:tab/>
            </w:r>
            <w:r w:rsidRPr="00F16697">
              <w:rPr>
                <w:rStyle w:val="Hyperlink"/>
              </w:rPr>
              <w:t>A Roadmap for a more joined-up tertiary system</w:t>
            </w:r>
            <w:r>
              <w:rPr>
                <w:webHidden/>
              </w:rPr>
              <w:tab/>
            </w:r>
            <w:r>
              <w:rPr>
                <w:webHidden/>
              </w:rPr>
              <w:fldChar w:fldCharType="begin"/>
            </w:r>
            <w:r>
              <w:rPr>
                <w:webHidden/>
              </w:rPr>
              <w:instrText xml:space="preserve"> PAGEREF _Toc229643954 \h </w:instrText>
            </w:r>
            <w:r>
              <w:rPr>
                <w:webHidden/>
              </w:rPr>
            </w:r>
            <w:r>
              <w:rPr>
                <w:webHidden/>
              </w:rPr>
              <w:fldChar w:fldCharType="separate"/>
            </w:r>
            <w:r w:rsidR="008645D3">
              <w:rPr>
                <w:webHidden/>
              </w:rPr>
              <w:t>10</w:t>
            </w:r>
            <w:r>
              <w:rPr>
                <w:webHidden/>
              </w:rPr>
              <w:fldChar w:fldCharType="end"/>
            </w:r>
          </w:hyperlink>
        </w:p>
        <w:p w14:paraId="6B962E37" w14:textId="67095718" w:rsidR="00B175D2" w:rsidRDefault="00B175D2">
          <w:pPr>
            <w:pStyle w:val="TOC2"/>
            <w:tabs>
              <w:tab w:val="left" w:pos="1080"/>
            </w:tabs>
            <w:rPr>
              <w:color w:val="auto"/>
              <w:kern w:val="2"/>
              <w:szCs w:val="24"/>
              <w14:ligatures w14:val="standardContextual"/>
            </w:rPr>
          </w:pPr>
          <w:hyperlink w:anchor="_Toc229643955" w:history="1">
            <w:r w:rsidRPr="00F16697">
              <w:rPr>
                <w:rStyle w:val="Hyperlink"/>
              </w:rPr>
              <w:t>1.2.</w:t>
            </w:r>
            <w:r>
              <w:rPr>
                <w:color w:val="auto"/>
                <w:kern w:val="2"/>
                <w:szCs w:val="24"/>
                <w14:ligatures w14:val="standardContextual"/>
              </w:rPr>
              <w:tab/>
            </w:r>
            <w:r w:rsidRPr="00F16697">
              <w:rPr>
                <w:rStyle w:val="Hyperlink"/>
              </w:rPr>
              <w:t>Structure and purpose</w:t>
            </w:r>
            <w:r>
              <w:rPr>
                <w:webHidden/>
              </w:rPr>
              <w:tab/>
            </w:r>
            <w:r>
              <w:rPr>
                <w:webHidden/>
              </w:rPr>
              <w:fldChar w:fldCharType="begin"/>
            </w:r>
            <w:r>
              <w:rPr>
                <w:webHidden/>
              </w:rPr>
              <w:instrText xml:space="preserve"> PAGEREF _Toc229643955 \h </w:instrText>
            </w:r>
            <w:r>
              <w:rPr>
                <w:webHidden/>
              </w:rPr>
            </w:r>
            <w:r>
              <w:rPr>
                <w:webHidden/>
              </w:rPr>
              <w:fldChar w:fldCharType="separate"/>
            </w:r>
            <w:r w:rsidR="008645D3">
              <w:rPr>
                <w:webHidden/>
              </w:rPr>
              <w:t>11</w:t>
            </w:r>
            <w:r>
              <w:rPr>
                <w:webHidden/>
              </w:rPr>
              <w:fldChar w:fldCharType="end"/>
            </w:r>
          </w:hyperlink>
        </w:p>
        <w:p w14:paraId="7B77EBB6" w14:textId="172786A6" w:rsidR="00B175D2" w:rsidRDefault="00B175D2">
          <w:pPr>
            <w:pStyle w:val="TOC1"/>
            <w:tabs>
              <w:tab w:val="left" w:pos="851"/>
            </w:tabs>
            <w:rPr>
              <w:rFonts w:eastAsiaTheme="minorEastAsia" w:cstheme="minorBidi"/>
              <w:bCs w:val="0"/>
              <w:color w:val="auto"/>
              <w:kern w:val="2"/>
              <w:szCs w:val="24"/>
              <w14:ligatures w14:val="standardContextual"/>
            </w:rPr>
          </w:pPr>
          <w:hyperlink w:anchor="_Toc229643956" w:history="1">
            <w:r w:rsidRPr="00F16697">
              <w:rPr>
                <w:rStyle w:val="Hyperlink"/>
              </w:rPr>
              <w:t>2.</w:t>
            </w:r>
            <w:r>
              <w:rPr>
                <w:rFonts w:eastAsiaTheme="minorEastAsia" w:cstheme="minorBidi"/>
                <w:bCs w:val="0"/>
                <w:color w:val="auto"/>
                <w:kern w:val="2"/>
                <w:szCs w:val="24"/>
                <w14:ligatures w14:val="standardContextual"/>
              </w:rPr>
              <w:tab/>
            </w:r>
            <w:r w:rsidRPr="00F16697">
              <w:rPr>
                <w:rStyle w:val="Hyperlink"/>
              </w:rPr>
              <w:t>Why are we working towards a more joined-up tertiary system?</w:t>
            </w:r>
            <w:r>
              <w:rPr>
                <w:webHidden/>
              </w:rPr>
              <w:tab/>
            </w:r>
            <w:r>
              <w:rPr>
                <w:webHidden/>
              </w:rPr>
              <w:fldChar w:fldCharType="begin"/>
            </w:r>
            <w:r>
              <w:rPr>
                <w:webHidden/>
              </w:rPr>
              <w:instrText xml:space="preserve"> PAGEREF _Toc229643956 \h </w:instrText>
            </w:r>
            <w:r>
              <w:rPr>
                <w:webHidden/>
              </w:rPr>
            </w:r>
            <w:r>
              <w:rPr>
                <w:webHidden/>
              </w:rPr>
              <w:fldChar w:fldCharType="separate"/>
            </w:r>
            <w:r w:rsidR="008645D3">
              <w:rPr>
                <w:webHidden/>
              </w:rPr>
              <w:t>12</w:t>
            </w:r>
            <w:r>
              <w:rPr>
                <w:webHidden/>
              </w:rPr>
              <w:fldChar w:fldCharType="end"/>
            </w:r>
          </w:hyperlink>
        </w:p>
        <w:p w14:paraId="429AAF83" w14:textId="61EFA372" w:rsidR="00B175D2" w:rsidRDefault="00B175D2">
          <w:pPr>
            <w:pStyle w:val="TOC2"/>
            <w:tabs>
              <w:tab w:val="left" w:pos="1080"/>
            </w:tabs>
            <w:rPr>
              <w:color w:val="auto"/>
              <w:kern w:val="2"/>
              <w:szCs w:val="24"/>
              <w14:ligatures w14:val="standardContextual"/>
            </w:rPr>
          </w:pPr>
          <w:hyperlink w:anchor="_Toc229643957" w:history="1">
            <w:r w:rsidRPr="00F16697">
              <w:rPr>
                <w:rStyle w:val="Hyperlink"/>
              </w:rPr>
              <w:t>2.1.</w:t>
            </w:r>
            <w:r>
              <w:rPr>
                <w:color w:val="auto"/>
                <w:kern w:val="2"/>
                <w:szCs w:val="24"/>
                <w14:ligatures w14:val="standardContextual"/>
              </w:rPr>
              <w:tab/>
            </w:r>
            <w:r w:rsidRPr="00F16697">
              <w:rPr>
                <w:rStyle w:val="Hyperlink"/>
              </w:rPr>
              <w:t>The Two Sectors</w:t>
            </w:r>
            <w:r>
              <w:rPr>
                <w:webHidden/>
              </w:rPr>
              <w:tab/>
            </w:r>
            <w:r>
              <w:rPr>
                <w:webHidden/>
              </w:rPr>
              <w:fldChar w:fldCharType="begin"/>
            </w:r>
            <w:r>
              <w:rPr>
                <w:webHidden/>
              </w:rPr>
              <w:instrText xml:space="preserve"> PAGEREF _Toc229643957 \h </w:instrText>
            </w:r>
            <w:r>
              <w:rPr>
                <w:webHidden/>
              </w:rPr>
            </w:r>
            <w:r>
              <w:rPr>
                <w:webHidden/>
              </w:rPr>
              <w:fldChar w:fldCharType="separate"/>
            </w:r>
            <w:r w:rsidR="008645D3">
              <w:rPr>
                <w:webHidden/>
              </w:rPr>
              <w:t>12</w:t>
            </w:r>
            <w:r>
              <w:rPr>
                <w:webHidden/>
              </w:rPr>
              <w:fldChar w:fldCharType="end"/>
            </w:r>
          </w:hyperlink>
        </w:p>
        <w:p w14:paraId="434BFAF3" w14:textId="58552A97" w:rsidR="00B175D2" w:rsidRDefault="00B175D2">
          <w:pPr>
            <w:pStyle w:val="TOC2"/>
            <w:tabs>
              <w:tab w:val="left" w:pos="1080"/>
            </w:tabs>
            <w:rPr>
              <w:color w:val="auto"/>
              <w:kern w:val="2"/>
              <w:szCs w:val="24"/>
              <w14:ligatures w14:val="standardContextual"/>
            </w:rPr>
          </w:pPr>
          <w:hyperlink w:anchor="_Toc229643958" w:history="1">
            <w:r w:rsidRPr="00F16697">
              <w:rPr>
                <w:rStyle w:val="Hyperlink"/>
              </w:rPr>
              <w:t>2.2.</w:t>
            </w:r>
            <w:r>
              <w:rPr>
                <w:color w:val="auto"/>
                <w:kern w:val="2"/>
                <w:szCs w:val="24"/>
                <w14:ligatures w14:val="standardContextual"/>
              </w:rPr>
              <w:tab/>
            </w:r>
            <w:r w:rsidRPr="00F16697">
              <w:rPr>
                <w:rStyle w:val="Hyperlink"/>
              </w:rPr>
              <w:t>Two decades of calls for a more joined-up tertiary system</w:t>
            </w:r>
            <w:r>
              <w:rPr>
                <w:webHidden/>
              </w:rPr>
              <w:tab/>
            </w:r>
            <w:r>
              <w:rPr>
                <w:webHidden/>
              </w:rPr>
              <w:fldChar w:fldCharType="begin"/>
            </w:r>
            <w:r>
              <w:rPr>
                <w:webHidden/>
              </w:rPr>
              <w:instrText xml:space="preserve"> PAGEREF _Toc229643958 \h </w:instrText>
            </w:r>
            <w:r>
              <w:rPr>
                <w:webHidden/>
              </w:rPr>
            </w:r>
            <w:r>
              <w:rPr>
                <w:webHidden/>
              </w:rPr>
              <w:fldChar w:fldCharType="separate"/>
            </w:r>
            <w:r w:rsidR="008645D3">
              <w:rPr>
                <w:webHidden/>
              </w:rPr>
              <w:t>13</w:t>
            </w:r>
            <w:r>
              <w:rPr>
                <w:webHidden/>
              </w:rPr>
              <w:fldChar w:fldCharType="end"/>
            </w:r>
          </w:hyperlink>
        </w:p>
        <w:p w14:paraId="54E70542" w14:textId="4B54925B" w:rsidR="00B175D2" w:rsidRDefault="00B175D2">
          <w:pPr>
            <w:pStyle w:val="TOC2"/>
            <w:tabs>
              <w:tab w:val="left" w:pos="1080"/>
            </w:tabs>
            <w:rPr>
              <w:color w:val="auto"/>
              <w:kern w:val="2"/>
              <w:szCs w:val="24"/>
              <w14:ligatures w14:val="standardContextual"/>
            </w:rPr>
          </w:pPr>
          <w:hyperlink w:anchor="_Toc229643959" w:history="1">
            <w:r w:rsidRPr="00F16697">
              <w:rPr>
                <w:rStyle w:val="Hyperlink"/>
              </w:rPr>
              <w:t>2.3.</w:t>
            </w:r>
            <w:r>
              <w:rPr>
                <w:color w:val="auto"/>
                <w:kern w:val="2"/>
                <w:szCs w:val="24"/>
                <w14:ligatures w14:val="standardContextual"/>
              </w:rPr>
              <w:tab/>
            </w:r>
            <w:r w:rsidRPr="00F16697">
              <w:rPr>
                <w:rStyle w:val="Hyperlink"/>
              </w:rPr>
              <w:t>Expected benefits of a joined-up tertiary system</w:t>
            </w:r>
            <w:r>
              <w:rPr>
                <w:webHidden/>
              </w:rPr>
              <w:tab/>
            </w:r>
            <w:r>
              <w:rPr>
                <w:webHidden/>
              </w:rPr>
              <w:fldChar w:fldCharType="begin"/>
            </w:r>
            <w:r>
              <w:rPr>
                <w:webHidden/>
              </w:rPr>
              <w:instrText xml:space="preserve"> PAGEREF _Toc229643959 \h </w:instrText>
            </w:r>
            <w:r>
              <w:rPr>
                <w:webHidden/>
              </w:rPr>
            </w:r>
            <w:r>
              <w:rPr>
                <w:webHidden/>
              </w:rPr>
              <w:fldChar w:fldCharType="separate"/>
            </w:r>
            <w:r w:rsidR="008645D3">
              <w:rPr>
                <w:webHidden/>
              </w:rPr>
              <w:t>15</w:t>
            </w:r>
            <w:r>
              <w:rPr>
                <w:webHidden/>
              </w:rPr>
              <w:fldChar w:fldCharType="end"/>
            </w:r>
          </w:hyperlink>
        </w:p>
        <w:p w14:paraId="3DC18BAB" w14:textId="63618E81" w:rsidR="00B175D2" w:rsidRDefault="00B175D2">
          <w:pPr>
            <w:pStyle w:val="TOC3"/>
            <w:rPr>
              <w:rFonts w:eastAsiaTheme="minorEastAsia" w:cstheme="minorBidi"/>
              <w:noProof/>
              <w:color w:val="auto"/>
              <w:kern w:val="2"/>
              <w:szCs w:val="24"/>
              <w14:ligatures w14:val="standardContextual"/>
            </w:rPr>
          </w:pPr>
          <w:hyperlink w:anchor="_Toc229643960" w:history="1">
            <w:r w:rsidRPr="00F16697">
              <w:rPr>
                <w:rStyle w:val="Hyperlink"/>
                <w:rFonts w:eastAsiaTheme="majorEastAsia"/>
                <w:noProof/>
              </w:rPr>
              <w:t>Benefits for learners</w:t>
            </w:r>
            <w:r>
              <w:rPr>
                <w:noProof/>
                <w:webHidden/>
              </w:rPr>
              <w:tab/>
            </w:r>
            <w:r>
              <w:rPr>
                <w:noProof/>
                <w:webHidden/>
              </w:rPr>
              <w:fldChar w:fldCharType="begin"/>
            </w:r>
            <w:r>
              <w:rPr>
                <w:noProof/>
                <w:webHidden/>
              </w:rPr>
              <w:instrText xml:space="preserve"> PAGEREF _Toc229643960 \h </w:instrText>
            </w:r>
            <w:r>
              <w:rPr>
                <w:noProof/>
                <w:webHidden/>
              </w:rPr>
            </w:r>
            <w:r>
              <w:rPr>
                <w:noProof/>
                <w:webHidden/>
              </w:rPr>
              <w:fldChar w:fldCharType="separate"/>
            </w:r>
            <w:r w:rsidR="008645D3">
              <w:rPr>
                <w:noProof/>
                <w:webHidden/>
              </w:rPr>
              <w:t>15</w:t>
            </w:r>
            <w:r>
              <w:rPr>
                <w:noProof/>
                <w:webHidden/>
              </w:rPr>
              <w:fldChar w:fldCharType="end"/>
            </w:r>
          </w:hyperlink>
        </w:p>
        <w:p w14:paraId="4517FF08" w14:textId="3DF82998" w:rsidR="00B175D2" w:rsidRDefault="00B175D2">
          <w:pPr>
            <w:pStyle w:val="TOC3"/>
            <w:rPr>
              <w:rFonts w:eastAsiaTheme="minorEastAsia" w:cstheme="minorBidi"/>
              <w:noProof/>
              <w:color w:val="auto"/>
              <w:kern w:val="2"/>
              <w:szCs w:val="24"/>
              <w14:ligatures w14:val="standardContextual"/>
            </w:rPr>
          </w:pPr>
          <w:hyperlink w:anchor="_Toc229643961" w:history="1">
            <w:r w:rsidRPr="00F16697">
              <w:rPr>
                <w:rStyle w:val="Hyperlink"/>
                <w:rFonts w:eastAsiaTheme="majorEastAsia"/>
                <w:noProof/>
              </w:rPr>
              <w:t>Broader benefits</w:t>
            </w:r>
            <w:r>
              <w:rPr>
                <w:noProof/>
                <w:webHidden/>
              </w:rPr>
              <w:tab/>
            </w:r>
            <w:r>
              <w:rPr>
                <w:noProof/>
                <w:webHidden/>
              </w:rPr>
              <w:fldChar w:fldCharType="begin"/>
            </w:r>
            <w:r>
              <w:rPr>
                <w:noProof/>
                <w:webHidden/>
              </w:rPr>
              <w:instrText xml:space="preserve"> PAGEREF _Toc229643961 \h </w:instrText>
            </w:r>
            <w:r>
              <w:rPr>
                <w:noProof/>
                <w:webHidden/>
              </w:rPr>
            </w:r>
            <w:r>
              <w:rPr>
                <w:noProof/>
                <w:webHidden/>
              </w:rPr>
              <w:fldChar w:fldCharType="separate"/>
            </w:r>
            <w:r w:rsidR="008645D3">
              <w:rPr>
                <w:noProof/>
                <w:webHidden/>
              </w:rPr>
              <w:t>17</w:t>
            </w:r>
            <w:r>
              <w:rPr>
                <w:noProof/>
                <w:webHidden/>
              </w:rPr>
              <w:fldChar w:fldCharType="end"/>
            </w:r>
          </w:hyperlink>
        </w:p>
        <w:p w14:paraId="449F9C90" w14:textId="36E9B4C7" w:rsidR="00B175D2" w:rsidRDefault="00B175D2">
          <w:pPr>
            <w:pStyle w:val="TOC1"/>
            <w:tabs>
              <w:tab w:val="left" w:pos="851"/>
            </w:tabs>
            <w:rPr>
              <w:rFonts w:eastAsiaTheme="minorEastAsia" w:cstheme="minorBidi"/>
              <w:bCs w:val="0"/>
              <w:color w:val="auto"/>
              <w:kern w:val="2"/>
              <w:szCs w:val="24"/>
              <w14:ligatures w14:val="standardContextual"/>
            </w:rPr>
          </w:pPr>
          <w:hyperlink w:anchor="_Toc229643962" w:history="1">
            <w:r w:rsidRPr="00F16697">
              <w:rPr>
                <w:rStyle w:val="Hyperlink"/>
              </w:rPr>
              <w:t>3.</w:t>
            </w:r>
            <w:r>
              <w:rPr>
                <w:rFonts w:eastAsiaTheme="minorEastAsia" w:cstheme="minorBidi"/>
                <w:bCs w:val="0"/>
                <w:color w:val="auto"/>
                <w:kern w:val="2"/>
                <w:szCs w:val="24"/>
                <w14:ligatures w14:val="standardContextual"/>
              </w:rPr>
              <w:tab/>
            </w:r>
            <w:r w:rsidRPr="00F16697">
              <w:rPr>
                <w:rStyle w:val="Hyperlink"/>
              </w:rPr>
              <w:t>Work underway: building the foundations</w:t>
            </w:r>
            <w:r>
              <w:rPr>
                <w:webHidden/>
              </w:rPr>
              <w:tab/>
            </w:r>
            <w:r>
              <w:rPr>
                <w:webHidden/>
              </w:rPr>
              <w:fldChar w:fldCharType="begin"/>
            </w:r>
            <w:r>
              <w:rPr>
                <w:webHidden/>
              </w:rPr>
              <w:instrText xml:space="preserve"> PAGEREF _Toc229643962 \h </w:instrText>
            </w:r>
            <w:r>
              <w:rPr>
                <w:webHidden/>
              </w:rPr>
            </w:r>
            <w:r>
              <w:rPr>
                <w:webHidden/>
              </w:rPr>
              <w:fldChar w:fldCharType="separate"/>
            </w:r>
            <w:r w:rsidR="008645D3">
              <w:rPr>
                <w:webHidden/>
              </w:rPr>
              <w:t>19</w:t>
            </w:r>
            <w:r>
              <w:rPr>
                <w:webHidden/>
              </w:rPr>
              <w:fldChar w:fldCharType="end"/>
            </w:r>
          </w:hyperlink>
        </w:p>
        <w:p w14:paraId="3A46252B" w14:textId="3F0761DB" w:rsidR="00B175D2" w:rsidRDefault="00B175D2">
          <w:pPr>
            <w:pStyle w:val="TOC2"/>
            <w:tabs>
              <w:tab w:val="left" w:pos="1080"/>
            </w:tabs>
            <w:rPr>
              <w:color w:val="auto"/>
              <w:kern w:val="2"/>
              <w:szCs w:val="24"/>
              <w14:ligatures w14:val="standardContextual"/>
            </w:rPr>
          </w:pPr>
          <w:hyperlink w:anchor="_Toc229643963" w:history="1">
            <w:r w:rsidRPr="00F16697">
              <w:rPr>
                <w:rStyle w:val="Hyperlink"/>
              </w:rPr>
              <w:t>3.1.</w:t>
            </w:r>
            <w:r>
              <w:rPr>
                <w:color w:val="auto"/>
                <w:kern w:val="2"/>
                <w:szCs w:val="24"/>
                <w14:ligatures w14:val="standardContextual"/>
              </w:rPr>
              <w:tab/>
            </w:r>
            <w:r w:rsidRPr="00F16697">
              <w:rPr>
                <w:rStyle w:val="Hyperlink"/>
              </w:rPr>
              <w:t>Commonwealth Government initiatives</w:t>
            </w:r>
            <w:r>
              <w:rPr>
                <w:webHidden/>
              </w:rPr>
              <w:tab/>
            </w:r>
            <w:r>
              <w:rPr>
                <w:webHidden/>
              </w:rPr>
              <w:fldChar w:fldCharType="begin"/>
            </w:r>
            <w:r>
              <w:rPr>
                <w:webHidden/>
              </w:rPr>
              <w:instrText xml:space="preserve"> PAGEREF _Toc229643963 \h </w:instrText>
            </w:r>
            <w:r>
              <w:rPr>
                <w:webHidden/>
              </w:rPr>
            </w:r>
            <w:r>
              <w:rPr>
                <w:webHidden/>
              </w:rPr>
              <w:fldChar w:fldCharType="separate"/>
            </w:r>
            <w:r w:rsidR="008645D3">
              <w:rPr>
                <w:webHidden/>
              </w:rPr>
              <w:t>19</w:t>
            </w:r>
            <w:r>
              <w:rPr>
                <w:webHidden/>
              </w:rPr>
              <w:fldChar w:fldCharType="end"/>
            </w:r>
          </w:hyperlink>
        </w:p>
        <w:p w14:paraId="300CA8D5" w14:textId="10EA9DD1" w:rsidR="00B175D2" w:rsidRDefault="00B175D2">
          <w:pPr>
            <w:pStyle w:val="TOC3"/>
            <w:rPr>
              <w:rFonts w:eastAsiaTheme="minorEastAsia" w:cstheme="minorBidi"/>
              <w:noProof/>
              <w:color w:val="auto"/>
              <w:kern w:val="2"/>
              <w:szCs w:val="24"/>
              <w14:ligatures w14:val="standardContextual"/>
            </w:rPr>
          </w:pPr>
          <w:hyperlink w:anchor="_Toc229643964" w:history="1">
            <w:r w:rsidRPr="00F16697">
              <w:rPr>
                <w:rStyle w:val="Hyperlink"/>
                <w:rFonts w:eastAsiaTheme="majorEastAsia"/>
                <w:noProof/>
              </w:rPr>
              <w:t>Tertiary Harmonisation Measures</w:t>
            </w:r>
            <w:r>
              <w:rPr>
                <w:noProof/>
                <w:webHidden/>
              </w:rPr>
              <w:tab/>
            </w:r>
            <w:r>
              <w:rPr>
                <w:noProof/>
                <w:webHidden/>
              </w:rPr>
              <w:fldChar w:fldCharType="begin"/>
            </w:r>
            <w:r>
              <w:rPr>
                <w:noProof/>
                <w:webHidden/>
              </w:rPr>
              <w:instrText xml:space="preserve"> PAGEREF _Toc229643964 \h </w:instrText>
            </w:r>
            <w:r>
              <w:rPr>
                <w:noProof/>
                <w:webHidden/>
              </w:rPr>
            </w:r>
            <w:r>
              <w:rPr>
                <w:noProof/>
                <w:webHidden/>
              </w:rPr>
              <w:fldChar w:fldCharType="separate"/>
            </w:r>
            <w:r w:rsidR="008645D3">
              <w:rPr>
                <w:noProof/>
                <w:webHidden/>
              </w:rPr>
              <w:t>19</w:t>
            </w:r>
            <w:r>
              <w:rPr>
                <w:noProof/>
                <w:webHidden/>
              </w:rPr>
              <w:fldChar w:fldCharType="end"/>
            </w:r>
          </w:hyperlink>
        </w:p>
        <w:p w14:paraId="70B5AE6B" w14:textId="236C5D4D" w:rsidR="00B175D2" w:rsidRDefault="00B175D2">
          <w:pPr>
            <w:pStyle w:val="TOC3"/>
            <w:rPr>
              <w:rFonts w:eastAsiaTheme="minorEastAsia" w:cstheme="minorBidi"/>
              <w:noProof/>
              <w:color w:val="auto"/>
              <w:kern w:val="2"/>
              <w:szCs w:val="24"/>
              <w14:ligatures w14:val="standardContextual"/>
            </w:rPr>
          </w:pPr>
          <w:hyperlink w:anchor="_Toc229643965" w:history="1">
            <w:r w:rsidRPr="00F16697">
              <w:rPr>
                <w:rStyle w:val="Hyperlink"/>
                <w:rFonts w:eastAsiaTheme="majorEastAsia"/>
                <w:noProof/>
              </w:rPr>
              <w:t>National Credit Recognition Framework</w:t>
            </w:r>
            <w:r>
              <w:rPr>
                <w:noProof/>
                <w:webHidden/>
              </w:rPr>
              <w:tab/>
            </w:r>
            <w:r>
              <w:rPr>
                <w:noProof/>
                <w:webHidden/>
              </w:rPr>
              <w:fldChar w:fldCharType="begin"/>
            </w:r>
            <w:r>
              <w:rPr>
                <w:noProof/>
                <w:webHidden/>
              </w:rPr>
              <w:instrText xml:space="preserve"> PAGEREF _Toc229643965 \h </w:instrText>
            </w:r>
            <w:r>
              <w:rPr>
                <w:noProof/>
                <w:webHidden/>
              </w:rPr>
            </w:r>
            <w:r>
              <w:rPr>
                <w:noProof/>
                <w:webHidden/>
              </w:rPr>
              <w:fldChar w:fldCharType="separate"/>
            </w:r>
            <w:r w:rsidR="008645D3">
              <w:rPr>
                <w:noProof/>
                <w:webHidden/>
              </w:rPr>
              <w:t>21</w:t>
            </w:r>
            <w:r>
              <w:rPr>
                <w:noProof/>
                <w:webHidden/>
              </w:rPr>
              <w:fldChar w:fldCharType="end"/>
            </w:r>
          </w:hyperlink>
        </w:p>
        <w:p w14:paraId="04F1442C" w14:textId="408CF1E1" w:rsidR="00B175D2" w:rsidRDefault="00B175D2">
          <w:pPr>
            <w:pStyle w:val="TOC2"/>
            <w:tabs>
              <w:tab w:val="left" w:pos="1080"/>
            </w:tabs>
            <w:rPr>
              <w:color w:val="auto"/>
              <w:kern w:val="2"/>
              <w:szCs w:val="24"/>
              <w14:ligatures w14:val="standardContextual"/>
            </w:rPr>
          </w:pPr>
          <w:hyperlink w:anchor="_Toc229643966" w:history="1">
            <w:r w:rsidRPr="00F16697">
              <w:rPr>
                <w:rStyle w:val="Hyperlink"/>
              </w:rPr>
              <w:t>3.2.</w:t>
            </w:r>
            <w:r>
              <w:rPr>
                <w:color w:val="auto"/>
                <w:kern w:val="2"/>
                <w:szCs w:val="24"/>
                <w14:ligatures w14:val="standardContextual"/>
              </w:rPr>
              <w:tab/>
            </w:r>
            <w:r w:rsidRPr="00F16697">
              <w:rPr>
                <w:rStyle w:val="Hyperlink"/>
              </w:rPr>
              <w:t>State and Territory Government Initiatives</w:t>
            </w:r>
            <w:r>
              <w:rPr>
                <w:webHidden/>
              </w:rPr>
              <w:tab/>
            </w:r>
            <w:r>
              <w:rPr>
                <w:webHidden/>
              </w:rPr>
              <w:fldChar w:fldCharType="begin"/>
            </w:r>
            <w:r>
              <w:rPr>
                <w:webHidden/>
              </w:rPr>
              <w:instrText xml:space="preserve"> PAGEREF _Toc229643966 \h </w:instrText>
            </w:r>
            <w:r>
              <w:rPr>
                <w:webHidden/>
              </w:rPr>
            </w:r>
            <w:r>
              <w:rPr>
                <w:webHidden/>
              </w:rPr>
              <w:fldChar w:fldCharType="separate"/>
            </w:r>
            <w:r w:rsidR="008645D3">
              <w:rPr>
                <w:webHidden/>
              </w:rPr>
              <w:t>21</w:t>
            </w:r>
            <w:r>
              <w:rPr>
                <w:webHidden/>
              </w:rPr>
              <w:fldChar w:fldCharType="end"/>
            </w:r>
          </w:hyperlink>
        </w:p>
        <w:p w14:paraId="36D104DB" w14:textId="706362D9" w:rsidR="00B175D2" w:rsidRDefault="00B175D2">
          <w:pPr>
            <w:pStyle w:val="TOC1"/>
            <w:tabs>
              <w:tab w:val="left" w:pos="851"/>
            </w:tabs>
            <w:rPr>
              <w:rFonts w:eastAsiaTheme="minorEastAsia" w:cstheme="minorBidi"/>
              <w:bCs w:val="0"/>
              <w:color w:val="auto"/>
              <w:kern w:val="2"/>
              <w:szCs w:val="24"/>
              <w14:ligatures w14:val="standardContextual"/>
            </w:rPr>
          </w:pPr>
          <w:hyperlink w:anchor="_Toc229643967" w:history="1">
            <w:r w:rsidRPr="00F16697">
              <w:rPr>
                <w:rStyle w:val="Hyperlink"/>
              </w:rPr>
              <w:t>4.</w:t>
            </w:r>
            <w:r>
              <w:rPr>
                <w:rFonts w:eastAsiaTheme="minorEastAsia" w:cstheme="minorBidi"/>
                <w:bCs w:val="0"/>
                <w:color w:val="auto"/>
                <w:kern w:val="2"/>
                <w:szCs w:val="24"/>
                <w14:ligatures w14:val="standardContextual"/>
              </w:rPr>
              <w:tab/>
            </w:r>
            <w:r w:rsidRPr="00F16697">
              <w:rPr>
                <w:rStyle w:val="Hyperlink"/>
              </w:rPr>
              <w:t>The Learner Journey</w:t>
            </w:r>
            <w:r>
              <w:rPr>
                <w:webHidden/>
              </w:rPr>
              <w:tab/>
            </w:r>
            <w:r>
              <w:rPr>
                <w:webHidden/>
              </w:rPr>
              <w:fldChar w:fldCharType="begin"/>
            </w:r>
            <w:r>
              <w:rPr>
                <w:webHidden/>
              </w:rPr>
              <w:instrText xml:space="preserve"> PAGEREF _Toc229643967 \h </w:instrText>
            </w:r>
            <w:r>
              <w:rPr>
                <w:webHidden/>
              </w:rPr>
            </w:r>
            <w:r>
              <w:rPr>
                <w:webHidden/>
              </w:rPr>
              <w:fldChar w:fldCharType="separate"/>
            </w:r>
            <w:r w:rsidR="008645D3">
              <w:rPr>
                <w:webHidden/>
              </w:rPr>
              <w:t>23</w:t>
            </w:r>
            <w:r>
              <w:rPr>
                <w:webHidden/>
              </w:rPr>
              <w:fldChar w:fldCharType="end"/>
            </w:r>
          </w:hyperlink>
        </w:p>
        <w:p w14:paraId="0BB41A3B" w14:textId="76D1785C" w:rsidR="00B175D2" w:rsidRDefault="00B175D2">
          <w:pPr>
            <w:pStyle w:val="TOC2"/>
            <w:tabs>
              <w:tab w:val="left" w:pos="1080"/>
            </w:tabs>
            <w:rPr>
              <w:color w:val="auto"/>
              <w:kern w:val="2"/>
              <w:szCs w:val="24"/>
              <w14:ligatures w14:val="standardContextual"/>
            </w:rPr>
          </w:pPr>
          <w:hyperlink w:anchor="_Toc229643968" w:history="1">
            <w:r w:rsidRPr="00F16697">
              <w:rPr>
                <w:rStyle w:val="Hyperlink"/>
              </w:rPr>
              <w:t>4.1.</w:t>
            </w:r>
            <w:r>
              <w:rPr>
                <w:color w:val="auto"/>
                <w:kern w:val="2"/>
                <w:szCs w:val="24"/>
                <w14:ligatures w14:val="standardContextual"/>
              </w:rPr>
              <w:tab/>
            </w:r>
            <w:r w:rsidRPr="00F16697">
              <w:rPr>
                <w:rStyle w:val="Hyperlink"/>
              </w:rPr>
              <w:t>Learning is continuous and varied</w:t>
            </w:r>
            <w:r>
              <w:rPr>
                <w:webHidden/>
              </w:rPr>
              <w:tab/>
            </w:r>
            <w:r>
              <w:rPr>
                <w:webHidden/>
              </w:rPr>
              <w:fldChar w:fldCharType="begin"/>
            </w:r>
            <w:r>
              <w:rPr>
                <w:webHidden/>
              </w:rPr>
              <w:instrText xml:space="preserve"> PAGEREF _Toc229643968 \h </w:instrText>
            </w:r>
            <w:r>
              <w:rPr>
                <w:webHidden/>
              </w:rPr>
            </w:r>
            <w:r>
              <w:rPr>
                <w:webHidden/>
              </w:rPr>
              <w:fldChar w:fldCharType="separate"/>
            </w:r>
            <w:r w:rsidR="008645D3">
              <w:rPr>
                <w:webHidden/>
              </w:rPr>
              <w:t>23</w:t>
            </w:r>
            <w:r>
              <w:rPr>
                <w:webHidden/>
              </w:rPr>
              <w:fldChar w:fldCharType="end"/>
            </w:r>
          </w:hyperlink>
        </w:p>
        <w:p w14:paraId="175F06A7" w14:textId="64693898" w:rsidR="00B175D2" w:rsidRDefault="00B175D2">
          <w:pPr>
            <w:pStyle w:val="TOC1"/>
            <w:tabs>
              <w:tab w:val="left" w:pos="851"/>
            </w:tabs>
            <w:rPr>
              <w:rFonts w:eastAsiaTheme="minorEastAsia" w:cstheme="minorBidi"/>
              <w:bCs w:val="0"/>
              <w:color w:val="auto"/>
              <w:kern w:val="2"/>
              <w:szCs w:val="24"/>
              <w14:ligatures w14:val="standardContextual"/>
            </w:rPr>
          </w:pPr>
          <w:hyperlink w:anchor="_Toc229643969" w:history="1">
            <w:r w:rsidRPr="00F16697">
              <w:rPr>
                <w:rStyle w:val="Hyperlink"/>
              </w:rPr>
              <w:t>5.</w:t>
            </w:r>
            <w:r>
              <w:rPr>
                <w:rFonts w:eastAsiaTheme="minorEastAsia" w:cstheme="minorBidi"/>
                <w:bCs w:val="0"/>
                <w:color w:val="auto"/>
                <w:kern w:val="2"/>
                <w:szCs w:val="24"/>
                <w14:ligatures w14:val="standardContextual"/>
              </w:rPr>
              <w:tab/>
            </w:r>
            <w:r w:rsidRPr="00F16697">
              <w:rPr>
                <w:rStyle w:val="Hyperlink"/>
              </w:rPr>
              <w:t>Barriers and Challenges</w:t>
            </w:r>
            <w:r>
              <w:rPr>
                <w:webHidden/>
              </w:rPr>
              <w:tab/>
            </w:r>
            <w:r>
              <w:rPr>
                <w:webHidden/>
              </w:rPr>
              <w:fldChar w:fldCharType="begin"/>
            </w:r>
            <w:r>
              <w:rPr>
                <w:webHidden/>
              </w:rPr>
              <w:instrText xml:space="preserve"> PAGEREF _Toc229643969 \h </w:instrText>
            </w:r>
            <w:r>
              <w:rPr>
                <w:webHidden/>
              </w:rPr>
            </w:r>
            <w:r>
              <w:rPr>
                <w:webHidden/>
              </w:rPr>
              <w:fldChar w:fldCharType="separate"/>
            </w:r>
            <w:r w:rsidR="008645D3">
              <w:rPr>
                <w:webHidden/>
              </w:rPr>
              <w:t>25</w:t>
            </w:r>
            <w:r>
              <w:rPr>
                <w:webHidden/>
              </w:rPr>
              <w:fldChar w:fldCharType="end"/>
            </w:r>
          </w:hyperlink>
        </w:p>
        <w:p w14:paraId="338EF781" w14:textId="0FDE0EFA" w:rsidR="00B175D2" w:rsidRDefault="00B175D2">
          <w:pPr>
            <w:pStyle w:val="TOC2"/>
            <w:tabs>
              <w:tab w:val="left" w:pos="1080"/>
            </w:tabs>
            <w:rPr>
              <w:color w:val="auto"/>
              <w:kern w:val="2"/>
              <w:szCs w:val="24"/>
              <w14:ligatures w14:val="standardContextual"/>
            </w:rPr>
          </w:pPr>
          <w:hyperlink w:anchor="_Toc229643970" w:history="1">
            <w:r w:rsidRPr="00F16697">
              <w:rPr>
                <w:rStyle w:val="Hyperlink"/>
              </w:rPr>
              <w:t>5.1.</w:t>
            </w:r>
            <w:r>
              <w:rPr>
                <w:color w:val="auto"/>
                <w:kern w:val="2"/>
                <w:szCs w:val="24"/>
                <w14:ligatures w14:val="standardContextual"/>
              </w:rPr>
              <w:tab/>
            </w:r>
            <w:r w:rsidRPr="00F16697">
              <w:rPr>
                <w:rStyle w:val="Hyperlink"/>
              </w:rPr>
              <w:t>Entering the tertiary system</w:t>
            </w:r>
            <w:r>
              <w:rPr>
                <w:webHidden/>
              </w:rPr>
              <w:tab/>
            </w:r>
            <w:r>
              <w:rPr>
                <w:webHidden/>
              </w:rPr>
              <w:fldChar w:fldCharType="begin"/>
            </w:r>
            <w:r>
              <w:rPr>
                <w:webHidden/>
              </w:rPr>
              <w:instrText xml:space="preserve"> PAGEREF _Toc229643970 \h </w:instrText>
            </w:r>
            <w:r>
              <w:rPr>
                <w:webHidden/>
              </w:rPr>
            </w:r>
            <w:r>
              <w:rPr>
                <w:webHidden/>
              </w:rPr>
              <w:fldChar w:fldCharType="separate"/>
            </w:r>
            <w:r w:rsidR="008645D3">
              <w:rPr>
                <w:webHidden/>
              </w:rPr>
              <w:t>25</w:t>
            </w:r>
            <w:r>
              <w:rPr>
                <w:webHidden/>
              </w:rPr>
              <w:fldChar w:fldCharType="end"/>
            </w:r>
          </w:hyperlink>
        </w:p>
        <w:p w14:paraId="0EB9EA9B" w14:textId="44DAE530" w:rsidR="00B175D2" w:rsidRDefault="00B175D2">
          <w:pPr>
            <w:pStyle w:val="TOC3"/>
            <w:rPr>
              <w:rFonts w:eastAsiaTheme="minorEastAsia" w:cstheme="minorBidi"/>
              <w:noProof/>
              <w:color w:val="auto"/>
              <w:kern w:val="2"/>
              <w:szCs w:val="24"/>
              <w14:ligatures w14:val="standardContextual"/>
            </w:rPr>
          </w:pPr>
          <w:hyperlink w:anchor="_Toc229643971" w:history="1">
            <w:r w:rsidRPr="00F16697">
              <w:rPr>
                <w:rStyle w:val="Hyperlink"/>
                <w:rFonts w:eastAsiaTheme="majorEastAsia"/>
                <w:noProof/>
              </w:rPr>
              <w:t>Influences on decisions</w:t>
            </w:r>
            <w:r>
              <w:rPr>
                <w:noProof/>
                <w:webHidden/>
              </w:rPr>
              <w:tab/>
            </w:r>
            <w:r>
              <w:rPr>
                <w:noProof/>
                <w:webHidden/>
              </w:rPr>
              <w:fldChar w:fldCharType="begin"/>
            </w:r>
            <w:r>
              <w:rPr>
                <w:noProof/>
                <w:webHidden/>
              </w:rPr>
              <w:instrText xml:space="preserve"> PAGEREF _Toc229643971 \h </w:instrText>
            </w:r>
            <w:r>
              <w:rPr>
                <w:noProof/>
                <w:webHidden/>
              </w:rPr>
            </w:r>
            <w:r>
              <w:rPr>
                <w:noProof/>
                <w:webHidden/>
              </w:rPr>
              <w:fldChar w:fldCharType="separate"/>
            </w:r>
            <w:r w:rsidR="008645D3">
              <w:rPr>
                <w:noProof/>
                <w:webHidden/>
              </w:rPr>
              <w:t>25</w:t>
            </w:r>
            <w:r>
              <w:rPr>
                <w:noProof/>
                <w:webHidden/>
              </w:rPr>
              <w:fldChar w:fldCharType="end"/>
            </w:r>
          </w:hyperlink>
        </w:p>
        <w:p w14:paraId="0D69EE84" w14:textId="72185424" w:rsidR="00B175D2" w:rsidRDefault="00B175D2">
          <w:pPr>
            <w:pStyle w:val="TOC3"/>
            <w:rPr>
              <w:rFonts w:eastAsiaTheme="minorEastAsia" w:cstheme="minorBidi"/>
              <w:noProof/>
              <w:color w:val="auto"/>
              <w:kern w:val="2"/>
              <w:szCs w:val="24"/>
              <w14:ligatures w14:val="standardContextual"/>
            </w:rPr>
          </w:pPr>
          <w:hyperlink w:anchor="_Toc229643972" w:history="1">
            <w:r w:rsidRPr="00F16697">
              <w:rPr>
                <w:rStyle w:val="Hyperlink"/>
                <w:rFonts w:eastAsiaTheme="majorEastAsia"/>
                <w:noProof/>
              </w:rPr>
              <w:t>Finding the ‘right’ pathway</w:t>
            </w:r>
            <w:r>
              <w:rPr>
                <w:noProof/>
                <w:webHidden/>
              </w:rPr>
              <w:tab/>
            </w:r>
            <w:r>
              <w:rPr>
                <w:noProof/>
                <w:webHidden/>
              </w:rPr>
              <w:fldChar w:fldCharType="begin"/>
            </w:r>
            <w:r>
              <w:rPr>
                <w:noProof/>
                <w:webHidden/>
              </w:rPr>
              <w:instrText xml:space="preserve"> PAGEREF _Toc229643972 \h </w:instrText>
            </w:r>
            <w:r>
              <w:rPr>
                <w:noProof/>
                <w:webHidden/>
              </w:rPr>
            </w:r>
            <w:r>
              <w:rPr>
                <w:noProof/>
                <w:webHidden/>
              </w:rPr>
              <w:fldChar w:fldCharType="separate"/>
            </w:r>
            <w:r w:rsidR="008645D3">
              <w:rPr>
                <w:noProof/>
                <w:webHidden/>
              </w:rPr>
              <w:t>26</w:t>
            </w:r>
            <w:r>
              <w:rPr>
                <w:noProof/>
                <w:webHidden/>
              </w:rPr>
              <w:fldChar w:fldCharType="end"/>
            </w:r>
          </w:hyperlink>
        </w:p>
        <w:p w14:paraId="33EFE5E4" w14:textId="627225DF" w:rsidR="00B175D2" w:rsidRDefault="00B175D2">
          <w:pPr>
            <w:pStyle w:val="TOC3"/>
            <w:rPr>
              <w:rFonts w:eastAsiaTheme="minorEastAsia" w:cstheme="minorBidi"/>
              <w:noProof/>
              <w:color w:val="auto"/>
              <w:kern w:val="2"/>
              <w:szCs w:val="24"/>
              <w14:ligatures w14:val="standardContextual"/>
            </w:rPr>
          </w:pPr>
          <w:hyperlink w:anchor="_Toc229643973" w:history="1">
            <w:r w:rsidRPr="00F16697">
              <w:rPr>
                <w:rStyle w:val="Hyperlink"/>
                <w:rFonts w:eastAsiaTheme="majorEastAsia"/>
                <w:noProof/>
              </w:rPr>
              <w:t>Additional barriers to accessing tertiary education</w:t>
            </w:r>
            <w:r>
              <w:rPr>
                <w:noProof/>
                <w:webHidden/>
              </w:rPr>
              <w:tab/>
            </w:r>
            <w:r>
              <w:rPr>
                <w:noProof/>
                <w:webHidden/>
              </w:rPr>
              <w:fldChar w:fldCharType="begin"/>
            </w:r>
            <w:r>
              <w:rPr>
                <w:noProof/>
                <w:webHidden/>
              </w:rPr>
              <w:instrText xml:space="preserve"> PAGEREF _Toc229643973 \h </w:instrText>
            </w:r>
            <w:r>
              <w:rPr>
                <w:noProof/>
                <w:webHidden/>
              </w:rPr>
            </w:r>
            <w:r>
              <w:rPr>
                <w:noProof/>
                <w:webHidden/>
              </w:rPr>
              <w:fldChar w:fldCharType="separate"/>
            </w:r>
            <w:r w:rsidR="008645D3">
              <w:rPr>
                <w:noProof/>
                <w:webHidden/>
              </w:rPr>
              <w:t>28</w:t>
            </w:r>
            <w:r>
              <w:rPr>
                <w:noProof/>
                <w:webHidden/>
              </w:rPr>
              <w:fldChar w:fldCharType="end"/>
            </w:r>
          </w:hyperlink>
        </w:p>
        <w:p w14:paraId="15532E8D" w14:textId="0609D21A" w:rsidR="00B175D2" w:rsidRDefault="00B175D2">
          <w:pPr>
            <w:pStyle w:val="TOC2"/>
            <w:tabs>
              <w:tab w:val="left" w:pos="1080"/>
            </w:tabs>
            <w:rPr>
              <w:color w:val="auto"/>
              <w:kern w:val="2"/>
              <w:szCs w:val="24"/>
              <w14:ligatures w14:val="standardContextual"/>
            </w:rPr>
          </w:pPr>
          <w:hyperlink w:anchor="_Toc229643974" w:history="1">
            <w:r w:rsidRPr="00F16697">
              <w:rPr>
                <w:rStyle w:val="Hyperlink"/>
              </w:rPr>
              <w:t>5.2.</w:t>
            </w:r>
            <w:r>
              <w:rPr>
                <w:color w:val="auto"/>
                <w:kern w:val="2"/>
                <w:szCs w:val="24"/>
                <w14:ligatures w14:val="standardContextual"/>
              </w:rPr>
              <w:tab/>
            </w:r>
            <w:r w:rsidRPr="00F16697">
              <w:rPr>
                <w:rStyle w:val="Hyperlink"/>
              </w:rPr>
              <w:t>Transitioning between the sectors</w:t>
            </w:r>
            <w:r>
              <w:rPr>
                <w:webHidden/>
              </w:rPr>
              <w:tab/>
            </w:r>
            <w:r>
              <w:rPr>
                <w:webHidden/>
              </w:rPr>
              <w:fldChar w:fldCharType="begin"/>
            </w:r>
            <w:r>
              <w:rPr>
                <w:webHidden/>
              </w:rPr>
              <w:instrText xml:space="preserve"> PAGEREF _Toc229643974 \h </w:instrText>
            </w:r>
            <w:r>
              <w:rPr>
                <w:webHidden/>
              </w:rPr>
            </w:r>
            <w:r>
              <w:rPr>
                <w:webHidden/>
              </w:rPr>
              <w:fldChar w:fldCharType="separate"/>
            </w:r>
            <w:r w:rsidR="008645D3">
              <w:rPr>
                <w:webHidden/>
              </w:rPr>
              <w:t>30</w:t>
            </w:r>
            <w:r>
              <w:rPr>
                <w:webHidden/>
              </w:rPr>
              <w:fldChar w:fldCharType="end"/>
            </w:r>
          </w:hyperlink>
        </w:p>
        <w:p w14:paraId="332D9F14" w14:textId="13C09B50" w:rsidR="00B175D2" w:rsidRDefault="00B175D2">
          <w:pPr>
            <w:pStyle w:val="TOC3"/>
            <w:rPr>
              <w:rFonts w:eastAsiaTheme="minorEastAsia" w:cstheme="minorBidi"/>
              <w:noProof/>
              <w:color w:val="auto"/>
              <w:kern w:val="2"/>
              <w:szCs w:val="24"/>
              <w14:ligatures w14:val="standardContextual"/>
            </w:rPr>
          </w:pPr>
          <w:hyperlink w:anchor="_Toc229643975" w:history="1">
            <w:r w:rsidRPr="00F16697">
              <w:rPr>
                <w:rStyle w:val="Hyperlink"/>
                <w:rFonts w:eastAsiaTheme="majorEastAsia"/>
                <w:noProof/>
              </w:rPr>
              <w:t>Multidirectional transitions</w:t>
            </w:r>
            <w:r>
              <w:rPr>
                <w:noProof/>
                <w:webHidden/>
              </w:rPr>
              <w:tab/>
            </w:r>
            <w:r>
              <w:rPr>
                <w:noProof/>
                <w:webHidden/>
              </w:rPr>
              <w:fldChar w:fldCharType="begin"/>
            </w:r>
            <w:r>
              <w:rPr>
                <w:noProof/>
                <w:webHidden/>
              </w:rPr>
              <w:instrText xml:space="preserve"> PAGEREF _Toc229643975 \h </w:instrText>
            </w:r>
            <w:r>
              <w:rPr>
                <w:noProof/>
                <w:webHidden/>
              </w:rPr>
            </w:r>
            <w:r>
              <w:rPr>
                <w:noProof/>
                <w:webHidden/>
              </w:rPr>
              <w:fldChar w:fldCharType="separate"/>
            </w:r>
            <w:r w:rsidR="008645D3">
              <w:rPr>
                <w:noProof/>
                <w:webHidden/>
              </w:rPr>
              <w:t>30</w:t>
            </w:r>
            <w:r>
              <w:rPr>
                <w:noProof/>
                <w:webHidden/>
              </w:rPr>
              <w:fldChar w:fldCharType="end"/>
            </w:r>
          </w:hyperlink>
        </w:p>
        <w:p w14:paraId="783CA385" w14:textId="787D304F" w:rsidR="00B175D2" w:rsidRDefault="00B175D2">
          <w:pPr>
            <w:pStyle w:val="TOC3"/>
            <w:rPr>
              <w:rFonts w:eastAsiaTheme="minorEastAsia" w:cstheme="minorBidi"/>
              <w:noProof/>
              <w:color w:val="auto"/>
              <w:kern w:val="2"/>
              <w:szCs w:val="24"/>
              <w14:ligatures w14:val="standardContextual"/>
            </w:rPr>
          </w:pPr>
          <w:hyperlink w:anchor="_Toc229643976" w:history="1">
            <w:r w:rsidRPr="00F16697">
              <w:rPr>
                <w:rStyle w:val="Hyperlink"/>
                <w:rFonts w:eastAsiaTheme="majorEastAsia"/>
                <w:noProof/>
              </w:rPr>
              <w:t>Credit Transfer and Recognition of Prior Learning</w:t>
            </w:r>
            <w:r>
              <w:rPr>
                <w:noProof/>
                <w:webHidden/>
              </w:rPr>
              <w:tab/>
            </w:r>
            <w:r>
              <w:rPr>
                <w:noProof/>
                <w:webHidden/>
              </w:rPr>
              <w:fldChar w:fldCharType="begin"/>
            </w:r>
            <w:r>
              <w:rPr>
                <w:noProof/>
                <w:webHidden/>
              </w:rPr>
              <w:instrText xml:space="preserve"> PAGEREF _Toc229643976 \h </w:instrText>
            </w:r>
            <w:r>
              <w:rPr>
                <w:noProof/>
                <w:webHidden/>
              </w:rPr>
            </w:r>
            <w:r>
              <w:rPr>
                <w:noProof/>
                <w:webHidden/>
              </w:rPr>
              <w:fldChar w:fldCharType="separate"/>
            </w:r>
            <w:r w:rsidR="008645D3">
              <w:rPr>
                <w:noProof/>
                <w:webHidden/>
              </w:rPr>
              <w:t>34</w:t>
            </w:r>
            <w:r>
              <w:rPr>
                <w:noProof/>
                <w:webHidden/>
              </w:rPr>
              <w:fldChar w:fldCharType="end"/>
            </w:r>
          </w:hyperlink>
        </w:p>
        <w:p w14:paraId="495A1CAD" w14:textId="778ED64A" w:rsidR="00B175D2" w:rsidRDefault="00B175D2">
          <w:pPr>
            <w:pStyle w:val="TOC2"/>
            <w:tabs>
              <w:tab w:val="left" w:pos="1080"/>
            </w:tabs>
            <w:rPr>
              <w:color w:val="auto"/>
              <w:kern w:val="2"/>
              <w:szCs w:val="24"/>
              <w14:ligatures w14:val="standardContextual"/>
            </w:rPr>
          </w:pPr>
          <w:hyperlink w:anchor="_Toc229643977" w:history="1">
            <w:r w:rsidRPr="00F16697">
              <w:rPr>
                <w:rStyle w:val="Hyperlink"/>
              </w:rPr>
              <w:t>5.3.</w:t>
            </w:r>
            <w:r>
              <w:rPr>
                <w:color w:val="auto"/>
                <w:kern w:val="2"/>
                <w:szCs w:val="24"/>
                <w14:ligatures w14:val="standardContextual"/>
              </w:rPr>
              <w:tab/>
            </w:r>
            <w:r w:rsidRPr="00F16697">
              <w:rPr>
                <w:rStyle w:val="Hyperlink"/>
              </w:rPr>
              <w:t>Strengthening learner experience and outcomes through collaboration</w:t>
            </w:r>
            <w:r>
              <w:rPr>
                <w:webHidden/>
              </w:rPr>
              <w:tab/>
            </w:r>
            <w:r>
              <w:rPr>
                <w:webHidden/>
              </w:rPr>
              <w:fldChar w:fldCharType="begin"/>
            </w:r>
            <w:r>
              <w:rPr>
                <w:webHidden/>
              </w:rPr>
              <w:instrText xml:space="preserve"> PAGEREF _Toc229643977 \h </w:instrText>
            </w:r>
            <w:r>
              <w:rPr>
                <w:webHidden/>
              </w:rPr>
            </w:r>
            <w:r>
              <w:rPr>
                <w:webHidden/>
              </w:rPr>
              <w:fldChar w:fldCharType="separate"/>
            </w:r>
            <w:r w:rsidR="008645D3">
              <w:rPr>
                <w:webHidden/>
              </w:rPr>
              <w:t>37</w:t>
            </w:r>
            <w:r>
              <w:rPr>
                <w:webHidden/>
              </w:rPr>
              <w:fldChar w:fldCharType="end"/>
            </w:r>
          </w:hyperlink>
        </w:p>
        <w:p w14:paraId="210B0053" w14:textId="008A1F55" w:rsidR="00B175D2" w:rsidRDefault="00B175D2">
          <w:pPr>
            <w:pStyle w:val="TOC3"/>
            <w:rPr>
              <w:rFonts w:eastAsiaTheme="minorEastAsia" w:cstheme="minorBidi"/>
              <w:noProof/>
              <w:color w:val="auto"/>
              <w:kern w:val="2"/>
              <w:szCs w:val="24"/>
              <w14:ligatures w14:val="standardContextual"/>
            </w:rPr>
          </w:pPr>
          <w:hyperlink w:anchor="_Toc229643978" w:history="1">
            <w:r w:rsidRPr="00F16697">
              <w:rPr>
                <w:rStyle w:val="Hyperlink"/>
                <w:rFonts w:eastAsiaTheme="majorEastAsia"/>
                <w:noProof/>
              </w:rPr>
              <w:t>Collaborative qualifications and pathways</w:t>
            </w:r>
            <w:r>
              <w:rPr>
                <w:noProof/>
                <w:webHidden/>
              </w:rPr>
              <w:tab/>
            </w:r>
            <w:r>
              <w:rPr>
                <w:noProof/>
                <w:webHidden/>
              </w:rPr>
              <w:fldChar w:fldCharType="begin"/>
            </w:r>
            <w:r>
              <w:rPr>
                <w:noProof/>
                <w:webHidden/>
              </w:rPr>
              <w:instrText xml:space="preserve"> PAGEREF _Toc229643978 \h </w:instrText>
            </w:r>
            <w:r>
              <w:rPr>
                <w:noProof/>
                <w:webHidden/>
              </w:rPr>
            </w:r>
            <w:r>
              <w:rPr>
                <w:noProof/>
                <w:webHidden/>
              </w:rPr>
              <w:fldChar w:fldCharType="separate"/>
            </w:r>
            <w:r w:rsidR="008645D3">
              <w:rPr>
                <w:noProof/>
                <w:webHidden/>
              </w:rPr>
              <w:t>38</w:t>
            </w:r>
            <w:r>
              <w:rPr>
                <w:noProof/>
                <w:webHidden/>
              </w:rPr>
              <w:fldChar w:fldCharType="end"/>
            </w:r>
          </w:hyperlink>
        </w:p>
        <w:p w14:paraId="3E184413" w14:textId="41AF0BD3" w:rsidR="00B175D2" w:rsidRDefault="00B175D2">
          <w:pPr>
            <w:pStyle w:val="TOC3"/>
            <w:rPr>
              <w:rFonts w:eastAsiaTheme="minorEastAsia" w:cstheme="minorBidi"/>
              <w:noProof/>
              <w:color w:val="auto"/>
              <w:kern w:val="2"/>
              <w:szCs w:val="24"/>
              <w14:ligatures w14:val="standardContextual"/>
            </w:rPr>
          </w:pPr>
          <w:hyperlink w:anchor="_Toc229643979" w:history="1">
            <w:r w:rsidRPr="00F16697">
              <w:rPr>
                <w:rStyle w:val="Hyperlink"/>
                <w:rFonts w:eastAsiaTheme="majorEastAsia"/>
                <w:noProof/>
              </w:rPr>
              <w:t>Benefits of dual sector models</w:t>
            </w:r>
            <w:r>
              <w:rPr>
                <w:noProof/>
                <w:webHidden/>
              </w:rPr>
              <w:tab/>
            </w:r>
            <w:r>
              <w:rPr>
                <w:noProof/>
                <w:webHidden/>
              </w:rPr>
              <w:fldChar w:fldCharType="begin"/>
            </w:r>
            <w:r>
              <w:rPr>
                <w:noProof/>
                <w:webHidden/>
              </w:rPr>
              <w:instrText xml:space="preserve"> PAGEREF _Toc229643979 \h </w:instrText>
            </w:r>
            <w:r>
              <w:rPr>
                <w:noProof/>
                <w:webHidden/>
              </w:rPr>
            </w:r>
            <w:r>
              <w:rPr>
                <w:noProof/>
                <w:webHidden/>
              </w:rPr>
              <w:fldChar w:fldCharType="separate"/>
            </w:r>
            <w:r w:rsidR="008645D3">
              <w:rPr>
                <w:noProof/>
                <w:webHidden/>
              </w:rPr>
              <w:t>40</w:t>
            </w:r>
            <w:r>
              <w:rPr>
                <w:noProof/>
                <w:webHidden/>
              </w:rPr>
              <w:fldChar w:fldCharType="end"/>
            </w:r>
          </w:hyperlink>
        </w:p>
        <w:p w14:paraId="43F85129" w14:textId="17132989" w:rsidR="00B175D2" w:rsidRDefault="00B175D2">
          <w:pPr>
            <w:pStyle w:val="TOC3"/>
            <w:rPr>
              <w:rFonts w:eastAsiaTheme="minorEastAsia" w:cstheme="minorBidi"/>
              <w:noProof/>
              <w:color w:val="auto"/>
              <w:kern w:val="2"/>
              <w:szCs w:val="24"/>
              <w14:ligatures w14:val="standardContextual"/>
            </w:rPr>
          </w:pPr>
          <w:hyperlink w:anchor="_Toc229643980" w:history="1">
            <w:r w:rsidRPr="00F16697">
              <w:rPr>
                <w:rStyle w:val="Hyperlink"/>
                <w:rFonts w:eastAsiaTheme="majorEastAsia"/>
                <w:noProof/>
              </w:rPr>
              <w:t>Barriers to developing collaborative models</w:t>
            </w:r>
            <w:r>
              <w:rPr>
                <w:noProof/>
                <w:webHidden/>
              </w:rPr>
              <w:tab/>
            </w:r>
            <w:r>
              <w:rPr>
                <w:noProof/>
                <w:webHidden/>
              </w:rPr>
              <w:fldChar w:fldCharType="begin"/>
            </w:r>
            <w:r>
              <w:rPr>
                <w:noProof/>
                <w:webHidden/>
              </w:rPr>
              <w:instrText xml:space="preserve"> PAGEREF _Toc229643980 \h </w:instrText>
            </w:r>
            <w:r>
              <w:rPr>
                <w:noProof/>
                <w:webHidden/>
              </w:rPr>
            </w:r>
            <w:r>
              <w:rPr>
                <w:noProof/>
                <w:webHidden/>
              </w:rPr>
              <w:fldChar w:fldCharType="separate"/>
            </w:r>
            <w:r w:rsidR="008645D3">
              <w:rPr>
                <w:noProof/>
                <w:webHidden/>
              </w:rPr>
              <w:t>42</w:t>
            </w:r>
            <w:r>
              <w:rPr>
                <w:noProof/>
                <w:webHidden/>
              </w:rPr>
              <w:fldChar w:fldCharType="end"/>
            </w:r>
          </w:hyperlink>
        </w:p>
        <w:p w14:paraId="284E7DF1" w14:textId="3EB0E8C4" w:rsidR="00B175D2" w:rsidRDefault="00B175D2">
          <w:pPr>
            <w:pStyle w:val="TOC3"/>
            <w:rPr>
              <w:rFonts w:eastAsiaTheme="minorEastAsia" w:cstheme="minorBidi"/>
              <w:noProof/>
              <w:color w:val="auto"/>
              <w:kern w:val="2"/>
              <w:szCs w:val="24"/>
              <w14:ligatures w14:val="standardContextual"/>
            </w:rPr>
          </w:pPr>
          <w:hyperlink w:anchor="_Toc229643981" w:history="1">
            <w:r w:rsidRPr="00F16697">
              <w:rPr>
                <w:rStyle w:val="Hyperlink"/>
                <w:rFonts w:eastAsiaTheme="majorEastAsia"/>
                <w:noProof/>
              </w:rPr>
              <w:t>Beyond qualifications: other dual sector models</w:t>
            </w:r>
            <w:r>
              <w:rPr>
                <w:noProof/>
                <w:webHidden/>
              </w:rPr>
              <w:tab/>
            </w:r>
            <w:r>
              <w:rPr>
                <w:noProof/>
                <w:webHidden/>
              </w:rPr>
              <w:fldChar w:fldCharType="begin"/>
            </w:r>
            <w:r>
              <w:rPr>
                <w:noProof/>
                <w:webHidden/>
              </w:rPr>
              <w:instrText xml:space="preserve"> PAGEREF _Toc229643981 \h </w:instrText>
            </w:r>
            <w:r>
              <w:rPr>
                <w:noProof/>
                <w:webHidden/>
              </w:rPr>
            </w:r>
            <w:r>
              <w:rPr>
                <w:noProof/>
                <w:webHidden/>
              </w:rPr>
              <w:fldChar w:fldCharType="separate"/>
            </w:r>
            <w:r w:rsidR="008645D3">
              <w:rPr>
                <w:noProof/>
                <w:webHidden/>
              </w:rPr>
              <w:t>44</w:t>
            </w:r>
            <w:r>
              <w:rPr>
                <w:noProof/>
                <w:webHidden/>
              </w:rPr>
              <w:fldChar w:fldCharType="end"/>
            </w:r>
          </w:hyperlink>
        </w:p>
        <w:p w14:paraId="66425D8A" w14:textId="2ADE0B19" w:rsidR="00B175D2" w:rsidRDefault="00B175D2">
          <w:pPr>
            <w:pStyle w:val="TOC1"/>
            <w:tabs>
              <w:tab w:val="left" w:pos="851"/>
            </w:tabs>
            <w:rPr>
              <w:rFonts w:eastAsiaTheme="minorEastAsia" w:cstheme="minorBidi"/>
              <w:bCs w:val="0"/>
              <w:color w:val="auto"/>
              <w:kern w:val="2"/>
              <w:szCs w:val="24"/>
              <w14:ligatures w14:val="standardContextual"/>
            </w:rPr>
          </w:pPr>
          <w:hyperlink w:anchor="_Toc229643982" w:history="1">
            <w:r w:rsidRPr="00F16697">
              <w:rPr>
                <w:rStyle w:val="Hyperlink"/>
              </w:rPr>
              <w:t>6.</w:t>
            </w:r>
            <w:r>
              <w:rPr>
                <w:rFonts w:eastAsiaTheme="minorEastAsia" w:cstheme="minorBidi"/>
                <w:bCs w:val="0"/>
                <w:color w:val="auto"/>
                <w:kern w:val="2"/>
                <w:szCs w:val="24"/>
                <w14:ligatures w14:val="standardContextual"/>
              </w:rPr>
              <w:tab/>
            </w:r>
            <w:r w:rsidRPr="00F16697">
              <w:rPr>
                <w:rStyle w:val="Hyperlink"/>
              </w:rPr>
              <w:t>Next steps</w:t>
            </w:r>
            <w:r>
              <w:rPr>
                <w:webHidden/>
              </w:rPr>
              <w:tab/>
            </w:r>
            <w:r>
              <w:rPr>
                <w:webHidden/>
              </w:rPr>
              <w:fldChar w:fldCharType="begin"/>
            </w:r>
            <w:r>
              <w:rPr>
                <w:webHidden/>
              </w:rPr>
              <w:instrText xml:space="preserve"> PAGEREF _Toc229643982 \h </w:instrText>
            </w:r>
            <w:r>
              <w:rPr>
                <w:webHidden/>
              </w:rPr>
            </w:r>
            <w:r>
              <w:rPr>
                <w:webHidden/>
              </w:rPr>
              <w:fldChar w:fldCharType="separate"/>
            </w:r>
            <w:r w:rsidR="008645D3">
              <w:rPr>
                <w:webHidden/>
              </w:rPr>
              <w:t>46</w:t>
            </w:r>
            <w:r>
              <w:rPr>
                <w:webHidden/>
              </w:rPr>
              <w:fldChar w:fldCharType="end"/>
            </w:r>
          </w:hyperlink>
        </w:p>
        <w:p w14:paraId="1B0B72EB" w14:textId="327687D2" w:rsidR="00B175D2" w:rsidRDefault="00B175D2">
          <w:pPr>
            <w:pStyle w:val="TOC2"/>
            <w:tabs>
              <w:tab w:val="left" w:pos="1080"/>
            </w:tabs>
            <w:rPr>
              <w:color w:val="auto"/>
              <w:kern w:val="2"/>
              <w:szCs w:val="24"/>
              <w14:ligatures w14:val="standardContextual"/>
            </w:rPr>
          </w:pPr>
          <w:hyperlink w:anchor="_Toc229643983" w:history="1">
            <w:r w:rsidRPr="00F16697">
              <w:rPr>
                <w:rStyle w:val="Hyperlink"/>
              </w:rPr>
              <w:t>6.1.</w:t>
            </w:r>
            <w:r>
              <w:rPr>
                <w:color w:val="auto"/>
                <w:kern w:val="2"/>
                <w:szCs w:val="24"/>
                <w14:ligatures w14:val="standardContextual"/>
              </w:rPr>
              <w:tab/>
            </w:r>
            <w:r w:rsidRPr="00F16697">
              <w:rPr>
                <w:rStyle w:val="Hyperlink"/>
              </w:rPr>
              <w:t>Towards a Tertiary Roadmap</w:t>
            </w:r>
            <w:r>
              <w:rPr>
                <w:webHidden/>
              </w:rPr>
              <w:tab/>
            </w:r>
            <w:r>
              <w:rPr>
                <w:webHidden/>
              </w:rPr>
              <w:fldChar w:fldCharType="begin"/>
            </w:r>
            <w:r>
              <w:rPr>
                <w:webHidden/>
              </w:rPr>
              <w:instrText xml:space="preserve"> PAGEREF _Toc229643983 \h </w:instrText>
            </w:r>
            <w:r>
              <w:rPr>
                <w:webHidden/>
              </w:rPr>
            </w:r>
            <w:r>
              <w:rPr>
                <w:webHidden/>
              </w:rPr>
              <w:fldChar w:fldCharType="separate"/>
            </w:r>
            <w:r w:rsidR="008645D3">
              <w:rPr>
                <w:webHidden/>
              </w:rPr>
              <w:t>46</w:t>
            </w:r>
            <w:r>
              <w:rPr>
                <w:webHidden/>
              </w:rPr>
              <w:fldChar w:fldCharType="end"/>
            </w:r>
          </w:hyperlink>
        </w:p>
        <w:p w14:paraId="2144578C" w14:textId="6726D743" w:rsidR="00B175D2" w:rsidRDefault="00B175D2">
          <w:pPr>
            <w:pStyle w:val="TOC2"/>
            <w:tabs>
              <w:tab w:val="left" w:pos="1080"/>
            </w:tabs>
            <w:rPr>
              <w:color w:val="auto"/>
              <w:kern w:val="2"/>
              <w:szCs w:val="24"/>
              <w14:ligatures w14:val="standardContextual"/>
            </w:rPr>
          </w:pPr>
          <w:hyperlink w:anchor="_Toc229643984" w:history="1">
            <w:r w:rsidRPr="00F16697">
              <w:rPr>
                <w:rStyle w:val="Hyperlink"/>
              </w:rPr>
              <w:t>6.2.</w:t>
            </w:r>
            <w:r>
              <w:rPr>
                <w:color w:val="auto"/>
                <w:kern w:val="2"/>
                <w:szCs w:val="24"/>
                <w14:ligatures w14:val="standardContextual"/>
              </w:rPr>
              <w:tab/>
            </w:r>
            <w:r w:rsidRPr="00F16697">
              <w:rPr>
                <w:rStyle w:val="Hyperlink"/>
              </w:rPr>
              <w:t>Potential Reform Opportunities</w:t>
            </w:r>
            <w:r>
              <w:rPr>
                <w:webHidden/>
              </w:rPr>
              <w:tab/>
            </w:r>
            <w:r>
              <w:rPr>
                <w:webHidden/>
              </w:rPr>
              <w:fldChar w:fldCharType="begin"/>
            </w:r>
            <w:r>
              <w:rPr>
                <w:webHidden/>
              </w:rPr>
              <w:instrText xml:space="preserve"> PAGEREF _Toc229643984 \h </w:instrText>
            </w:r>
            <w:r>
              <w:rPr>
                <w:webHidden/>
              </w:rPr>
            </w:r>
            <w:r>
              <w:rPr>
                <w:webHidden/>
              </w:rPr>
              <w:fldChar w:fldCharType="separate"/>
            </w:r>
            <w:r w:rsidR="008645D3">
              <w:rPr>
                <w:webHidden/>
              </w:rPr>
              <w:t>46</w:t>
            </w:r>
            <w:r>
              <w:rPr>
                <w:webHidden/>
              </w:rPr>
              <w:fldChar w:fldCharType="end"/>
            </w:r>
          </w:hyperlink>
        </w:p>
        <w:p w14:paraId="55DF55D9" w14:textId="700B249D" w:rsidR="00B175D2" w:rsidRDefault="00B175D2">
          <w:pPr>
            <w:pStyle w:val="TOC2"/>
            <w:tabs>
              <w:tab w:val="left" w:pos="1080"/>
            </w:tabs>
            <w:rPr>
              <w:color w:val="auto"/>
              <w:kern w:val="2"/>
              <w:szCs w:val="24"/>
              <w14:ligatures w14:val="standardContextual"/>
            </w:rPr>
          </w:pPr>
          <w:hyperlink w:anchor="_Toc229643985" w:history="1">
            <w:r w:rsidRPr="00F16697">
              <w:rPr>
                <w:rStyle w:val="Hyperlink"/>
              </w:rPr>
              <w:t>6.3.</w:t>
            </w:r>
            <w:r>
              <w:rPr>
                <w:color w:val="auto"/>
                <w:kern w:val="2"/>
                <w:szCs w:val="24"/>
                <w14:ligatures w14:val="standardContextual"/>
              </w:rPr>
              <w:tab/>
            </w:r>
            <w:r w:rsidRPr="00F16697">
              <w:rPr>
                <w:rStyle w:val="Hyperlink"/>
              </w:rPr>
              <w:t>List of discussion questions</w:t>
            </w:r>
            <w:r>
              <w:rPr>
                <w:webHidden/>
              </w:rPr>
              <w:tab/>
            </w:r>
            <w:r>
              <w:rPr>
                <w:webHidden/>
              </w:rPr>
              <w:fldChar w:fldCharType="begin"/>
            </w:r>
            <w:r>
              <w:rPr>
                <w:webHidden/>
              </w:rPr>
              <w:instrText xml:space="preserve"> PAGEREF _Toc229643985 \h </w:instrText>
            </w:r>
            <w:r>
              <w:rPr>
                <w:webHidden/>
              </w:rPr>
            </w:r>
            <w:r>
              <w:rPr>
                <w:webHidden/>
              </w:rPr>
              <w:fldChar w:fldCharType="separate"/>
            </w:r>
            <w:r w:rsidR="008645D3">
              <w:rPr>
                <w:webHidden/>
              </w:rPr>
              <w:t>47</w:t>
            </w:r>
            <w:r>
              <w:rPr>
                <w:webHidden/>
              </w:rPr>
              <w:fldChar w:fldCharType="end"/>
            </w:r>
          </w:hyperlink>
        </w:p>
        <w:p w14:paraId="73ED4450" w14:textId="72A3FA4D" w:rsidR="00B175D2" w:rsidRDefault="00B175D2">
          <w:pPr>
            <w:pStyle w:val="TOC1"/>
            <w:rPr>
              <w:rFonts w:eastAsiaTheme="minorEastAsia" w:cstheme="minorBidi"/>
              <w:bCs w:val="0"/>
              <w:color w:val="auto"/>
              <w:kern w:val="2"/>
              <w:szCs w:val="24"/>
              <w14:ligatures w14:val="standardContextual"/>
            </w:rPr>
          </w:pPr>
          <w:hyperlink w:anchor="_Toc229643986" w:history="1">
            <w:r w:rsidRPr="00F16697">
              <w:rPr>
                <w:rStyle w:val="Hyperlink"/>
              </w:rPr>
              <w:t>References</w:t>
            </w:r>
            <w:r>
              <w:rPr>
                <w:webHidden/>
              </w:rPr>
              <w:tab/>
            </w:r>
            <w:r>
              <w:rPr>
                <w:webHidden/>
              </w:rPr>
              <w:fldChar w:fldCharType="begin"/>
            </w:r>
            <w:r>
              <w:rPr>
                <w:webHidden/>
              </w:rPr>
              <w:instrText xml:space="preserve"> PAGEREF _Toc229643986 \h </w:instrText>
            </w:r>
            <w:r>
              <w:rPr>
                <w:webHidden/>
              </w:rPr>
            </w:r>
            <w:r>
              <w:rPr>
                <w:webHidden/>
              </w:rPr>
              <w:fldChar w:fldCharType="separate"/>
            </w:r>
            <w:r w:rsidR="008645D3">
              <w:rPr>
                <w:webHidden/>
              </w:rPr>
              <w:t>49</w:t>
            </w:r>
            <w:r>
              <w:rPr>
                <w:webHidden/>
              </w:rPr>
              <w:fldChar w:fldCharType="end"/>
            </w:r>
          </w:hyperlink>
        </w:p>
        <w:p w14:paraId="6B13306E" w14:textId="7062B323" w:rsidR="007C6437" w:rsidRPr="008C4640" w:rsidRDefault="007B6704" w:rsidP="00832EBC">
          <w:pPr>
            <w:spacing w:before="120" w:after="120" w:line="280" w:lineRule="atLeast"/>
          </w:pPr>
          <w:r w:rsidRPr="00D353D1">
            <w:fldChar w:fldCharType="end"/>
          </w:r>
        </w:p>
      </w:sdtContent>
    </w:sdt>
    <w:p w14:paraId="3A253DEE" w14:textId="77777777" w:rsidR="00557601" w:rsidRDefault="00557601">
      <w:pPr>
        <w:spacing w:line="260" w:lineRule="atLeast"/>
        <w:rPr>
          <w:rFonts w:eastAsiaTheme="majorEastAsia" w:cstheme="majorBidi"/>
          <w:b/>
          <w:bCs/>
          <w:color w:val="001032" w:themeColor="text2"/>
          <w:sz w:val="32"/>
          <w:szCs w:val="26"/>
        </w:rPr>
      </w:pPr>
      <w:r>
        <w:br w:type="page"/>
      </w:r>
    </w:p>
    <w:p w14:paraId="2C29E7C1" w14:textId="1B9ECDE5" w:rsidR="007C6437" w:rsidRDefault="007C6437" w:rsidP="007C6437">
      <w:pPr>
        <w:pStyle w:val="Heading2"/>
      </w:pPr>
      <w:bookmarkStart w:id="1" w:name="_Toc229643948"/>
      <w:r w:rsidRPr="008C4640">
        <w:t>List of figures and tables</w:t>
      </w:r>
      <w:bookmarkEnd w:id="1"/>
    </w:p>
    <w:p w14:paraId="6EF6959E" w14:textId="1BDC7156" w:rsidR="004940A9" w:rsidRDefault="00735099">
      <w:pPr>
        <w:pStyle w:val="TableofFigures"/>
        <w:tabs>
          <w:tab w:val="right" w:leader="dot" w:pos="9629"/>
        </w:tabs>
        <w:rPr>
          <w:rFonts w:eastAsiaTheme="minorEastAsia" w:cstheme="minorBidi"/>
          <w:noProof/>
          <w:color w:val="auto"/>
          <w:kern w:val="2"/>
          <w:sz w:val="24"/>
          <w:szCs w:val="24"/>
          <w14:ligatures w14:val="standardContextual"/>
        </w:rPr>
      </w:pPr>
      <w:r>
        <w:fldChar w:fldCharType="begin"/>
      </w:r>
      <w:r>
        <w:instrText xml:space="preserve"> TOC \h \z \c "Figure" </w:instrText>
      </w:r>
      <w:r>
        <w:fldChar w:fldCharType="separate"/>
      </w:r>
      <w:hyperlink w:anchor="_Toc228799275" w:history="1">
        <w:r w:rsidR="004940A9" w:rsidRPr="00CB6A2E">
          <w:rPr>
            <w:rStyle w:val="Hyperlink"/>
            <w:noProof/>
          </w:rPr>
          <w:t>Figure 1: Employment Projections</w:t>
        </w:r>
        <w:r w:rsidR="004940A9">
          <w:rPr>
            <w:noProof/>
            <w:webHidden/>
          </w:rPr>
          <w:tab/>
        </w:r>
        <w:r w:rsidR="004940A9">
          <w:rPr>
            <w:noProof/>
            <w:webHidden/>
          </w:rPr>
          <w:fldChar w:fldCharType="begin"/>
        </w:r>
        <w:r w:rsidR="004940A9">
          <w:rPr>
            <w:noProof/>
            <w:webHidden/>
          </w:rPr>
          <w:instrText xml:space="preserve"> PAGEREF _Toc228799275 \h </w:instrText>
        </w:r>
        <w:r w:rsidR="004940A9">
          <w:rPr>
            <w:noProof/>
            <w:webHidden/>
          </w:rPr>
        </w:r>
        <w:r w:rsidR="004940A9">
          <w:rPr>
            <w:noProof/>
            <w:webHidden/>
          </w:rPr>
          <w:fldChar w:fldCharType="separate"/>
        </w:r>
        <w:r w:rsidR="008645D3">
          <w:rPr>
            <w:noProof/>
            <w:webHidden/>
          </w:rPr>
          <w:t>10</w:t>
        </w:r>
        <w:r w:rsidR="004940A9">
          <w:rPr>
            <w:noProof/>
            <w:webHidden/>
          </w:rPr>
          <w:fldChar w:fldCharType="end"/>
        </w:r>
      </w:hyperlink>
    </w:p>
    <w:p w14:paraId="04D6B8E0" w14:textId="2FDD5FA3" w:rsidR="004940A9" w:rsidRDefault="004940A9">
      <w:pPr>
        <w:pStyle w:val="TableofFigures"/>
        <w:tabs>
          <w:tab w:val="right" w:leader="dot" w:pos="9629"/>
        </w:tabs>
        <w:rPr>
          <w:rFonts w:eastAsiaTheme="minorEastAsia" w:cstheme="minorBidi"/>
          <w:noProof/>
          <w:color w:val="auto"/>
          <w:kern w:val="2"/>
          <w:sz w:val="24"/>
          <w:szCs w:val="24"/>
          <w14:ligatures w14:val="standardContextual"/>
        </w:rPr>
      </w:pPr>
      <w:hyperlink w:anchor="_Toc228799276" w:history="1">
        <w:r w:rsidRPr="00CB6A2E">
          <w:rPr>
            <w:rStyle w:val="Hyperlink"/>
            <w:noProof/>
          </w:rPr>
          <w:t>Figure 2: Students by provider type (2024)</w:t>
        </w:r>
        <w:r>
          <w:rPr>
            <w:noProof/>
            <w:webHidden/>
          </w:rPr>
          <w:tab/>
        </w:r>
        <w:r>
          <w:rPr>
            <w:noProof/>
            <w:webHidden/>
          </w:rPr>
          <w:fldChar w:fldCharType="begin"/>
        </w:r>
        <w:r>
          <w:rPr>
            <w:noProof/>
            <w:webHidden/>
          </w:rPr>
          <w:instrText xml:space="preserve"> PAGEREF _Toc228799276 \h </w:instrText>
        </w:r>
        <w:r>
          <w:rPr>
            <w:noProof/>
            <w:webHidden/>
          </w:rPr>
        </w:r>
        <w:r>
          <w:rPr>
            <w:noProof/>
            <w:webHidden/>
          </w:rPr>
          <w:fldChar w:fldCharType="separate"/>
        </w:r>
        <w:r w:rsidR="008645D3">
          <w:rPr>
            <w:noProof/>
            <w:webHidden/>
          </w:rPr>
          <w:t>13</w:t>
        </w:r>
        <w:r>
          <w:rPr>
            <w:noProof/>
            <w:webHidden/>
          </w:rPr>
          <w:fldChar w:fldCharType="end"/>
        </w:r>
      </w:hyperlink>
    </w:p>
    <w:p w14:paraId="3C7F2132" w14:textId="657DC81A" w:rsidR="004940A9" w:rsidRDefault="004940A9">
      <w:pPr>
        <w:pStyle w:val="TableofFigures"/>
        <w:tabs>
          <w:tab w:val="right" w:leader="dot" w:pos="9629"/>
        </w:tabs>
        <w:rPr>
          <w:rFonts w:eastAsiaTheme="minorEastAsia" w:cstheme="minorBidi"/>
          <w:noProof/>
          <w:color w:val="auto"/>
          <w:kern w:val="2"/>
          <w:sz w:val="24"/>
          <w:szCs w:val="24"/>
          <w14:ligatures w14:val="standardContextual"/>
        </w:rPr>
      </w:pPr>
      <w:hyperlink w:anchor="_Toc228799277" w:history="1">
        <w:r w:rsidRPr="00CB6A2E">
          <w:rPr>
            <w:rStyle w:val="Hyperlink"/>
            <w:noProof/>
          </w:rPr>
          <w:t>Figure 3: Human capital contribution to productivity growth over 30 years</w:t>
        </w:r>
        <w:r>
          <w:rPr>
            <w:noProof/>
            <w:webHidden/>
          </w:rPr>
          <w:tab/>
        </w:r>
        <w:r>
          <w:rPr>
            <w:noProof/>
            <w:webHidden/>
          </w:rPr>
          <w:fldChar w:fldCharType="begin"/>
        </w:r>
        <w:r>
          <w:rPr>
            <w:noProof/>
            <w:webHidden/>
          </w:rPr>
          <w:instrText xml:space="preserve"> PAGEREF _Toc228799277 \h </w:instrText>
        </w:r>
        <w:r>
          <w:rPr>
            <w:noProof/>
            <w:webHidden/>
          </w:rPr>
        </w:r>
        <w:r>
          <w:rPr>
            <w:noProof/>
            <w:webHidden/>
          </w:rPr>
          <w:fldChar w:fldCharType="separate"/>
        </w:r>
        <w:r w:rsidR="008645D3">
          <w:rPr>
            <w:noProof/>
            <w:webHidden/>
          </w:rPr>
          <w:t>18</w:t>
        </w:r>
        <w:r>
          <w:rPr>
            <w:noProof/>
            <w:webHidden/>
          </w:rPr>
          <w:fldChar w:fldCharType="end"/>
        </w:r>
      </w:hyperlink>
    </w:p>
    <w:p w14:paraId="7429615D" w14:textId="31A3652D" w:rsidR="004940A9" w:rsidRDefault="004940A9">
      <w:pPr>
        <w:pStyle w:val="TableofFigures"/>
        <w:tabs>
          <w:tab w:val="right" w:leader="dot" w:pos="9629"/>
        </w:tabs>
        <w:rPr>
          <w:rFonts w:eastAsiaTheme="minorEastAsia" w:cstheme="minorBidi"/>
          <w:noProof/>
          <w:color w:val="auto"/>
          <w:kern w:val="2"/>
          <w:sz w:val="24"/>
          <w:szCs w:val="24"/>
          <w14:ligatures w14:val="standardContextual"/>
        </w:rPr>
      </w:pPr>
      <w:hyperlink w:anchor="_Toc228799278" w:history="1">
        <w:r w:rsidRPr="00CB6A2E">
          <w:rPr>
            <w:rStyle w:val="Hyperlink"/>
            <w:noProof/>
          </w:rPr>
          <w:t>Figure 4: Representation of the non-linear learner journey</w:t>
        </w:r>
        <w:r>
          <w:rPr>
            <w:noProof/>
            <w:webHidden/>
          </w:rPr>
          <w:tab/>
        </w:r>
        <w:r>
          <w:rPr>
            <w:noProof/>
            <w:webHidden/>
          </w:rPr>
          <w:fldChar w:fldCharType="begin"/>
        </w:r>
        <w:r>
          <w:rPr>
            <w:noProof/>
            <w:webHidden/>
          </w:rPr>
          <w:instrText xml:space="preserve"> PAGEREF _Toc228799278 \h </w:instrText>
        </w:r>
        <w:r>
          <w:rPr>
            <w:noProof/>
            <w:webHidden/>
          </w:rPr>
        </w:r>
        <w:r>
          <w:rPr>
            <w:noProof/>
            <w:webHidden/>
          </w:rPr>
          <w:fldChar w:fldCharType="separate"/>
        </w:r>
        <w:r w:rsidR="008645D3">
          <w:rPr>
            <w:noProof/>
            <w:webHidden/>
          </w:rPr>
          <w:t>24</w:t>
        </w:r>
        <w:r>
          <w:rPr>
            <w:noProof/>
            <w:webHidden/>
          </w:rPr>
          <w:fldChar w:fldCharType="end"/>
        </w:r>
      </w:hyperlink>
    </w:p>
    <w:p w14:paraId="728923B2" w14:textId="4BC0B499" w:rsidR="004940A9" w:rsidRDefault="004940A9">
      <w:pPr>
        <w:pStyle w:val="TableofFigures"/>
        <w:tabs>
          <w:tab w:val="right" w:leader="dot" w:pos="9629"/>
        </w:tabs>
        <w:rPr>
          <w:rFonts w:eastAsiaTheme="minorEastAsia" w:cstheme="minorBidi"/>
          <w:noProof/>
          <w:color w:val="auto"/>
          <w:kern w:val="2"/>
          <w:sz w:val="24"/>
          <w:szCs w:val="24"/>
          <w14:ligatures w14:val="standardContextual"/>
        </w:rPr>
      </w:pPr>
      <w:hyperlink w:anchor="_Toc228799279" w:history="1">
        <w:r w:rsidRPr="00CB6A2E">
          <w:rPr>
            <w:rStyle w:val="Hyperlink"/>
            <w:noProof/>
          </w:rPr>
          <w:t>Figure 5: Students admitted on the basis of VET by narrow field of education (%) (2024)</w:t>
        </w:r>
        <w:r>
          <w:rPr>
            <w:noProof/>
            <w:webHidden/>
          </w:rPr>
          <w:tab/>
        </w:r>
        <w:r>
          <w:rPr>
            <w:noProof/>
            <w:webHidden/>
          </w:rPr>
          <w:fldChar w:fldCharType="begin"/>
        </w:r>
        <w:r>
          <w:rPr>
            <w:noProof/>
            <w:webHidden/>
          </w:rPr>
          <w:instrText xml:space="preserve"> PAGEREF _Toc228799279 \h </w:instrText>
        </w:r>
        <w:r>
          <w:rPr>
            <w:noProof/>
            <w:webHidden/>
          </w:rPr>
        </w:r>
        <w:r>
          <w:rPr>
            <w:noProof/>
            <w:webHidden/>
          </w:rPr>
          <w:fldChar w:fldCharType="separate"/>
        </w:r>
        <w:r w:rsidR="008645D3">
          <w:rPr>
            <w:noProof/>
            <w:webHidden/>
          </w:rPr>
          <w:t>31</w:t>
        </w:r>
        <w:r>
          <w:rPr>
            <w:noProof/>
            <w:webHidden/>
          </w:rPr>
          <w:fldChar w:fldCharType="end"/>
        </w:r>
      </w:hyperlink>
    </w:p>
    <w:p w14:paraId="122B47B2" w14:textId="518163C9" w:rsidR="004940A9" w:rsidRDefault="004940A9">
      <w:pPr>
        <w:pStyle w:val="TableofFigures"/>
        <w:tabs>
          <w:tab w:val="right" w:leader="dot" w:pos="9629"/>
        </w:tabs>
        <w:rPr>
          <w:rFonts w:eastAsiaTheme="minorEastAsia" w:cstheme="minorBidi"/>
          <w:noProof/>
          <w:color w:val="auto"/>
          <w:kern w:val="2"/>
          <w:sz w:val="24"/>
          <w:szCs w:val="24"/>
          <w14:ligatures w14:val="standardContextual"/>
        </w:rPr>
      </w:pPr>
      <w:hyperlink w:anchor="_Toc228799280" w:history="1">
        <w:r w:rsidRPr="00CB6A2E">
          <w:rPr>
            <w:rStyle w:val="Hyperlink"/>
            <w:noProof/>
          </w:rPr>
          <w:t>Figure 6: Top 5 VET qualifications leading to higher education enrolments in the year following completion</w:t>
        </w:r>
        <w:r>
          <w:rPr>
            <w:noProof/>
            <w:webHidden/>
          </w:rPr>
          <w:tab/>
        </w:r>
        <w:r>
          <w:rPr>
            <w:noProof/>
            <w:webHidden/>
          </w:rPr>
          <w:fldChar w:fldCharType="begin"/>
        </w:r>
        <w:r>
          <w:rPr>
            <w:noProof/>
            <w:webHidden/>
          </w:rPr>
          <w:instrText xml:space="preserve"> PAGEREF _Toc228799280 \h </w:instrText>
        </w:r>
        <w:r>
          <w:rPr>
            <w:noProof/>
            <w:webHidden/>
          </w:rPr>
        </w:r>
        <w:r>
          <w:rPr>
            <w:noProof/>
            <w:webHidden/>
          </w:rPr>
          <w:fldChar w:fldCharType="separate"/>
        </w:r>
        <w:r w:rsidR="008645D3">
          <w:rPr>
            <w:noProof/>
            <w:webHidden/>
          </w:rPr>
          <w:t>32</w:t>
        </w:r>
        <w:r>
          <w:rPr>
            <w:noProof/>
            <w:webHidden/>
          </w:rPr>
          <w:fldChar w:fldCharType="end"/>
        </w:r>
      </w:hyperlink>
    </w:p>
    <w:p w14:paraId="216A3E06" w14:textId="3D7E0EA1" w:rsidR="004940A9" w:rsidRDefault="004940A9">
      <w:pPr>
        <w:pStyle w:val="TableofFigures"/>
        <w:tabs>
          <w:tab w:val="right" w:leader="dot" w:pos="9629"/>
        </w:tabs>
        <w:rPr>
          <w:rFonts w:eastAsiaTheme="minorEastAsia" w:cstheme="minorBidi"/>
          <w:noProof/>
          <w:color w:val="auto"/>
          <w:kern w:val="2"/>
          <w:sz w:val="24"/>
          <w:szCs w:val="24"/>
          <w14:ligatures w14:val="standardContextual"/>
        </w:rPr>
      </w:pPr>
      <w:hyperlink w:anchor="_Toc228799281" w:history="1">
        <w:r w:rsidRPr="00CB6A2E">
          <w:rPr>
            <w:rStyle w:val="Hyperlink"/>
            <w:noProof/>
          </w:rPr>
          <w:t>Figure 7: VET and higher education pathways and links to occupations</w:t>
        </w:r>
        <w:r>
          <w:rPr>
            <w:noProof/>
            <w:webHidden/>
          </w:rPr>
          <w:tab/>
        </w:r>
        <w:r>
          <w:rPr>
            <w:noProof/>
            <w:webHidden/>
          </w:rPr>
          <w:fldChar w:fldCharType="begin"/>
        </w:r>
        <w:r>
          <w:rPr>
            <w:noProof/>
            <w:webHidden/>
          </w:rPr>
          <w:instrText xml:space="preserve"> PAGEREF _Toc228799281 \h </w:instrText>
        </w:r>
        <w:r>
          <w:rPr>
            <w:noProof/>
            <w:webHidden/>
          </w:rPr>
        </w:r>
        <w:r>
          <w:rPr>
            <w:noProof/>
            <w:webHidden/>
          </w:rPr>
          <w:fldChar w:fldCharType="separate"/>
        </w:r>
        <w:r w:rsidR="008645D3">
          <w:rPr>
            <w:noProof/>
            <w:webHidden/>
          </w:rPr>
          <w:t>33</w:t>
        </w:r>
        <w:r>
          <w:rPr>
            <w:noProof/>
            <w:webHidden/>
          </w:rPr>
          <w:fldChar w:fldCharType="end"/>
        </w:r>
      </w:hyperlink>
    </w:p>
    <w:p w14:paraId="03DA352A" w14:textId="3B72608A" w:rsidR="004940A9" w:rsidRDefault="004940A9">
      <w:pPr>
        <w:pStyle w:val="TableofFigures"/>
        <w:tabs>
          <w:tab w:val="right" w:leader="dot" w:pos="9629"/>
        </w:tabs>
        <w:rPr>
          <w:rFonts w:eastAsiaTheme="minorEastAsia" w:cstheme="minorBidi"/>
          <w:noProof/>
          <w:color w:val="auto"/>
          <w:kern w:val="2"/>
          <w:sz w:val="24"/>
          <w:szCs w:val="24"/>
          <w14:ligatures w14:val="standardContextual"/>
        </w:rPr>
      </w:pPr>
      <w:hyperlink w:anchor="_Toc228799282" w:history="1">
        <w:r w:rsidRPr="00CB6A2E">
          <w:rPr>
            <w:rStyle w:val="Hyperlink"/>
            <w:noProof/>
          </w:rPr>
          <w:t>Figure 8: Top 5 VET programs for students with a Bachelor Degree or Higher</w:t>
        </w:r>
        <w:r>
          <w:rPr>
            <w:noProof/>
            <w:webHidden/>
          </w:rPr>
          <w:tab/>
        </w:r>
        <w:r>
          <w:rPr>
            <w:noProof/>
            <w:webHidden/>
          </w:rPr>
          <w:fldChar w:fldCharType="begin"/>
        </w:r>
        <w:r>
          <w:rPr>
            <w:noProof/>
            <w:webHidden/>
          </w:rPr>
          <w:instrText xml:space="preserve"> PAGEREF _Toc228799282 \h </w:instrText>
        </w:r>
        <w:r>
          <w:rPr>
            <w:noProof/>
            <w:webHidden/>
          </w:rPr>
        </w:r>
        <w:r>
          <w:rPr>
            <w:noProof/>
            <w:webHidden/>
          </w:rPr>
          <w:fldChar w:fldCharType="separate"/>
        </w:r>
        <w:r w:rsidR="008645D3">
          <w:rPr>
            <w:noProof/>
            <w:webHidden/>
          </w:rPr>
          <w:t>34</w:t>
        </w:r>
        <w:r>
          <w:rPr>
            <w:noProof/>
            <w:webHidden/>
          </w:rPr>
          <w:fldChar w:fldCharType="end"/>
        </w:r>
      </w:hyperlink>
    </w:p>
    <w:p w14:paraId="65363C96" w14:textId="2B3D6DFB" w:rsidR="004940A9" w:rsidRDefault="004940A9">
      <w:pPr>
        <w:pStyle w:val="TableofFigures"/>
        <w:tabs>
          <w:tab w:val="right" w:leader="dot" w:pos="9629"/>
        </w:tabs>
        <w:rPr>
          <w:rFonts w:eastAsiaTheme="minorEastAsia" w:cstheme="minorBidi"/>
          <w:noProof/>
          <w:color w:val="auto"/>
          <w:kern w:val="2"/>
          <w:sz w:val="24"/>
          <w:szCs w:val="24"/>
          <w14:ligatures w14:val="standardContextual"/>
        </w:rPr>
      </w:pPr>
      <w:hyperlink w:anchor="_Toc228799283" w:history="1">
        <w:r w:rsidRPr="00CB6A2E">
          <w:rPr>
            <w:rStyle w:val="Hyperlink"/>
            <w:noProof/>
          </w:rPr>
          <w:t>Figure 9: Credit distribution by VET qualification level and field of education match</w:t>
        </w:r>
        <w:r>
          <w:rPr>
            <w:noProof/>
            <w:webHidden/>
          </w:rPr>
          <w:tab/>
        </w:r>
        <w:r>
          <w:rPr>
            <w:noProof/>
            <w:webHidden/>
          </w:rPr>
          <w:fldChar w:fldCharType="begin"/>
        </w:r>
        <w:r>
          <w:rPr>
            <w:noProof/>
            <w:webHidden/>
          </w:rPr>
          <w:instrText xml:space="preserve"> PAGEREF _Toc228799283 \h </w:instrText>
        </w:r>
        <w:r>
          <w:rPr>
            <w:noProof/>
            <w:webHidden/>
          </w:rPr>
        </w:r>
        <w:r>
          <w:rPr>
            <w:noProof/>
            <w:webHidden/>
          </w:rPr>
          <w:fldChar w:fldCharType="separate"/>
        </w:r>
        <w:r w:rsidR="008645D3">
          <w:rPr>
            <w:noProof/>
            <w:webHidden/>
          </w:rPr>
          <w:t>35</w:t>
        </w:r>
        <w:r>
          <w:rPr>
            <w:noProof/>
            <w:webHidden/>
          </w:rPr>
          <w:fldChar w:fldCharType="end"/>
        </w:r>
      </w:hyperlink>
    </w:p>
    <w:p w14:paraId="6CBF2666" w14:textId="159337F7" w:rsidR="004940A9" w:rsidRDefault="004940A9">
      <w:pPr>
        <w:pStyle w:val="TableofFigures"/>
        <w:tabs>
          <w:tab w:val="right" w:leader="dot" w:pos="9629"/>
        </w:tabs>
        <w:rPr>
          <w:rFonts w:eastAsiaTheme="minorEastAsia" w:cstheme="minorBidi"/>
          <w:noProof/>
          <w:color w:val="auto"/>
          <w:kern w:val="2"/>
          <w:sz w:val="24"/>
          <w:szCs w:val="24"/>
          <w14:ligatures w14:val="standardContextual"/>
        </w:rPr>
      </w:pPr>
      <w:hyperlink w:anchor="_Toc228799284" w:history="1">
        <w:r w:rsidRPr="00CB6A2E">
          <w:rPr>
            <w:rStyle w:val="Hyperlink"/>
            <w:noProof/>
          </w:rPr>
          <w:t>Figure 10: Typology of Integrated Qualifications - adapted from Hodge and Knight 2021a</w:t>
        </w:r>
        <w:r>
          <w:rPr>
            <w:noProof/>
            <w:webHidden/>
          </w:rPr>
          <w:tab/>
        </w:r>
        <w:r>
          <w:rPr>
            <w:noProof/>
            <w:webHidden/>
          </w:rPr>
          <w:fldChar w:fldCharType="begin"/>
        </w:r>
        <w:r>
          <w:rPr>
            <w:noProof/>
            <w:webHidden/>
          </w:rPr>
          <w:instrText xml:space="preserve"> PAGEREF _Toc228799284 \h </w:instrText>
        </w:r>
        <w:r>
          <w:rPr>
            <w:noProof/>
            <w:webHidden/>
          </w:rPr>
        </w:r>
        <w:r>
          <w:rPr>
            <w:noProof/>
            <w:webHidden/>
          </w:rPr>
          <w:fldChar w:fldCharType="separate"/>
        </w:r>
        <w:r w:rsidR="008645D3">
          <w:rPr>
            <w:noProof/>
            <w:webHidden/>
          </w:rPr>
          <w:t>38</w:t>
        </w:r>
        <w:r>
          <w:rPr>
            <w:noProof/>
            <w:webHidden/>
          </w:rPr>
          <w:fldChar w:fldCharType="end"/>
        </w:r>
      </w:hyperlink>
    </w:p>
    <w:p w14:paraId="559F4136" w14:textId="7C310412" w:rsidR="00735099" w:rsidRPr="00735099" w:rsidRDefault="00735099" w:rsidP="001629D0">
      <w:r>
        <w:fldChar w:fldCharType="end"/>
      </w:r>
    </w:p>
    <w:p w14:paraId="6E6635A7" w14:textId="77777777" w:rsidR="00837F2F" w:rsidRDefault="00837F2F" w:rsidP="00AF7359">
      <w:pPr>
        <w:pStyle w:val="Heading2"/>
        <w:sectPr w:rsidR="00837F2F" w:rsidSect="00FE48F1">
          <w:pgSz w:w="11907" w:h="16839" w:code="9"/>
          <w:pgMar w:top="1077" w:right="1134" w:bottom="1134" w:left="1134" w:header="567" w:footer="805" w:gutter="0"/>
          <w:cols w:space="708"/>
          <w:docGrid w:linePitch="360"/>
        </w:sectPr>
      </w:pPr>
    </w:p>
    <w:p w14:paraId="36E6F1A1" w14:textId="77777777" w:rsidR="00AF7359" w:rsidRPr="008C4640" w:rsidRDefault="00AF7359" w:rsidP="00AF7359">
      <w:pPr>
        <w:pStyle w:val="Heading2"/>
      </w:pPr>
      <w:bookmarkStart w:id="2" w:name="_Toc229643949"/>
      <w:r w:rsidRPr="008C4640">
        <w:t>Glossary of Acronyms</w:t>
      </w:r>
      <w:bookmarkEnd w:id="2"/>
      <w:r w:rsidRPr="008C4640">
        <w:t xml:space="preserve"> </w:t>
      </w:r>
    </w:p>
    <w:tbl>
      <w:tblPr>
        <w:tblStyle w:val="TablePlaceholder"/>
        <w:tblW w:w="0" w:type="auto"/>
        <w:tblLook w:val="04A0" w:firstRow="1" w:lastRow="0" w:firstColumn="1" w:lastColumn="0" w:noHBand="0" w:noVBand="1"/>
      </w:tblPr>
      <w:tblGrid>
        <w:gridCol w:w="1418"/>
        <w:gridCol w:w="8221"/>
      </w:tblGrid>
      <w:tr w:rsidR="00E72E59" w:rsidRPr="00D353D1" w14:paraId="7094EF63" w14:textId="77777777" w:rsidTr="00AC7E45">
        <w:tc>
          <w:tcPr>
            <w:tcW w:w="1418" w:type="dxa"/>
          </w:tcPr>
          <w:p w14:paraId="2EA88BAB" w14:textId="27FB71DF" w:rsidR="007F42BF" w:rsidRPr="00D353D1" w:rsidRDefault="007F42BF" w:rsidP="007F42BF">
            <w:pPr>
              <w:rPr>
                <w:b/>
                <w:color w:val="auto"/>
              </w:rPr>
            </w:pPr>
            <w:r w:rsidRPr="00D353D1">
              <w:rPr>
                <w:b/>
                <w:bCs/>
                <w:color w:val="auto"/>
              </w:rPr>
              <w:t>Term</w:t>
            </w:r>
          </w:p>
        </w:tc>
        <w:tc>
          <w:tcPr>
            <w:tcW w:w="8221" w:type="dxa"/>
          </w:tcPr>
          <w:p w14:paraId="1302E196" w14:textId="44E7E765" w:rsidR="007F42BF" w:rsidRPr="00D353D1" w:rsidRDefault="007F42BF" w:rsidP="007F42BF">
            <w:pPr>
              <w:rPr>
                <w:b/>
                <w:color w:val="auto"/>
              </w:rPr>
            </w:pPr>
            <w:r w:rsidRPr="00D353D1">
              <w:rPr>
                <w:b/>
                <w:color w:val="auto"/>
              </w:rPr>
              <w:t>Definition</w:t>
            </w:r>
          </w:p>
        </w:tc>
      </w:tr>
      <w:tr w:rsidR="00E72E59" w:rsidRPr="00D353D1" w14:paraId="6DA8EE46" w14:textId="77777777" w:rsidTr="00AC7E45">
        <w:tc>
          <w:tcPr>
            <w:tcW w:w="1418" w:type="dxa"/>
          </w:tcPr>
          <w:p w14:paraId="1CB09623" w14:textId="3D4D2CFC" w:rsidR="007F42BF" w:rsidRPr="00D353D1" w:rsidRDefault="007F42BF" w:rsidP="007F42BF">
            <w:pPr>
              <w:rPr>
                <w:b/>
              </w:rPr>
            </w:pPr>
            <w:r w:rsidRPr="00D353D1">
              <w:t>AQF</w:t>
            </w:r>
          </w:p>
        </w:tc>
        <w:tc>
          <w:tcPr>
            <w:tcW w:w="8221" w:type="dxa"/>
          </w:tcPr>
          <w:p w14:paraId="3D7C8938" w14:textId="1DE4930C" w:rsidR="007F42BF" w:rsidRPr="00D353D1" w:rsidRDefault="00CB0917" w:rsidP="007F42BF">
            <w:pPr>
              <w:rPr>
                <w:bCs/>
              </w:rPr>
            </w:pPr>
            <w:r w:rsidRPr="00D353D1">
              <w:t>Australian Qualifications Framework</w:t>
            </w:r>
          </w:p>
        </w:tc>
      </w:tr>
      <w:tr w:rsidR="00E72E59" w:rsidRPr="00D353D1" w14:paraId="408B7AD1" w14:textId="77777777" w:rsidTr="00AC7E45">
        <w:tc>
          <w:tcPr>
            <w:tcW w:w="1418" w:type="dxa"/>
          </w:tcPr>
          <w:p w14:paraId="04C9F7D5" w14:textId="69AD2420" w:rsidR="007F42BF" w:rsidRPr="00D353D1" w:rsidRDefault="007F42BF" w:rsidP="007F42BF">
            <w:r w:rsidRPr="00D353D1">
              <w:t>ASQA</w:t>
            </w:r>
          </w:p>
        </w:tc>
        <w:tc>
          <w:tcPr>
            <w:tcW w:w="8221" w:type="dxa"/>
          </w:tcPr>
          <w:p w14:paraId="5335585B" w14:textId="3DFC7AE8" w:rsidR="007F42BF" w:rsidRPr="00D353D1" w:rsidRDefault="00CB0917" w:rsidP="007F42BF">
            <w:r w:rsidRPr="00D353D1">
              <w:t>Australian Skills Quality Authority</w:t>
            </w:r>
          </w:p>
        </w:tc>
      </w:tr>
      <w:tr w:rsidR="00E72E59" w:rsidRPr="00D353D1" w14:paraId="549F72E4" w14:textId="77777777" w:rsidTr="00AC7E45">
        <w:tc>
          <w:tcPr>
            <w:tcW w:w="1418" w:type="dxa"/>
          </w:tcPr>
          <w:p w14:paraId="0E6740BC" w14:textId="627C611F" w:rsidR="005F3B3D" w:rsidRPr="00D353D1" w:rsidRDefault="005F3B3D" w:rsidP="007F42BF">
            <w:r>
              <w:t>ATEC</w:t>
            </w:r>
          </w:p>
        </w:tc>
        <w:tc>
          <w:tcPr>
            <w:tcW w:w="8221" w:type="dxa"/>
          </w:tcPr>
          <w:p w14:paraId="2A2B27B7" w14:textId="5F5D792A" w:rsidR="005F3B3D" w:rsidRPr="00D353D1" w:rsidRDefault="005F3B3D" w:rsidP="007F42BF">
            <w:r>
              <w:t>Australian Tertiary Education Commission</w:t>
            </w:r>
          </w:p>
        </w:tc>
      </w:tr>
      <w:tr w:rsidR="00E72E59" w:rsidRPr="00D353D1" w14:paraId="1FD79761" w14:textId="77777777" w:rsidTr="00AC7E45">
        <w:tc>
          <w:tcPr>
            <w:tcW w:w="1418" w:type="dxa"/>
          </w:tcPr>
          <w:p w14:paraId="4C9C2C00" w14:textId="3FEED3C1" w:rsidR="007F42BF" w:rsidRPr="00D353D1" w:rsidRDefault="007F42BF" w:rsidP="007F42BF">
            <w:r w:rsidRPr="00D353D1">
              <w:t>DEWR</w:t>
            </w:r>
          </w:p>
        </w:tc>
        <w:tc>
          <w:tcPr>
            <w:tcW w:w="8221" w:type="dxa"/>
          </w:tcPr>
          <w:p w14:paraId="1E50E115" w14:textId="4AED7FB7" w:rsidR="007F42BF" w:rsidRPr="00D353D1" w:rsidRDefault="00CB0917" w:rsidP="007F42BF">
            <w:r w:rsidRPr="00D353D1">
              <w:t>Department of Employment and Workplace Relations</w:t>
            </w:r>
          </w:p>
        </w:tc>
      </w:tr>
      <w:tr w:rsidR="00E72E59" w:rsidRPr="00D353D1" w14:paraId="131342F5" w14:textId="77777777" w:rsidTr="00AC7E45">
        <w:tc>
          <w:tcPr>
            <w:tcW w:w="1418" w:type="dxa"/>
          </w:tcPr>
          <w:p w14:paraId="048611F7" w14:textId="1AFA49DC" w:rsidR="007F42BF" w:rsidRPr="00D353D1" w:rsidRDefault="007F42BF" w:rsidP="007F42BF">
            <w:r w:rsidRPr="00D353D1">
              <w:t>JSA</w:t>
            </w:r>
          </w:p>
        </w:tc>
        <w:tc>
          <w:tcPr>
            <w:tcW w:w="8221" w:type="dxa"/>
          </w:tcPr>
          <w:p w14:paraId="266BDD3D" w14:textId="17E836D5" w:rsidR="007F42BF" w:rsidRPr="00D353D1" w:rsidRDefault="00CB0917" w:rsidP="007F42BF">
            <w:r w:rsidRPr="00D353D1">
              <w:t>Jobs and Skills Australia</w:t>
            </w:r>
          </w:p>
        </w:tc>
      </w:tr>
      <w:tr w:rsidR="00E72E59" w:rsidRPr="00D353D1" w14:paraId="7F8C91CD" w14:textId="77777777" w:rsidTr="00AC7E45">
        <w:tc>
          <w:tcPr>
            <w:tcW w:w="1418" w:type="dxa"/>
          </w:tcPr>
          <w:p w14:paraId="5E8721CA" w14:textId="1F2B6FF3" w:rsidR="005F3B3D" w:rsidRPr="00D353D1" w:rsidRDefault="005F3B3D" w:rsidP="007F42BF">
            <w:r>
              <w:t>NCVER</w:t>
            </w:r>
          </w:p>
        </w:tc>
        <w:tc>
          <w:tcPr>
            <w:tcW w:w="8221" w:type="dxa"/>
          </w:tcPr>
          <w:p w14:paraId="01283BD9" w14:textId="49F8773B" w:rsidR="004D17E2" w:rsidRPr="00D353D1" w:rsidRDefault="005F3B3D" w:rsidP="007F42BF">
            <w:r>
              <w:t>National Centre for Vocational Education Research</w:t>
            </w:r>
          </w:p>
        </w:tc>
      </w:tr>
      <w:tr w:rsidR="00E72E59" w:rsidRPr="00D353D1" w14:paraId="3A349981" w14:textId="77777777" w:rsidTr="00AC7E45">
        <w:tc>
          <w:tcPr>
            <w:tcW w:w="1418" w:type="dxa"/>
          </w:tcPr>
          <w:p w14:paraId="58BA3DBB" w14:textId="258CCF37" w:rsidR="004D17E2" w:rsidRDefault="004D17E2" w:rsidP="007F42BF">
            <w:r>
              <w:t>NEET</w:t>
            </w:r>
          </w:p>
        </w:tc>
        <w:tc>
          <w:tcPr>
            <w:tcW w:w="8221" w:type="dxa"/>
          </w:tcPr>
          <w:p w14:paraId="7BDF2252" w14:textId="7A0E6E87" w:rsidR="004D17E2" w:rsidRDefault="004D17E2" w:rsidP="007F42BF">
            <w:r>
              <w:t>Not in employment, education or training</w:t>
            </w:r>
          </w:p>
        </w:tc>
      </w:tr>
      <w:tr w:rsidR="00E72E59" w:rsidRPr="00D353D1" w14:paraId="1007FAFF" w14:textId="77777777" w:rsidTr="00AC7E45">
        <w:tc>
          <w:tcPr>
            <w:tcW w:w="1418" w:type="dxa"/>
          </w:tcPr>
          <w:p w14:paraId="15080668" w14:textId="1FC89779" w:rsidR="007F42BF" w:rsidRPr="00D353D1" w:rsidRDefault="007F42BF" w:rsidP="007F42BF">
            <w:r w:rsidRPr="00D353D1">
              <w:t>RPL</w:t>
            </w:r>
          </w:p>
        </w:tc>
        <w:tc>
          <w:tcPr>
            <w:tcW w:w="8221" w:type="dxa"/>
          </w:tcPr>
          <w:p w14:paraId="6FEA7143" w14:textId="44516A43" w:rsidR="007F42BF" w:rsidRPr="00D353D1" w:rsidRDefault="00CB0917" w:rsidP="007F42BF">
            <w:r w:rsidRPr="00D353D1">
              <w:t>Recognition of Prior Learning</w:t>
            </w:r>
          </w:p>
        </w:tc>
      </w:tr>
      <w:tr w:rsidR="00E72E59" w:rsidRPr="00D353D1" w14:paraId="45F60D5C" w14:textId="77777777" w:rsidTr="00AC7E45">
        <w:tc>
          <w:tcPr>
            <w:tcW w:w="1418" w:type="dxa"/>
          </w:tcPr>
          <w:p w14:paraId="35EDB0C0" w14:textId="4BEEF132" w:rsidR="007F42BF" w:rsidRPr="00D353D1" w:rsidRDefault="007F42BF" w:rsidP="007F42BF">
            <w:r w:rsidRPr="00D353D1">
              <w:t>RTO</w:t>
            </w:r>
          </w:p>
        </w:tc>
        <w:tc>
          <w:tcPr>
            <w:tcW w:w="8221" w:type="dxa"/>
          </w:tcPr>
          <w:p w14:paraId="7AA27882" w14:textId="1601B11A" w:rsidR="007F42BF" w:rsidRPr="00D353D1" w:rsidRDefault="00CB0917" w:rsidP="007F42BF">
            <w:r w:rsidRPr="00D353D1">
              <w:t>Registered Training Organisation</w:t>
            </w:r>
          </w:p>
        </w:tc>
      </w:tr>
      <w:tr w:rsidR="00E72E59" w:rsidRPr="00D353D1" w14:paraId="580B6A3E" w14:textId="77777777" w:rsidTr="00AC7E45">
        <w:tc>
          <w:tcPr>
            <w:tcW w:w="1418" w:type="dxa"/>
          </w:tcPr>
          <w:p w14:paraId="5F7E9F3F" w14:textId="6FABA37B" w:rsidR="005F3B3D" w:rsidRPr="00D353D1" w:rsidRDefault="005F3B3D" w:rsidP="007F42BF">
            <w:r>
              <w:t>SES</w:t>
            </w:r>
          </w:p>
        </w:tc>
        <w:tc>
          <w:tcPr>
            <w:tcW w:w="8221" w:type="dxa"/>
          </w:tcPr>
          <w:p w14:paraId="17B00DBB" w14:textId="7665493B" w:rsidR="005F3B3D" w:rsidRPr="00D353D1" w:rsidRDefault="005F3B3D" w:rsidP="007F42BF">
            <w:r>
              <w:t>Socioeconomic Status</w:t>
            </w:r>
          </w:p>
        </w:tc>
      </w:tr>
      <w:tr w:rsidR="00E72E59" w:rsidRPr="00D353D1" w14:paraId="3B949982" w14:textId="77777777" w:rsidTr="00AC7E45">
        <w:tc>
          <w:tcPr>
            <w:tcW w:w="1418" w:type="dxa"/>
          </w:tcPr>
          <w:p w14:paraId="1E7B2C8F" w14:textId="139051B5" w:rsidR="007F42BF" w:rsidRPr="00D353D1" w:rsidRDefault="007F42BF" w:rsidP="007F42BF">
            <w:r w:rsidRPr="00D353D1">
              <w:t>TAFE</w:t>
            </w:r>
          </w:p>
        </w:tc>
        <w:tc>
          <w:tcPr>
            <w:tcW w:w="8221" w:type="dxa"/>
          </w:tcPr>
          <w:p w14:paraId="76692A9C" w14:textId="5DD303E8" w:rsidR="007F42BF" w:rsidRPr="00D353D1" w:rsidRDefault="00CB0917" w:rsidP="007F42BF">
            <w:r w:rsidRPr="00D353D1">
              <w:t>Technical and Further Education</w:t>
            </w:r>
          </w:p>
        </w:tc>
      </w:tr>
      <w:tr w:rsidR="00E72E59" w:rsidRPr="00D353D1" w14:paraId="60F1185F" w14:textId="77777777" w:rsidTr="00AC7E45">
        <w:tc>
          <w:tcPr>
            <w:tcW w:w="1418" w:type="dxa"/>
          </w:tcPr>
          <w:p w14:paraId="0298ECB4" w14:textId="4C3C7E3A" w:rsidR="007F42BF" w:rsidRPr="00D353D1" w:rsidRDefault="007F42BF" w:rsidP="007F42BF">
            <w:r w:rsidRPr="00D353D1">
              <w:t>TEQSA</w:t>
            </w:r>
          </w:p>
        </w:tc>
        <w:tc>
          <w:tcPr>
            <w:tcW w:w="8221" w:type="dxa"/>
          </w:tcPr>
          <w:p w14:paraId="3FBD6C50" w14:textId="5BE0A7D9" w:rsidR="007F42BF" w:rsidRPr="00D353D1" w:rsidRDefault="00CB0917" w:rsidP="007F42BF">
            <w:r w:rsidRPr="00D353D1">
              <w:t>Tertiary Education Quality and Standards Agency</w:t>
            </w:r>
          </w:p>
        </w:tc>
      </w:tr>
      <w:tr w:rsidR="00E72E59" w:rsidRPr="00D353D1" w14:paraId="13A3D271" w14:textId="77777777" w:rsidTr="00AC7E45">
        <w:tc>
          <w:tcPr>
            <w:tcW w:w="1418" w:type="dxa"/>
          </w:tcPr>
          <w:p w14:paraId="66C5D9B5" w14:textId="6D13BA11" w:rsidR="007F42BF" w:rsidRPr="00D353D1" w:rsidRDefault="007F42BF" w:rsidP="007F42BF">
            <w:r w:rsidRPr="00D353D1">
              <w:t>VET</w:t>
            </w:r>
          </w:p>
        </w:tc>
        <w:tc>
          <w:tcPr>
            <w:tcW w:w="8221" w:type="dxa"/>
          </w:tcPr>
          <w:p w14:paraId="4F3DDF14" w14:textId="7B173DA2" w:rsidR="007F42BF" w:rsidRPr="00D353D1" w:rsidRDefault="00CB0917" w:rsidP="007F42BF">
            <w:r w:rsidRPr="00D353D1">
              <w:t>Vocational Education and Training</w:t>
            </w:r>
          </w:p>
        </w:tc>
      </w:tr>
    </w:tbl>
    <w:p w14:paraId="4514C41D" w14:textId="0C01F69F" w:rsidR="001B1C12" w:rsidRPr="008C4640" w:rsidRDefault="001B1C12" w:rsidP="00F6716F">
      <w:pPr>
        <w:sectPr w:rsidR="001B1C12" w:rsidRPr="008C4640" w:rsidSect="00FE48F1">
          <w:pgSz w:w="11907" w:h="16839" w:code="9"/>
          <w:pgMar w:top="1077" w:right="1134" w:bottom="1134" w:left="1134" w:header="567" w:footer="805" w:gutter="0"/>
          <w:cols w:space="708"/>
          <w:docGrid w:linePitch="360"/>
        </w:sectPr>
      </w:pPr>
    </w:p>
    <w:p w14:paraId="54CFFA62" w14:textId="6D181927" w:rsidR="007A7625" w:rsidRDefault="007A7625" w:rsidP="007A7625">
      <w:pPr>
        <w:pStyle w:val="Heading1"/>
      </w:pPr>
      <w:bookmarkStart w:id="3" w:name="_Toc229643950"/>
      <w:r>
        <w:t>Executive Summary</w:t>
      </w:r>
      <w:bookmarkEnd w:id="3"/>
      <w:r>
        <w:t xml:space="preserve"> </w:t>
      </w:r>
    </w:p>
    <w:p w14:paraId="4D17D3B0" w14:textId="77777777" w:rsidR="0085475D" w:rsidRPr="00E000FD" w:rsidRDefault="0085475D" w:rsidP="0085475D">
      <w:r w:rsidRPr="00E000FD">
        <w:t xml:space="preserve">In February 2025, JSA released its report </w:t>
      </w:r>
      <w:r w:rsidRPr="00E000FD">
        <w:rPr>
          <w:i/>
        </w:rPr>
        <w:t xml:space="preserve">Opportunity and Productivity: Towards a Tertiary Harmonisation Roadmap. </w:t>
      </w:r>
      <w:r w:rsidRPr="00E000FD">
        <w:t>A key recommendation was the development of a tertiary harmonisation roadmap, led by the Australian Tertiary Education Commission</w:t>
      </w:r>
      <w:r>
        <w:t>.</w:t>
      </w:r>
    </w:p>
    <w:p w14:paraId="2620E9C5" w14:textId="25B866E6" w:rsidR="0085475D" w:rsidRPr="00120BBE" w:rsidRDefault="0085475D" w:rsidP="0085475D">
      <w:pPr>
        <w:keepLines/>
      </w:pPr>
      <w:r>
        <w:t>The</w:t>
      </w:r>
      <w:r w:rsidR="00FA0212">
        <w:t xml:space="preserve"> </w:t>
      </w:r>
      <w:r>
        <w:t>Discussion Paper s</w:t>
      </w:r>
      <w:r w:rsidRPr="00C365F1">
        <w:t>upports the development of the Tertiary Roadma</w:t>
      </w:r>
      <w:r>
        <w:t>p and provides a basis for wider public discussion on issues in the current system that the Roadmap could address</w:t>
      </w:r>
      <w:r w:rsidRPr="00C365F1">
        <w:t>.</w:t>
      </w:r>
      <w:r>
        <w:t xml:space="preserve"> It </w:t>
      </w:r>
      <w:r w:rsidRPr="00C365F1">
        <w:t xml:space="preserve">identifies </w:t>
      </w:r>
      <w:r>
        <w:t>key</w:t>
      </w:r>
      <w:r w:rsidRPr="00C365F1">
        <w:t xml:space="preserve"> barriers and challenges learners face when engaging with both the VET and higher education sectors </w:t>
      </w:r>
      <w:r>
        <w:t>and</w:t>
      </w:r>
      <w:r w:rsidRPr="00C365F1">
        <w:t xml:space="preserve"> sets out </w:t>
      </w:r>
      <w:r>
        <w:t xml:space="preserve">potential areas of reform </w:t>
      </w:r>
      <w:r w:rsidRPr="00C365F1">
        <w:t>for consideratio</w:t>
      </w:r>
      <w:r>
        <w:t>n</w:t>
      </w:r>
      <w:r w:rsidRPr="00C365F1">
        <w:t>.</w:t>
      </w:r>
      <w:r>
        <w:t xml:space="preserve"> </w:t>
      </w:r>
    </w:p>
    <w:p w14:paraId="615E3D85" w14:textId="77777777" w:rsidR="00057BB2" w:rsidRDefault="0085475D" w:rsidP="0085475D">
      <w:r w:rsidRPr="002D04D7">
        <w:t>The paper uses the framing of a learner journey to understand the different pathways through which learners</w:t>
      </w:r>
      <w:r w:rsidRPr="002D04D7" w:rsidDel="00776284">
        <w:t xml:space="preserve"> </w:t>
      </w:r>
      <w:r w:rsidRPr="002D04D7">
        <w:t>engage with the tertiary system across the life course</w:t>
      </w:r>
      <w:r>
        <w:t>. The concept of the learner journey complements a central idea from JSA’s report which called for students to be at the centre of tertiary harmonisation reform. The paper focuses on three areas where the VET and higher education sectors connect to understand the learner experience:</w:t>
      </w:r>
    </w:p>
    <w:p w14:paraId="0F817F28" w14:textId="6AF733EA" w:rsidR="00057BB2" w:rsidRPr="00790574" w:rsidRDefault="0085475D" w:rsidP="00790574">
      <w:pPr>
        <w:pStyle w:val="ListBullet"/>
        <w:numPr>
          <w:ilvl w:val="0"/>
          <w:numId w:val="105"/>
        </w:numPr>
        <w:rPr>
          <w:b/>
        </w:rPr>
      </w:pPr>
      <w:r>
        <w:t>entering the tertiary system</w:t>
      </w:r>
    </w:p>
    <w:p w14:paraId="1C577987" w14:textId="36690279" w:rsidR="00057BB2" w:rsidRPr="00790574" w:rsidRDefault="0085475D" w:rsidP="00790574">
      <w:pPr>
        <w:pStyle w:val="ListBullet"/>
        <w:numPr>
          <w:ilvl w:val="0"/>
          <w:numId w:val="105"/>
        </w:numPr>
        <w:rPr>
          <w:b/>
        </w:rPr>
      </w:pPr>
      <w:r>
        <w:t>transitioning between the sectors</w:t>
      </w:r>
    </w:p>
    <w:p w14:paraId="57B4F472" w14:textId="23685410" w:rsidR="0085475D" w:rsidRPr="00057BB2" w:rsidRDefault="0085475D" w:rsidP="00790574">
      <w:pPr>
        <w:pStyle w:val="ListBullet"/>
        <w:numPr>
          <w:ilvl w:val="0"/>
          <w:numId w:val="105"/>
        </w:numPr>
        <w:rPr>
          <w:b/>
        </w:rPr>
      </w:pPr>
      <w:r>
        <w:t xml:space="preserve">collaboration between VET and higher education. </w:t>
      </w:r>
    </w:p>
    <w:p w14:paraId="54129700" w14:textId="77777777" w:rsidR="0085475D" w:rsidRDefault="0085475D" w:rsidP="0085475D">
      <w:pPr>
        <w:pStyle w:val="Heading2"/>
      </w:pPr>
      <w:bookmarkStart w:id="4" w:name="_Toc229643951"/>
      <w:r>
        <w:t>Benefits of a more joined-up tertiary system</w:t>
      </w:r>
      <w:bookmarkEnd w:id="4"/>
    </w:p>
    <w:p w14:paraId="6837AFD1" w14:textId="77777777" w:rsidR="0085475D" w:rsidRDefault="0085475D" w:rsidP="0085475D">
      <w:r>
        <w:t xml:space="preserve">A more joined-up tertiary system offers benefits for both individual learners and the broader economy. </w:t>
      </w:r>
    </w:p>
    <w:p w14:paraId="3B60D671" w14:textId="2E505C9F" w:rsidR="0085475D" w:rsidRDefault="0085475D" w:rsidP="0085475D">
      <w:pPr>
        <w:pStyle w:val="ListBullet"/>
        <w:numPr>
          <w:ilvl w:val="0"/>
          <w:numId w:val="101"/>
        </w:numPr>
      </w:pPr>
      <w:r>
        <w:t xml:space="preserve">For learners, better connections between the two sectors could support greater access to tertiary education and enable wider participation and </w:t>
      </w:r>
      <w:r w:rsidR="00C03F15">
        <w:t>attainment</w:t>
      </w:r>
      <w:r w:rsidR="00210672">
        <w:t xml:space="preserve">. </w:t>
      </w:r>
      <w:r w:rsidR="0061581F">
        <w:t>It can also m</w:t>
      </w:r>
      <w:r>
        <w:t xml:space="preserve">ake it easier for learners to engage and re-engage with the system, whether for initial study for their occupation, upskilling and reskilling for their career and lifetime, or returning to study following partial completion of a qualification. </w:t>
      </w:r>
    </w:p>
    <w:p w14:paraId="0D0F8E03" w14:textId="3E8AB638" w:rsidR="0085475D" w:rsidRDefault="0085475D" w:rsidP="0085475D">
      <w:pPr>
        <w:pStyle w:val="ListBullet"/>
        <w:numPr>
          <w:ilvl w:val="0"/>
          <w:numId w:val="101"/>
        </w:numPr>
      </w:pPr>
      <w:r>
        <w:t xml:space="preserve">More broadly, a more joined-up tertiary system could help better </w:t>
      </w:r>
      <w:r w:rsidR="001C57D8">
        <w:t>meet</w:t>
      </w:r>
      <w:r>
        <w:t xml:space="preserve"> labour market needs</w:t>
      </w:r>
      <w:r w:rsidR="00C03F15">
        <w:t xml:space="preserve"> and national </w:t>
      </w:r>
      <w:r w:rsidR="005F3B3D">
        <w:t>priorities and</w:t>
      </w:r>
      <w:r>
        <w:t xml:space="preserve"> contribute to productivity growth by building human capital</w:t>
      </w:r>
      <w:r w:rsidR="00460FAD">
        <w:t xml:space="preserve"> and supporting greater skills matchi</w:t>
      </w:r>
      <w:r w:rsidR="001C57D8">
        <w:t>ng</w:t>
      </w:r>
      <w:r>
        <w:t xml:space="preserve">. These benefits are underpinned by greater collaboration between the VET and higher education sectors and industry. </w:t>
      </w:r>
    </w:p>
    <w:p w14:paraId="28C7BE37" w14:textId="77777777" w:rsidR="0085475D" w:rsidRDefault="0085475D" w:rsidP="0085475D">
      <w:pPr>
        <w:pStyle w:val="Heading4"/>
      </w:pPr>
      <w:r>
        <w:t xml:space="preserve">Entering the Tertiary System </w:t>
      </w:r>
    </w:p>
    <w:p w14:paraId="11D91581" w14:textId="77777777" w:rsidR="0085475D" w:rsidRDefault="0085475D" w:rsidP="0085475D">
      <w:r w:rsidRPr="00120BBE">
        <w:t>Learners of all ages may be entering the tertiary system for the first time: young people leaving school, mature-aged learners looking to gain post-school qualifications, and migrants who have not</w:t>
      </w:r>
      <w:r w:rsidRPr="00120BBE" w:rsidDel="00F05A27">
        <w:t xml:space="preserve"> </w:t>
      </w:r>
      <w:r w:rsidRPr="00120BBE">
        <w:t xml:space="preserve">experienced the Australian tertiary education system. These learners must navigate VET and higher education, which differ in roles, purpose, teaching and assessment styles, and costs and subsidies. </w:t>
      </w:r>
    </w:p>
    <w:p w14:paraId="501AC151" w14:textId="3C31493B" w:rsidR="0085475D" w:rsidRPr="00120BBE" w:rsidRDefault="0085475D" w:rsidP="0085475D">
      <w:r w:rsidRPr="00C30C31">
        <w:t>Engagement with each sector is variable, with cultural preferences and lack of parity of esteem meaning</w:t>
      </w:r>
      <w:r>
        <w:rPr>
          <w:b/>
          <w:bCs/>
        </w:rPr>
        <w:t xml:space="preserve"> </w:t>
      </w:r>
      <w:r w:rsidRPr="00C30C31">
        <w:t>higher education is often the preferred pathway, even when VET study is appropriate.</w:t>
      </w:r>
      <w:r>
        <w:t xml:space="preserve"> </w:t>
      </w:r>
      <w:r w:rsidRPr="00E000FD">
        <w:t>Aspiration for VET pathways remains comparatively low, despite current skills shortages in and projected need for VET-linked occupations.</w:t>
      </w:r>
      <w:r>
        <w:t xml:space="preserve"> </w:t>
      </w:r>
      <w:r w:rsidRPr="00E000FD">
        <w:t>Information on tertiary education is often sector specific, and many of the key influencers on learner decisions, such as teachers and career counsellors, hav</w:t>
      </w:r>
      <w:r>
        <w:t>e</w:t>
      </w:r>
      <w:r w:rsidRPr="00E000FD">
        <w:t xml:space="preserve"> a better understanding and preference for higher education than VET. </w:t>
      </w:r>
    </w:p>
    <w:p w14:paraId="2988EAB7" w14:textId="306C4F1C" w:rsidR="000E2534" w:rsidRDefault="0085475D" w:rsidP="00C55EC9">
      <w:r>
        <w:t>L</w:t>
      </w:r>
      <w:r w:rsidRPr="00120BBE">
        <w:t>earners may also face barriers to pursuing their preferred pathway</w:t>
      </w:r>
      <w:r>
        <w:t xml:space="preserve">. </w:t>
      </w:r>
      <w:r w:rsidRPr="00120BBE">
        <w:t>The differences in funding systems across VET and higher education can create distortions, with fees, subsidies and the availability of student loans inconsistent across the sectors</w:t>
      </w:r>
      <w:r>
        <w:t>. Regional learners are less able to access tertiary education, with u</w:t>
      </w:r>
      <w:r w:rsidRPr="00120BBE">
        <w:t>niversities primarily located in metropolitan areas, especially those with close ties to their communities</w:t>
      </w:r>
      <w:r>
        <w:t>.</w:t>
      </w:r>
      <w:r w:rsidRPr="00120BBE">
        <w:t xml:space="preserve"> </w:t>
      </w:r>
      <w:r>
        <w:t xml:space="preserve">Learners experiencing educational disadvantage may also have difficulty understanding and navigating the tertiary system – especially those who are first in family. </w:t>
      </w:r>
      <w:r w:rsidR="000E2534">
        <w:br w:type="page"/>
      </w:r>
    </w:p>
    <w:p w14:paraId="67DF6BF4" w14:textId="77777777" w:rsidR="0085475D" w:rsidRDefault="0085475D" w:rsidP="0085475D"/>
    <w:tbl>
      <w:tblPr>
        <w:tblStyle w:val="TableGrid10"/>
        <w:tblW w:w="9454" w:type="dxa"/>
        <w:shd w:val="clear" w:color="auto" w:fill="D0DEFF" w:themeFill="text2" w:themeFillTint="1A"/>
        <w:tblLook w:val="04A0" w:firstRow="1" w:lastRow="0" w:firstColumn="1" w:lastColumn="0" w:noHBand="0" w:noVBand="1"/>
      </w:tblPr>
      <w:tblGrid>
        <w:gridCol w:w="704"/>
        <w:gridCol w:w="8750"/>
      </w:tblGrid>
      <w:tr w:rsidR="00E72E59" w:rsidRPr="000A48F9" w14:paraId="0117C330" w14:textId="77777777" w:rsidTr="00C55EC9">
        <w:trPr>
          <w:cnfStyle w:val="100000000000" w:firstRow="1" w:lastRow="0" w:firstColumn="0" w:lastColumn="0" w:oddVBand="0" w:evenVBand="0" w:oddHBand="0" w:evenHBand="0" w:firstRowFirstColumn="0" w:firstRowLastColumn="0" w:lastRowFirstColumn="0" w:lastRowLastColumn="0"/>
          <w:trHeight w:val="300"/>
        </w:trPr>
        <w:tc>
          <w:tcPr>
            <w:tcW w:w="704" w:type="dxa"/>
            <w:shd w:val="clear" w:color="auto" w:fill="D0DEFF" w:themeFill="text2" w:themeFillTint="1A"/>
          </w:tcPr>
          <w:p w14:paraId="31D29945" w14:textId="2395E3B0" w:rsidR="0052699F" w:rsidRPr="000A48F9" w:rsidRDefault="0052699F">
            <w:pPr>
              <w:spacing w:before="108" w:after="74"/>
              <w:rPr>
                <w:b w:val="0"/>
                <w:sz w:val="22"/>
                <w:szCs w:val="24"/>
              </w:rPr>
            </w:pPr>
          </w:p>
        </w:tc>
        <w:tc>
          <w:tcPr>
            <w:tcW w:w="8750" w:type="dxa"/>
            <w:shd w:val="clear" w:color="auto" w:fill="D0DEFF" w:themeFill="text2" w:themeFillTint="1A"/>
          </w:tcPr>
          <w:p w14:paraId="4CB61A32" w14:textId="147E459B" w:rsidR="0052699F" w:rsidRPr="000A48F9" w:rsidRDefault="0052699F">
            <w:pPr>
              <w:spacing w:before="108" w:after="74"/>
              <w:rPr>
                <w:sz w:val="22"/>
                <w:szCs w:val="24"/>
              </w:rPr>
            </w:pPr>
            <w:r w:rsidRPr="000A48F9">
              <w:rPr>
                <w:color w:val="auto"/>
                <w:sz w:val="22"/>
                <w:szCs w:val="24"/>
              </w:rPr>
              <w:t>Discussion Questions</w:t>
            </w:r>
          </w:p>
        </w:tc>
      </w:tr>
      <w:tr w:rsidR="00E72E59" w:rsidRPr="003E7826" w14:paraId="50277EAB" w14:textId="77777777" w:rsidTr="00C55EC9">
        <w:trPr>
          <w:trHeight w:val="300"/>
        </w:trPr>
        <w:tc>
          <w:tcPr>
            <w:tcW w:w="704" w:type="dxa"/>
            <w:shd w:val="clear" w:color="auto" w:fill="D0DEFF" w:themeFill="text2" w:themeFillTint="1A"/>
            <w:hideMark/>
          </w:tcPr>
          <w:p w14:paraId="07A7C5CF" w14:textId="77777777" w:rsidR="0085475D" w:rsidRPr="003E7826" w:rsidRDefault="0085475D">
            <w:pPr>
              <w:spacing w:before="108" w:after="74"/>
              <w:rPr>
                <w:b/>
                <w:bCs/>
                <w:sz w:val="22"/>
                <w:szCs w:val="24"/>
              </w:rPr>
            </w:pPr>
            <w:r w:rsidRPr="003E7826">
              <w:rPr>
                <w:b/>
                <w:bCs/>
                <w:sz w:val="22"/>
                <w:szCs w:val="24"/>
              </w:rPr>
              <w:t>Q1 </w:t>
            </w:r>
          </w:p>
        </w:tc>
        <w:tc>
          <w:tcPr>
            <w:tcW w:w="8750" w:type="dxa"/>
            <w:shd w:val="clear" w:color="auto" w:fill="D0DEFF" w:themeFill="text2" w:themeFillTint="1A"/>
            <w:hideMark/>
          </w:tcPr>
          <w:p w14:paraId="4A5C409C" w14:textId="1CAD4572" w:rsidR="0085475D" w:rsidRPr="003E7826" w:rsidRDefault="0085475D">
            <w:pPr>
              <w:spacing w:before="108" w:after="74"/>
              <w:rPr>
                <w:b/>
                <w:bCs/>
                <w:sz w:val="22"/>
                <w:szCs w:val="22"/>
              </w:rPr>
            </w:pPr>
            <w:r w:rsidRPr="00EC59B0">
              <w:rPr>
                <w:b/>
                <w:sz w:val="22"/>
                <w:szCs w:val="22"/>
              </w:rPr>
              <w:t xml:space="preserve">What actions will be most effective for ensuring that learners are better informed of the depth and range of course offerings </w:t>
            </w:r>
            <w:r w:rsidR="00945644" w:rsidRPr="00EC59B0">
              <w:rPr>
                <w:b/>
                <w:bCs/>
                <w:sz w:val="22"/>
                <w:szCs w:val="22"/>
              </w:rPr>
              <w:t xml:space="preserve">and occupations </w:t>
            </w:r>
            <w:r w:rsidRPr="00EC59B0">
              <w:rPr>
                <w:b/>
                <w:sz w:val="22"/>
                <w:szCs w:val="22"/>
              </w:rPr>
              <w:t>when deciding on career options and tertiary education pathways? </w:t>
            </w:r>
            <w:r w:rsidRPr="4312A826">
              <w:rPr>
                <w:b/>
                <w:bCs/>
                <w:sz w:val="22"/>
                <w:szCs w:val="22"/>
              </w:rPr>
              <w:t> </w:t>
            </w:r>
          </w:p>
        </w:tc>
      </w:tr>
      <w:tr w:rsidR="00E72E59" w:rsidRPr="003E7826" w14:paraId="0AD0905C" w14:textId="77777777" w:rsidTr="00C55EC9">
        <w:trPr>
          <w:trHeight w:val="300"/>
        </w:trPr>
        <w:tc>
          <w:tcPr>
            <w:tcW w:w="704" w:type="dxa"/>
            <w:shd w:val="clear" w:color="auto" w:fill="D0DEFF" w:themeFill="text2" w:themeFillTint="1A"/>
            <w:hideMark/>
          </w:tcPr>
          <w:p w14:paraId="16334E20" w14:textId="77777777" w:rsidR="0085475D" w:rsidRPr="003E7826" w:rsidRDefault="0085475D">
            <w:pPr>
              <w:spacing w:before="108" w:after="74"/>
              <w:rPr>
                <w:sz w:val="22"/>
                <w:szCs w:val="24"/>
              </w:rPr>
            </w:pPr>
            <w:r w:rsidRPr="003E7826">
              <w:rPr>
                <w:b/>
                <w:bCs/>
                <w:sz w:val="22"/>
                <w:szCs w:val="24"/>
              </w:rPr>
              <w:t>Q2</w:t>
            </w:r>
            <w:r w:rsidRPr="003E7826">
              <w:rPr>
                <w:sz w:val="22"/>
                <w:szCs w:val="24"/>
              </w:rPr>
              <w:t> </w:t>
            </w:r>
          </w:p>
        </w:tc>
        <w:tc>
          <w:tcPr>
            <w:tcW w:w="8750" w:type="dxa"/>
            <w:shd w:val="clear" w:color="auto" w:fill="D0DEFF" w:themeFill="text2" w:themeFillTint="1A"/>
            <w:hideMark/>
          </w:tcPr>
          <w:p w14:paraId="4948D999" w14:textId="4AB2C6CD" w:rsidR="0085475D" w:rsidRPr="00EC59B0" w:rsidRDefault="0085475D">
            <w:pPr>
              <w:spacing w:before="108" w:after="74"/>
              <w:rPr>
                <w:b/>
                <w:sz w:val="22"/>
                <w:szCs w:val="24"/>
              </w:rPr>
            </w:pPr>
            <w:r w:rsidRPr="00EC59B0">
              <w:rPr>
                <w:b/>
                <w:sz w:val="22"/>
                <w:szCs w:val="24"/>
              </w:rPr>
              <w:t xml:space="preserve">What are the tangible actions </w:t>
            </w:r>
            <w:r w:rsidR="00D21596">
              <w:rPr>
                <w:b/>
                <w:sz w:val="22"/>
                <w:szCs w:val="24"/>
              </w:rPr>
              <w:t xml:space="preserve">that </w:t>
            </w:r>
            <w:r w:rsidRPr="00EC59B0">
              <w:rPr>
                <w:b/>
                <w:sz w:val="22"/>
                <w:szCs w:val="24"/>
              </w:rPr>
              <w:t>can be achieved through the Roadmap to support parity of esteem between the VET and higher education sectors? </w:t>
            </w:r>
          </w:p>
        </w:tc>
      </w:tr>
      <w:tr w:rsidR="00E72E59" w:rsidRPr="003E7826" w14:paraId="707A3910" w14:textId="77777777" w:rsidTr="00C55EC9">
        <w:trPr>
          <w:trHeight w:val="405"/>
        </w:trPr>
        <w:tc>
          <w:tcPr>
            <w:tcW w:w="704" w:type="dxa"/>
            <w:shd w:val="clear" w:color="auto" w:fill="D0DEFF" w:themeFill="text2" w:themeFillTint="1A"/>
            <w:hideMark/>
          </w:tcPr>
          <w:p w14:paraId="7E3EE1B9" w14:textId="77777777" w:rsidR="0085475D" w:rsidRPr="003E7826" w:rsidRDefault="0085475D">
            <w:pPr>
              <w:spacing w:before="108" w:after="74"/>
              <w:rPr>
                <w:sz w:val="22"/>
                <w:szCs w:val="24"/>
              </w:rPr>
            </w:pPr>
            <w:r w:rsidRPr="003E7826">
              <w:rPr>
                <w:b/>
                <w:bCs/>
                <w:sz w:val="22"/>
                <w:szCs w:val="24"/>
              </w:rPr>
              <w:t>Q3</w:t>
            </w:r>
            <w:r w:rsidRPr="003E7826">
              <w:rPr>
                <w:sz w:val="22"/>
                <w:szCs w:val="24"/>
              </w:rPr>
              <w:t> </w:t>
            </w:r>
          </w:p>
        </w:tc>
        <w:tc>
          <w:tcPr>
            <w:tcW w:w="8750" w:type="dxa"/>
            <w:shd w:val="clear" w:color="auto" w:fill="D0DEFF" w:themeFill="text2" w:themeFillTint="1A"/>
            <w:hideMark/>
          </w:tcPr>
          <w:p w14:paraId="4D668146" w14:textId="242F4591" w:rsidR="0085475D" w:rsidRPr="004A183B" w:rsidRDefault="004A183B">
            <w:pPr>
              <w:spacing w:before="108" w:after="74"/>
              <w:rPr>
                <w:b/>
                <w:bCs/>
                <w:sz w:val="22"/>
                <w:szCs w:val="24"/>
              </w:rPr>
            </w:pPr>
            <w:r w:rsidRPr="004A183B">
              <w:rPr>
                <w:b/>
                <w:bCs/>
                <w:sz w:val="22"/>
                <w:szCs w:val="24"/>
              </w:rPr>
              <w:t>Noting fiscal constraints, how could existing funding settings and incentives be better aligned to support learner choice and labour</w:t>
            </w:r>
            <w:r w:rsidRPr="004A183B">
              <w:rPr>
                <w:b/>
                <w:bCs/>
                <w:sz w:val="22"/>
                <w:szCs w:val="24"/>
              </w:rPr>
              <w:noBreakHyphen/>
              <w:t>market outcomes across VET and higher education?</w:t>
            </w:r>
          </w:p>
        </w:tc>
      </w:tr>
    </w:tbl>
    <w:p w14:paraId="1BEC0477" w14:textId="2E4D7A47" w:rsidR="0085475D" w:rsidRDefault="0085475D" w:rsidP="0085475D">
      <w:pPr>
        <w:pStyle w:val="Heading4"/>
      </w:pPr>
      <w:r>
        <w:t>Transitioning between the sectors</w:t>
      </w:r>
    </w:p>
    <w:p w14:paraId="48740134" w14:textId="77777777" w:rsidR="0085475D" w:rsidRPr="00120BBE" w:rsidRDefault="0085475D" w:rsidP="0085475D">
      <w:r>
        <w:t>Many</w:t>
      </w:r>
      <w:r w:rsidRPr="00120BBE">
        <w:t xml:space="preserve"> learners will engage with both sectors across their lifetime. These movements are multidirectional, with learners moving from higher education into VET and vice versa. Learners may engage in both sectors for varying reasons, such as to deepen or broaden their skills, or change careers.</w:t>
      </w:r>
    </w:p>
    <w:p w14:paraId="255EF5AB" w14:textId="6CB4904A" w:rsidR="0085475D" w:rsidRPr="00120BBE" w:rsidRDefault="0085475D" w:rsidP="0085475D">
      <w:r>
        <w:t>From</w:t>
      </w:r>
      <w:r w:rsidRPr="00120BBE">
        <w:t xml:space="preserve"> VET into higher education</w:t>
      </w:r>
      <w:r w:rsidR="00BD1AFC">
        <w:t>,</w:t>
      </w:r>
      <w:r w:rsidRPr="00120BBE">
        <w:t xml:space="preserve"> </w:t>
      </w:r>
      <w:r>
        <w:t>a</w:t>
      </w:r>
      <w:r w:rsidRPr="00120BBE">
        <w:t xml:space="preserve">nalysis shows that where learners are receiving credit for VET qualifications into Bachelor Degrees, the average credit amount given is at the expected level for those pathways, such as a year of credit for </w:t>
      </w:r>
      <w:r>
        <w:t xml:space="preserve">a </w:t>
      </w:r>
      <w:r w:rsidRPr="00120BBE">
        <w:t>Diploma in the same field of education.</w:t>
      </w:r>
      <w:r>
        <w:t xml:space="preserve"> </w:t>
      </w:r>
      <w:r w:rsidRPr="00120BBE">
        <w:t xml:space="preserve">Whilst many of the most common pathways have </w:t>
      </w:r>
      <w:r>
        <w:t>similar</w:t>
      </w:r>
      <w:r w:rsidRPr="00120BBE">
        <w:t xml:space="preserve"> credit arrangements, learners may still experience difficulties in accessing credit transfer or recognition of prior learning, both in terms of understanding their entitlement and collecting the evidence required. </w:t>
      </w:r>
    </w:p>
    <w:p w14:paraId="4703696D" w14:textId="4FBF76AA" w:rsidR="0085475D" w:rsidRPr="00120BBE" w:rsidRDefault="0085475D" w:rsidP="0085475D">
      <w:r>
        <w:t>In comparison, p</w:t>
      </w:r>
      <w:r w:rsidRPr="00120BBE">
        <w:t xml:space="preserve">athways from higher education into VET are less formal and not well </w:t>
      </w:r>
      <w:r>
        <w:t xml:space="preserve">understood. </w:t>
      </w:r>
      <w:r w:rsidR="008036D2" w:rsidRPr="008036D2">
        <w:t>It is common for learners with a higher education qualification to undertake VET study</w:t>
      </w:r>
      <w:r w:rsidRPr="00120BBE">
        <w:t>, though there is little evidence of institutionalised credit agreements in this direction.</w:t>
      </w:r>
      <w:r>
        <w:t xml:space="preserve"> </w:t>
      </w:r>
      <w:r w:rsidRPr="00120BBE">
        <w:t xml:space="preserve">This could be due to a combination of factors: </w:t>
      </w:r>
    </w:p>
    <w:p w14:paraId="68F05F4D" w14:textId="77777777" w:rsidR="0085475D" w:rsidRPr="00120BBE" w:rsidRDefault="0085475D" w:rsidP="0085475D">
      <w:pPr>
        <w:pStyle w:val="ListBullet"/>
        <w:numPr>
          <w:ilvl w:val="0"/>
          <w:numId w:val="100"/>
        </w:numPr>
      </w:pPr>
      <w:r w:rsidRPr="00120BBE">
        <w:t>the difficulty for learners to meet prescriptive training package requirements through RPL based on their higher education study</w:t>
      </w:r>
    </w:p>
    <w:p w14:paraId="42D9740B" w14:textId="702B9BA9" w:rsidR="00950D1A" w:rsidRPr="00120BBE" w:rsidRDefault="0085475D" w:rsidP="00790574">
      <w:pPr>
        <w:pStyle w:val="ListBullet"/>
        <w:numPr>
          <w:ilvl w:val="0"/>
          <w:numId w:val="100"/>
        </w:numPr>
      </w:pPr>
      <w:r w:rsidRPr="00F63B4D">
        <w:t>greater variation in the curriculums and course structures for the same fields of education between higher education providers, requiring individual mapping for few learners from a specific institution.</w:t>
      </w:r>
    </w:p>
    <w:tbl>
      <w:tblPr>
        <w:tblStyle w:val="TableGrid10"/>
        <w:tblW w:w="0" w:type="auto"/>
        <w:shd w:val="clear" w:color="auto" w:fill="D0DEFF" w:themeFill="text2" w:themeFillTint="1A"/>
        <w:tblLook w:val="04A0" w:firstRow="1" w:lastRow="0" w:firstColumn="1" w:lastColumn="0" w:noHBand="0" w:noVBand="1"/>
      </w:tblPr>
      <w:tblGrid>
        <w:gridCol w:w="704"/>
        <w:gridCol w:w="8794"/>
      </w:tblGrid>
      <w:tr w:rsidR="00E72E59" w:rsidRPr="000A48F9" w14:paraId="5B5FCF30" w14:textId="77777777" w:rsidTr="002F11C2">
        <w:trPr>
          <w:cnfStyle w:val="100000000000" w:firstRow="1" w:lastRow="0" w:firstColumn="0" w:lastColumn="0" w:oddVBand="0" w:evenVBand="0" w:oddHBand="0" w:evenHBand="0" w:firstRowFirstColumn="0" w:firstRowLastColumn="0" w:lastRowFirstColumn="0" w:lastRowLastColumn="0"/>
          <w:trHeight w:val="300"/>
        </w:trPr>
        <w:tc>
          <w:tcPr>
            <w:tcW w:w="704" w:type="dxa"/>
            <w:shd w:val="clear" w:color="auto" w:fill="D0DEFF" w:themeFill="text2" w:themeFillTint="1A"/>
          </w:tcPr>
          <w:p w14:paraId="0F7DB430" w14:textId="69AE37A5" w:rsidR="00626C63" w:rsidRPr="000A48F9" w:rsidRDefault="00626C63">
            <w:pPr>
              <w:spacing w:before="108" w:after="74"/>
              <w:rPr>
                <w:b w:val="0"/>
                <w:color w:val="auto"/>
                <w:sz w:val="22"/>
                <w:szCs w:val="24"/>
              </w:rPr>
            </w:pPr>
          </w:p>
        </w:tc>
        <w:tc>
          <w:tcPr>
            <w:tcW w:w="8794" w:type="dxa"/>
            <w:shd w:val="clear" w:color="auto" w:fill="D0DEFF" w:themeFill="text2" w:themeFillTint="1A"/>
          </w:tcPr>
          <w:p w14:paraId="4E4F82F5" w14:textId="17E205E1" w:rsidR="00626C63" w:rsidRPr="000A48F9" w:rsidRDefault="00626C63">
            <w:pPr>
              <w:spacing w:before="108" w:after="74"/>
              <w:rPr>
                <w:color w:val="auto"/>
                <w:sz w:val="22"/>
                <w:szCs w:val="24"/>
              </w:rPr>
            </w:pPr>
            <w:r w:rsidRPr="000A48F9">
              <w:rPr>
                <w:color w:val="auto"/>
                <w:sz w:val="22"/>
                <w:szCs w:val="24"/>
              </w:rPr>
              <w:t>Discussion Questions</w:t>
            </w:r>
          </w:p>
        </w:tc>
      </w:tr>
      <w:tr w:rsidR="00E72E59" w:rsidRPr="000A48F9" w14:paraId="04D71D95" w14:textId="77777777" w:rsidTr="002F11C2">
        <w:trPr>
          <w:trHeight w:val="300"/>
        </w:trPr>
        <w:tc>
          <w:tcPr>
            <w:tcW w:w="704" w:type="dxa"/>
            <w:shd w:val="clear" w:color="auto" w:fill="D0DEFF" w:themeFill="text2" w:themeFillTint="1A"/>
            <w:hideMark/>
          </w:tcPr>
          <w:p w14:paraId="059C4AA5" w14:textId="77777777" w:rsidR="0085475D" w:rsidRPr="000A48F9" w:rsidRDefault="0085475D">
            <w:pPr>
              <w:spacing w:before="108" w:after="74"/>
              <w:rPr>
                <w:b/>
                <w:bCs/>
                <w:color w:val="auto"/>
                <w:sz w:val="22"/>
                <w:szCs w:val="24"/>
              </w:rPr>
            </w:pPr>
            <w:r w:rsidRPr="000A48F9">
              <w:rPr>
                <w:b/>
                <w:bCs/>
                <w:color w:val="auto"/>
                <w:sz w:val="22"/>
                <w:szCs w:val="24"/>
              </w:rPr>
              <w:t>Q4 </w:t>
            </w:r>
          </w:p>
        </w:tc>
        <w:tc>
          <w:tcPr>
            <w:tcW w:w="8794" w:type="dxa"/>
            <w:shd w:val="clear" w:color="auto" w:fill="D0DEFF" w:themeFill="text2" w:themeFillTint="1A"/>
            <w:hideMark/>
          </w:tcPr>
          <w:p w14:paraId="57E84620" w14:textId="77777777" w:rsidR="0085475D" w:rsidRPr="00EC59B0" w:rsidRDefault="0085475D">
            <w:pPr>
              <w:spacing w:before="108" w:after="74"/>
              <w:rPr>
                <w:b/>
                <w:color w:val="auto"/>
                <w:sz w:val="22"/>
                <w:szCs w:val="22"/>
              </w:rPr>
            </w:pPr>
            <w:r w:rsidRPr="00EC59B0">
              <w:rPr>
                <w:b/>
                <w:color w:val="auto"/>
                <w:sz w:val="22"/>
                <w:szCs w:val="22"/>
              </w:rPr>
              <w:t>What are examples of effective transitions, particularly for learners from underrepresented backgrounds? How can these be strengthened across the system?</w:t>
            </w:r>
          </w:p>
        </w:tc>
      </w:tr>
      <w:tr w:rsidR="00E72E59" w:rsidRPr="000A48F9" w14:paraId="51E8E04C" w14:textId="77777777" w:rsidTr="002F11C2">
        <w:trPr>
          <w:trHeight w:val="315"/>
        </w:trPr>
        <w:tc>
          <w:tcPr>
            <w:tcW w:w="704" w:type="dxa"/>
            <w:shd w:val="clear" w:color="auto" w:fill="D0DEFF" w:themeFill="text2" w:themeFillTint="1A"/>
            <w:hideMark/>
          </w:tcPr>
          <w:p w14:paraId="4B969C71" w14:textId="77777777" w:rsidR="0085475D" w:rsidRPr="000A48F9" w:rsidRDefault="0085475D">
            <w:pPr>
              <w:spacing w:before="108" w:after="74"/>
              <w:rPr>
                <w:color w:val="auto"/>
                <w:sz w:val="22"/>
                <w:szCs w:val="24"/>
              </w:rPr>
            </w:pPr>
            <w:r w:rsidRPr="000A48F9">
              <w:rPr>
                <w:b/>
                <w:bCs/>
                <w:color w:val="auto"/>
                <w:sz w:val="22"/>
                <w:szCs w:val="24"/>
              </w:rPr>
              <w:t>Q5</w:t>
            </w:r>
            <w:r w:rsidRPr="000A48F9">
              <w:rPr>
                <w:color w:val="auto"/>
                <w:sz w:val="22"/>
                <w:szCs w:val="24"/>
              </w:rPr>
              <w:t> </w:t>
            </w:r>
          </w:p>
        </w:tc>
        <w:tc>
          <w:tcPr>
            <w:tcW w:w="8794" w:type="dxa"/>
            <w:shd w:val="clear" w:color="auto" w:fill="D0DEFF" w:themeFill="text2" w:themeFillTint="1A"/>
            <w:hideMark/>
          </w:tcPr>
          <w:p w14:paraId="6BFC878B" w14:textId="77777777" w:rsidR="0085475D" w:rsidRPr="00EC59B0" w:rsidRDefault="0085475D">
            <w:pPr>
              <w:spacing w:before="108" w:after="74"/>
              <w:rPr>
                <w:b/>
                <w:color w:val="auto"/>
                <w:sz w:val="22"/>
                <w:szCs w:val="24"/>
              </w:rPr>
            </w:pPr>
            <w:r w:rsidRPr="00EC59B0">
              <w:rPr>
                <w:b/>
                <w:color w:val="auto"/>
                <w:sz w:val="22"/>
                <w:szCs w:val="24"/>
              </w:rPr>
              <w:t>What support arrangements are currently available for VET and higher education learners to assist with moving between the sectors and to ensure they can succeed?  </w:t>
            </w:r>
          </w:p>
        </w:tc>
      </w:tr>
      <w:tr w:rsidR="00E72E59" w:rsidRPr="000A48F9" w14:paraId="2BAF5DC3" w14:textId="77777777" w:rsidTr="002F11C2">
        <w:trPr>
          <w:trHeight w:val="300"/>
        </w:trPr>
        <w:tc>
          <w:tcPr>
            <w:tcW w:w="704" w:type="dxa"/>
            <w:shd w:val="clear" w:color="auto" w:fill="D0DEFF" w:themeFill="text2" w:themeFillTint="1A"/>
            <w:hideMark/>
          </w:tcPr>
          <w:p w14:paraId="6DF1A6BD" w14:textId="77777777" w:rsidR="0085475D" w:rsidRPr="000A48F9" w:rsidRDefault="0085475D">
            <w:pPr>
              <w:spacing w:before="108" w:after="74"/>
              <w:rPr>
                <w:color w:val="auto"/>
                <w:sz w:val="22"/>
                <w:szCs w:val="24"/>
              </w:rPr>
            </w:pPr>
            <w:r w:rsidRPr="000A48F9">
              <w:rPr>
                <w:b/>
                <w:bCs/>
                <w:color w:val="auto"/>
                <w:sz w:val="22"/>
                <w:szCs w:val="24"/>
              </w:rPr>
              <w:t>Q6</w:t>
            </w:r>
            <w:r w:rsidRPr="000A48F9">
              <w:rPr>
                <w:color w:val="auto"/>
                <w:sz w:val="22"/>
                <w:szCs w:val="24"/>
              </w:rPr>
              <w:t> </w:t>
            </w:r>
          </w:p>
        </w:tc>
        <w:tc>
          <w:tcPr>
            <w:tcW w:w="8794" w:type="dxa"/>
            <w:shd w:val="clear" w:color="auto" w:fill="D0DEFF" w:themeFill="text2" w:themeFillTint="1A"/>
            <w:hideMark/>
          </w:tcPr>
          <w:p w14:paraId="6A968669" w14:textId="77777777" w:rsidR="0085475D" w:rsidRPr="00EC59B0" w:rsidRDefault="0085475D">
            <w:pPr>
              <w:spacing w:before="108" w:after="74"/>
              <w:rPr>
                <w:b/>
                <w:color w:val="auto"/>
                <w:sz w:val="22"/>
                <w:szCs w:val="24"/>
              </w:rPr>
            </w:pPr>
            <w:r w:rsidRPr="00EC59B0">
              <w:rPr>
                <w:b/>
                <w:color w:val="auto"/>
                <w:sz w:val="22"/>
                <w:szCs w:val="24"/>
              </w:rPr>
              <w:t>What can VET and higher education providers do to better inform current and prospective learners of credit recognition arrangements and pathways? </w:t>
            </w:r>
          </w:p>
        </w:tc>
      </w:tr>
    </w:tbl>
    <w:p w14:paraId="01ACBFBC" w14:textId="419F2144" w:rsidR="0085475D" w:rsidRDefault="0085475D" w:rsidP="0085475D">
      <w:pPr>
        <w:pStyle w:val="Heading4"/>
      </w:pPr>
      <w:r>
        <w:t>Enhancing learner experience</w:t>
      </w:r>
      <w:r w:rsidR="005B0D30">
        <w:t xml:space="preserve"> and outcomes</w:t>
      </w:r>
      <w:r>
        <w:t xml:space="preserve"> through cross-sector collaboration</w:t>
      </w:r>
    </w:p>
    <w:p w14:paraId="5B44441F" w14:textId="77777777" w:rsidR="0085475D" w:rsidRPr="00120BBE" w:rsidRDefault="0085475D" w:rsidP="0085475D">
      <w:r w:rsidRPr="00120BBE">
        <w:t xml:space="preserve">Greater collaboration across the VET and higher education sectors could better support learners to navigate the tertiary education system. </w:t>
      </w:r>
      <w:r>
        <w:t xml:space="preserve">Dual sector models include qualifications and pathways that have both VET and higher education components, providers registered in both sectors, and co-location or sharing of facilities between providers in different sectors. Higher-level apprenticeships are also an example of emerging models that often draw on VET and higher education components. </w:t>
      </w:r>
    </w:p>
    <w:p w14:paraId="64F63546" w14:textId="77777777" w:rsidR="0085475D" w:rsidRPr="00120BBE" w:rsidRDefault="0085475D" w:rsidP="0085475D">
      <w:r w:rsidRPr="00120BBE">
        <w:t>Dual awards and higher-level apprenticeships have the potential to benefit learners</w:t>
      </w:r>
      <w:r>
        <w:t xml:space="preserve"> by:</w:t>
      </w:r>
    </w:p>
    <w:p w14:paraId="5466B15E" w14:textId="14F2D6FE" w:rsidR="0085475D" w:rsidRPr="00120BBE" w:rsidRDefault="0085475D" w:rsidP="0085475D">
      <w:pPr>
        <w:pStyle w:val="ListBullet"/>
        <w:numPr>
          <w:ilvl w:val="0"/>
          <w:numId w:val="99"/>
        </w:numPr>
      </w:pPr>
      <w:r>
        <w:t>c</w:t>
      </w:r>
      <w:r w:rsidRPr="00120BBE">
        <w:t>ombining work-focused technical skills with theoretical knowledge</w:t>
      </w:r>
    </w:p>
    <w:p w14:paraId="02AF556B" w14:textId="77777777" w:rsidR="0085475D" w:rsidRPr="00120BBE" w:rsidRDefault="0085475D" w:rsidP="0085475D">
      <w:pPr>
        <w:pStyle w:val="ListBullet"/>
        <w:numPr>
          <w:ilvl w:val="0"/>
          <w:numId w:val="99"/>
        </w:numPr>
      </w:pPr>
      <w:r>
        <w:t>s</w:t>
      </w:r>
      <w:r w:rsidRPr="00120BBE">
        <w:t>upporting higher level study by building nested qualification arrangements that make it easier to dip in and out of learning while attaining full qualifications</w:t>
      </w:r>
    </w:p>
    <w:p w14:paraId="5CF3D399" w14:textId="13DE7999" w:rsidR="00A84D7B" w:rsidRPr="00120BBE" w:rsidRDefault="0085475D" w:rsidP="00950D1A">
      <w:pPr>
        <w:pStyle w:val="ListBullet"/>
        <w:numPr>
          <w:ilvl w:val="0"/>
          <w:numId w:val="99"/>
        </w:numPr>
      </w:pPr>
      <w:r w:rsidRPr="00120BBE">
        <w:t>widening ‘earn and learn’ models to new qualifications</w:t>
      </w:r>
      <w:r w:rsidR="00950D1A">
        <w:t>.</w:t>
      </w:r>
    </w:p>
    <w:p w14:paraId="30E010E1" w14:textId="40A7A365" w:rsidR="0085475D" w:rsidRDefault="0085475D" w:rsidP="0085475D">
      <w:r w:rsidRPr="00120BBE">
        <w:t>Despite the potential benefits of these ne</w:t>
      </w:r>
      <w:r w:rsidRPr="00D10252">
        <w:t>w models to supporting a more joined-up system</w:t>
      </w:r>
      <w:r w:rsidR="008E1E5D" w:rsidRPr="00D10252">
        <w:t xml:space="preserve"> and </w:t>
      </w:r>
      <w:r w:rsidR="00D10252" w:rsidRPr="00D10252">
        <w:t>supporting better outcomes and experiences for learners</w:t>
      </w:r>
      <w:r w:rsidRPr="00D10252">
        <w:t>, these</w:t>
      </w:r>
      <w:r w:rsidRPr="00120BBE">
        <w:t xml:space="preserve"> qualifications remain niche offerings and are often difficult to scale and sustain. Challenges include the difficulties in translating the learning outcomes of courses from different sectors, maintaining long-term relationships between providers, and learner, industry and employer understanding and engagement.</w:t>
      </w:r>
    </w:p>
    <w:p w14:paraId="1EF44DA6" w14:textId="77777777" w:rsidR="0085475D" w:rsidRDefault="0085475D" w:rsidP="0085475D">
      <w:r>
        <w:t>Dual sector providers as well as</w:t>
      </w:r>
      <w:r w:rsidDel="00F05A27">
        <w:t xml:space="preserve"> </w:t>
      </w:r>
      <w:r>
        <w:t xml:space="preserve">co-location and shared facilities are other mechanisms to build on the strengths of both sectors. </w:t>
      </w:r>
      <w:r w:rsidRPr="3A7ED23E">
        <w:t>These models can also help overcome some of the barriers to developing collaborative or dual sector qualifications. Some of the more sustainable dual sector qualifications are associated with co-located campuses</w:t>
      </w:r>
      <w:r>
        <w:t>,</w:t>
      </w:r>
      <w:r w:rsidRPr="3A7ED23E">
        <w:t xml:space="preserve"> where it may be easier for dual sector providers to develop and sustain these models as they do not need to negotiate with another institution.</w:t>
      </w:r>
    </w:p>
    <w:tbl>
      <w:tblPr>
        <w:tblStyle w:val="TableGrid10"/>
        <w:tblW w:w="9498" w:type="dxa"/>
        <w:shd w:val="clear" w:color="auto" w:fill="D0DEFF" w:themeFill="text2" w:themeFillTint="1A"/>
        <w:tblLook w:val="04A0" w:firstRow="1" w:lastRow="0" w:firstColumn="1" w:lastColumn="0" w:noHBand="0" w:noVBand="1"/>
      </w:tblPr>
      <w:tblGrid>
        <w:gridCol w:w="704"/>
        <w:gridCol w:w="8794"/>
      </w:tblGrid>
      <w:tr w:rsidR="00E72E59" w:rsidRPr="000A48F9" w14:paraId="61357756" w14:textId="77777777" w:rsidTr="00D471DE">
        <w:trPr>
          <w:cnfStyle w:val="100000000000" w:firstRow="1" w:lastRow="0" w:firstColumn="0" w:lastColumn="0" w:oddVBand="0" w:evenVBand="0" w:oddHBand="0" w:evenHBand="0" w:firstRowFirstColumn="0" w:firstRowLastColumn="0" w:lastRowFirstColumn="0" w:lastRowLastColumn="0"/>
          <w:trHeight w:val="300"/>
        </w:trPr>
        <w:tc>
          <w:tcPr>
            <w:tcW w:w="704" w:type="dxa"/>
            <w:shd w:val="clear" w:color="auto" w:fill="D0DEFF" w:themeFill="text2" w:themeFillTint="1A"/>
          </w:tcPr>
          <w:p w14:paraId="2CE08219" w14:textId="77777777" w:rsidR="00692EF4" w:rsidRPr="000A48F9" w:rsidRDefault="00692EF4">
            <w:pPr>
              <w:spacing w:before="108" w:after="74"/>
              <w:rPr>
                <w:b w:val="0"/>
                <w:color w:val="auto"/>
                <w:sz w:val="22"/>
                <w:szCs w:val="24"/>
              </w:rPr>
            </w:pPr>
          </w:p>
        </w:tc>
        <w:tc>
          <w:tcPr>
            <w:tcW w:w="8794" w:type="dxa"/>
            <w:shd w:val="clear" w:color="auto" w:fill="D0DEFF" w:themeFill="text2" w:themeFillTint="1A"/>
          </w:tcPr>
          <w:p w14:paraId="3BEBD41F" w14:textId="77777777" w:rsidR="00692EF4" w:rsidRPr="000A48F9" w:rsidRDefault="00692EF4">
            <w:pPr>
              <w:spacing w:before="108" w:after="74"/>
              <w:rPr>
                <w:color w:val="auto"/>
                <w:sz w:val="22"/>
                <w:szCs w:val="24"/>
              </w:rPr>
            </w:pPr>
            <w:r w:rsidRPr="000A48F9">
              <w:rPr>
                <w:color w:val="auto"/>
                <w:sz w:val="22"/>
                <w:szCs w:val="24"/>
              </w:rPr>
              <w:t>Discussion Questions</w:t>
            </w:r>
          </w:p>
        </w:tc>
      </w:tr>
      <w:tr w:rsidR="00E72E59" w:rsidRPr="000A48F9" w14:paraId="4B45EB46" w14:textId="77777777" w:rsidTr="00D471DE">
        <w:trPr>
          <w:trHeight w:val="300"/>
        </w:trPr>
        <w:tc>
          <w:tcPr>
            <w:tcW w:w="704" w:type="dxa"/>
            <w:shd w:val="clear" w:color="auto" w:fill="D0DEFF" w:themeFill="text2" w:themeFillTint="1A"/>
            <w:hideMark/>
          </w:tcPr>
          <w:p w14:paraId="5B30026C" w14:textId="7D4D2A1F" w:rsidR="001F27CB" w:rsidRPr="000A48F9" w:rsidRDefault="001F27CB" w:rsidP="001F27CB">
            <w:pPr>
              <w:spacing w:before="108" w:after="74"/>
              <w:rPr>
                <w:b/>
                <w:bCs/>
                <w:color w:val="auto"/>
                <w:sz w:val="22"/>
                <w:szCs w:val="24"/>
              </w:rPr>
            </w:pPr>
            <w:r w:rsidRPr="000A48F9">
              <w:rPr>
                <w:b/>
                <w:bCs/>
                <w:color w:val="auto"/>
                <w:sz w:val="22"/>
                <w:szCs w:val="24"/>
              </w:rPr>
              <w:t>Q</w:t>
            </w:r>
            <w:r w:rsidR="00D471DE">
              <w:rPr>
                <w:b/>
                <w:bCs/>
                <w:color w:val="auto"/>
                <w:sz w:val="22"/>
                <w:szCs w:val="24"/>
              </w:rPr>
              <w:t>7</w:t>
            </w:r>
          </w:p>
        </w:tc>
        <w:tc>
          <w:tcPr>
            <w:tcW w:w="8794" w:type="dxa"/>
            <w:shd w:val="clear" w:color="auto" w:fill="D0DEFF" w:themeFill="text2" w:themeFillTint="1A"/>
            <w:hideMark/>
          </w:tcPr>
          <w:p w14:paraId="5BD9BD74" w14:textId="119FA71E" w:rsidR="001F27CB" w:rsidRPr="00EC59B0" w:rsidRDefault="001F27CB" w:rsidP="001F27CB">
            <w:pPr>
              <w:spacing w:before="108" w:after="74"/>
              <w:rPr>
                <w:b/>
                <w:bCs/>
                <w:color w:val="auto"/>
                <w:sz w:val="22"/>
                <w:szCs w:val="22"/>
              </w:rPr>
            </w:pPr>
            <w:r w:rsidRPr="00EC59B0">
              <w:rPr>
                <w:b/>
                <w:bCs/>
                <w:color w:val="auto"/>
                <w:sz w:val="22"/>
                <w:szCs w:val="24"/>
              </w:rPr>
              <w:t>What does the VET sector do well that you would like to see adopted in higher education? What does the higher education sector do well that could be applied to VET? </w:t>
            </w:r>
          </w:p>
        </w:tc>
      </w:tr>
      <w:tr w:rsidR="00E72E59" w:rsidRPr="000A48F9" w14:paraId="7D5A1D88" w14:textId="77777777" w:rsidTr="00D471DE">
        <w:trPr>
          <w:trHeight w:val="315"/>
        </w:trPr>
        <w:tc>
          <w:tcPr>
            <w:tcW w:w="704" w:type="dxa"/>
            <w:shd w:val="clear" w:color="auto" w:fill="D0DEFF" w:themeFill="text2" w:themeFillTint="1A"/>
            <w:hideMark/>
          </w:tcPr>
          <w:p w14:paraId="545FB7FE" w14:textId="0EEF552E" w:rsidR="001F27CB" w:rsidRPr="000A48F9" w:rsidRDefault="001F27CB" w:rsidP="001F27CB">
            <w:pPr>
              <w:spacing w:before="108" w:after="74"/>
              <w:rPr>
                <w:color w:val="auto"/>
                <w:sz w:val="22"/>
                <w:szCs w:val="24"/>
              </w:rPr>
            </w:pPr>
            <w:r w:rsidRPr="000A48F9">
              <w:rPr>
                <w:b/>
                <w:bCs/>
                <w:color w:val="auto"/>
                <w:sz w:val="22"/>
                <w:szCs w:val="24"/>
              </w:rPr>
              <w:t>Q</w:t>
            </w:r>
            <w:r w:rsidR="00D471DE">
              <w:rPr>
                <w:b/>
                <w:bCs/>
                <w:color w:val="auto"/>
                <w:sz w:val="22"/>
                <w:szCs w:val="24"/>
              </w:rPr>
              <w:t>8</w:t>
            </w:r>
            <w:r w:rsidRPr="000A48F9">
              <w:rPr>
                <w:color w:val="auto"/>
                <w:sz w:val="22"/>
                <w:szCs w:val="24"/>
              </w:rPr>
              <w:t> </w:t>
            </w:r>
          </w:p>
        </w:tc>
        <w:tc>
          <w:tcPr>
            <w:tcW w:w="8794" w:type="dxa"/>
            <w:shd w:val="clear" w:color="auto" w:fill="D0DEFF" w:themeFill="text2" w:themeFillTint="1A"/>
            <w:hideMark/>
          </w:tcPr>
          <w:p w14:paraId="772263C3" w14:textId="4BB07A71" w:rsidR="001F27CB" w:rsidRPr="00EC59B0" w:rsidRDefault="001F27CB" w:rsidP="001F27CB">
            <w:pPr>
              <w:spacing w:before="108" w:after="74"/>
              <w:rPr>
                <w:b/>
                <w:bCs/>
                <w:color w:val="auto"/>
                <w:sz w:val="22"/>
                <w:szCs w:val="24"/>
              </w:rPr>
            </w:pPr>
            <w:r w:rsidRPr="00EC59B0">
              <w:rPr>
                <w:rFonts w:eastAsia="Calibri" w:cs="Arial"/>
                <w:b/>
                <w:bCs/>
                <w:color w:val="auto"/>
                <w:sz w:val="22"/>
                <w:szCs w:val="22"/>
              </w:rPr>
              <w:t>What are the challenges in developing and sustaining innovative qualifications, pathways and practices that span across the VET and higher education sectors? What does each sector need from government(s) to support their development and sustainability?</w:t>
            </w:r>
          </w:p>
        </w:tc>
      </w:tr>
      <w:tr w:rsidR="00E72E59" w:rsidRPr="000A48F9" w14:paraId="2CEB419B" w14:textId="77777777" w:rsidTr="00D471DE">
        <w:trPr>
          <w:trHeight w:val="300"/>
        </w:trPr>
        <w:tc>
          <w:tcPr>
            <w:tcW w:w="704" w:type="dxa"/>
            <w:shd w:val="clear" w:color="auto" w:fill="D0DEFF" w:themeFill="text2" w:themeFillTint="1A"/>
            <w:hideMark/>
          </w:tcPr>
          <w:p w14:paraId="052BE79E" w14:textId="7041909A" w:rsidR="001F27CB" w:rsidRPr="000A48F9" w:rsidRDefault="001F27CB" w:rsidP="001F27CB">
            <w:pPr>
              <w:spacing w:before="108" w:after="74"/>
              <w:rPr>
                <w:color w:val="auto"/>
                <w:sz w:val="22"/>
                <w:szCs w:val="24"/>
              </w:rPr>
            </w:pPr>
            <w:r w:rsidRPr="000A48F9">
              <w:rPr>
                <w:b/>
                <w:bCs/>
                <w:color w:val="auto"/>
                <w:sz w:val="22"/>
                <w:szCs w:val="24"/>
              </w:rPr>
              <w:t>Q</w:t>
            </w:r>
            <w:r w:rsidR="00D471DE">
              <w:rPr>
                <w:b/>
                <w:bCs/>
                <w:color w:val="auto"/>
                <w:sz w:val="22"/>
                <w:szCs w:val="24"/>
              </w:rPr>
              <w:t>9</w:t>
            </w:r>
            <w:r w:rsidRPr="000A48F9">
              <w:rPr>
                <w:color w:val="auto"/>
                <w:sz w:val="22"/>
                <w:szCs w:val="24"/>
              </w:rPr>
              <w:t> </w:t>
            </w:r>
          </w:p>
        </w:tc>
        <w:tc>
          <w:tcPr>
            <w:tcW w:w="8794" w:type="dxa"/>
            <w:shd w:val="clear" w:color="auto" w:fill="D0DEFF" w:themeFill="text2" w:themeFillTint="1A"/>
            <w:hideMark/>
          </w:tcPr>
          <w:p w14:paraId="00613999" w14:textId="5C56A45E" w:rsidR="001F27CB" w:rsidRPr="00EC59B0" w:rsidRDefault="001F27CB" w:rsidP="001F27CB">
            <w:pPr>
              <w:spacing w:before="108" w:after="74"/>
              <w:rPr>
                <w:b/>
                <w:bCs/>
                <w:color w:val="auto"/>
                <w:sz w:val="22"/>
                <w:szCs w:val="24"/>
              </w:rPr>
            </w:pPr>
            <w:r w:rsidRPr="00EC59B0">
              <w:rPr>
                <w:b/>
                <w:bCs/>
                <w:color w:val="auto"/>
                <w:sz w:val="22"/>
                <w:szCs w:val="24"/>
              </w:rPr>
              <w:t>In which geographical locations, fields of education, industries or occupations would dual sector models be best suited? </w:t>
            </w:r>
            <w:r w:rsidR="00945644" w:rsidRPr="00EC59B0">
              <w:rPr>
                <w:rFonts w:eastAsia="Arial"/>
                <w:b/>
                <w:bCs/>
                <w:sz w:val="22"/>
                <w:szCs w:val="22"/>
              </w:rPr>
              <w:t>What are examples of work underway?</w:t>
            </w:r>
          </w:p>
        </w:tc>
      </w:tr>
    </w:tbl>
    <w:p w14:paraId="441EE054" w14:textId="77777777" w:rsidR="0085475D" w:rsidRDefault="0085475D" w:rsidP="0085475D">
      <w:pPr>
        <w:pStyle w:val="Heading3"/>
      </w:pPr>
      <w:bookmarkStart w:id="5" w:name="_Toc229643952"/>
      <w:r>
        <w:t>Next steps and reform opportunities</w:t>
      </w:r>
      <w:bookmarkEnd w:id="5"/>
    </w:p>
    <w:p w14:paraId="6F90C7F6" w14:textId="77777777" w:rsidR="0085475D" w:rsidRDefault="0085475D" w:rsidP="0085475D">
      <w:pPr>
        <w:rPr>
          <w:rFonts w:eastAsia="Arial"/>
        </w:rPr>
      </w:pPr>
      <w:r w:rsidRPr="0F32B4E8">
        <w:rPr>
          <w:rFonts w:eastAsia="Arial" w:cs="Arial"/>
        </w:rPr>
        <w:t xml:space="preserve">The Tertiary Roadmap is intended to set out an ambitious but achievable shared agenda to realise a more joined-up tertiary education system. Through the Roadmap, the ATEC will identify the next steps to better support students to move into and between the VET and higher education sectors, and ensure the tertiary system is set up to help learners gain qualifications that match current and future workforce needs. </w:t>
      </w:r>
    </w:p>
    <w:tbl>
      <w:tblPr>
        <w:tblStyle w:val="TableGrid10"/>
        <w:tblW w:w="9498" w:type="dxa"/>
        <w:shd w:val="clear" w:color="auto" w:fill="D0DEFF" w:themeFill="text2" w:themeFillTint="1A"/>
        <w:tblLook w:val="04A0" w:firstRow="1" w:lastRow="0" w:firstColumn="1" w:lastColumn="0" w:noHBand="0" w:noVBand="1"/>
      </w:tblPr>
      <w:tblGrid>
        <w:gridCol w:w="704"/>
        <w:gridCol w:w="8794"/>
      </w:tblGrid>
      <w:tr w:rsidR="00E72E59" w:rsidRPr="000A48F9" w14:paraId="415018A9" w14:textId="77777777" w:rsidTr="00D471DE">
        <w:trPr>
          <w:cnfStyle w:val="100000000000" w:firstRow="1" w:lastRow="0" w:firstColumn="0" w:lastColumn="0" w:oddVBand="0" w:evenVBand="0" w:oddHBand="0" w:evenHBand="0" w:firstRowFirstColumn="0" w:firstRowLastColumn="0" w:lastRowFirstColumn="0" w:lastRowLastColumn="0"/>
          <w:trHeight w:val="300"/>
        </w:trPr>
        <w:tc>
          <w:tcPr>
            <w:tcW w:w="704" w:type="dxa"/>
            <w:shd w:val="clear" w:color="auto" w:fill="D0DEFF" w:themeFill="text2" w:themeFillTint="1A"/>
          </w:tcPr>
          <w:p w14:paraId="190F54EB" w14:textId="77777777" w:rsidR="00D471DE" w:rsidRPr="000A48F9" w:rsidRDefault="00D471DE">
            <w:pPr>
              <w:spacing w:before="108" w:after="74"/>
              <w:rPr>
                <w:b w:val="0"/>
                <w:color w:val="auto"/>
                <w:sz w:val="22"/>
                <w:szCs w:val="24"/>
              </w:rPr>
            </w:pPr>
          </w:p>
        </w:tc>
        <w:tc>
          <w:tcPr>
            <w:tcW w:w="8794" w:type="dxa"/>
            <w:shd w:val="clear" w:color="auto" w:fill="D0DEFF" w:themeFill="text2" w:themeFillTint="1A"/>
          </w:tcPr>
          <w:p w14:paraId="7C3967CD" w14:textId="77777777" w:rsidR="00D471DE" w:rsidRPr="000A48F9" w:rsidRDefault="00D471DE">
            <w:pPr>
              <w:spacing w:before="108" w:after="74"/>
              <w:rPr>
                <w:color w:val="auto"/>
                <w:sz w:val="22"/>
                <w:szCs w:val="24"/>
              </w:rPr>
            </w:pPr>
            <w:r w:rsidRPr="000A48F9">
              <w:rPr>
                <w:color w:val="auto"/>
                <w:sz w:val="22"/>
                <w:szCs w:val="24"/>
              </w:rPr>
              <w:t>Discussion Questions</w:t>
            </w:r>
          </w:p>
        </w:tc>
      </w:tr>
      <w:tr w:rsidR="00E72E59" w:rsidRPr="000A48F9" w14:paraId="5762082C" w14:textId="77777777" w:rsidTr="00D471DE">
        <w:trPr>
          <w:trHeight w:val="300"/>
        </w:trPr>
        <w:tc>
          <w:tcPr>
            <w:tcW w:w="704" w:type="dxa"/>
            <w:shd w:val="clear" w:color="auto" w:fill="D0DEFF" w:themeFill="text2" w:themeFillTint="1A"/>
            <w:hideMark/>
          </w:tcPr>
          <w:p w14:paraId="38CEE888" w14:textId="68385EC6" w:rsidR="00D471DE" w:rsidRPr="000A48F9" w:rsidRDefault="00D471DE" w:rsidP="00D471DE">
            <w:pPr>
              <w:spacing w:before="108" w:after="74"/>
              <w:rPr>
                <w:b/>
                <w:bCs/>
                <w:color w:val="auto"/>
                <w:sz w:val="22"/>
                <w:szCs w:val="24"/>
              </w:rPr>
            </w:pPr>
            <w:r w:rsidRPr="001B340A">
              <w:rPr>
                <w:b/>
                <w:bCs/>
                <w:color w:val="auto"/>
                <w:sz w:val="22"/>
                <w:szCs w:val="24"/>
              </w:rPr>
              <w:t>Q10 </w:t>
            </w:r>
          </w:p>
        </w:tc>
        <w:tc>
          <w:tcPr>
            <w:tcW w:w="8794" w:type="dxa"/>
            <w:shd w:val="clear" w:color="auto" w:fill="D0DEFF" w:themeFill="text2" w:themeFillTint="1A"/>
            <w:hideMark/>
          </w:tcPr>
          <w:p w14:paraId="74BB7AC7" w14:textId="5DC5ED71" w:rsidR="00D471DE" w:rsidRPr="00EC59B0" w:rsidRDefault="00D471DE" w:rsidP="00D471DE">
            <w:pPr>
              <w:spacing w:before="108" w:after="74"/>
              <w:rPr>
                <w:b/>
                <w:bCs/>
                <w:color w:val="auto"/>
                <w:sz w:val="22"/>
                <w:szCs w:val="22"/>
              </w:rPr>
            </w:pPr>
            <w:r w:rsidRPr="00EC59B0">
              <w:rPr>
                <w:b/>
                <w:bCs/>
                <w:color w:val="auto"/>
                <w:sz w:val="22"/>
                <w:szCs w:val="22"/>
              </w:rPr>
              <w:t xml:space="preserve">What does an ideal joined-up tertiary system look like? </w:t>
            </w:r>
          </w:p>
        </w:tc>
      </w:tr>
      <w:tr w:rsidR="00E72E59" w:rsidRPr="000A48F9" w14:paraId="4FE02753" w14:textId="77777777" w:rsidTr="00D471DE">
        <w:trPr>
          <w:trHeight w:val="315"/>
        </w:trPr>
        <w:tc>
          <w:tcPr>
            <w:tcW w:w="704" w:type="dxa"/>
            <w:shd w:val="clear" w:color="auto" w:fill="D0DEFF" w:themeFill="text2" w:themeFillTint="1A"/>
            <w:hideMark/>
          </w:tcPr>
          <w:p w14:paraId="66E05EC4" w14:textId="77FECC3C" w:rsidR="00D471DE" w:rsidRPr="000A48F9" w:rsidRDefault="00D471DE" w:rsidP="00D471DE">
            <w:pPr>
              <w:spacing w:before="108" w:after="74"/>
              <w:rPr>
                <w:color w:val="auto"/>
                <w:sz w:val="22"/>
                <w:szCs w:val="24"/>
              </w:rPr>
            </w:pPr>
            <w:r w:rsidRPr="001B340A">
              <w:rPr>
                <w:b/>
                <w:bCs/>
                <w:color w:val="auto"/>
                <w:sz w:val="22"/>
                <w:szCs w:val="24"/>
              </w:rPr>
              <w:t>Q11</w:t>
            </w:r>
            <w:r w:rsidRPr="001B340A">
              <w:rPr>
                <w:color w:val="auto"/>
                <w:sz w:val="22"/>
                <w:szCs w:val="24"/>
              </w:rPr>
              <w:t> </w:t>
            </w:r>
          </w:p>
        </w:tc>
        <w:tc>
          <w:tcPr>
            <w:tcW w:w="8794" w:type="dxa"/>
            <w:shd w:val="clear" w:color="auto" w:fill="D0DEFF" w:themeFill="text2" w:themeFillTint="1A"/>
            <w:hideMark/>
          </w:tcPr>
          <w:p w14:paraId="48A07CCA" w14:textId="39E76C19" w:rsidR="00D471DE" w:rsidRPr="00EC59B0" w:rsidRDefault="00D471DE" w:rsidP="00D471DE">
            <w:pPr>
              <w:spacing w:before="108" w:after="74"/>
              <w:rPr>
                <w:b/>
                <w:bCs/>
                <w:color w:val="auto"/>
                <w:sz w:val="22"/>
                <w:szCs w:val="24"/>
              </w:rPr>
            </w:pPr>
            <w:r w:rsidRPr="00EC59B0">
              <w:rPr>
                <w:b/>
                <w:bCs/>
                <w:color w:val="auto"/>
                <w:sz w:val="22"/>
                <w:szCs w:val="24"/>
              </w:rPr>
              <w:t>Which reform opportunities should be prioritised and why? Which ones are likely to have the highest impact? Are there any gaps that should be considered? </w:t>
            </w:r>
          </w:p>
        </w:tc>
      </w:tr>
      <w:tr w:rsidR="00E37CC5" w:rsidRPr="000A48F9" w14:paraId="03E1B727" w14:textId="77777777" w:rsidTr="00D471DE">
        <w:trPr>
          <w:trHeight w:val="315"/>
        </w:trPr>
        <w:tc>
          <w:tcPr>
            <w:tcW w:w="704" w:type="dxa"/>
            <w:shd w:val="clear" w:color="auto" w:fill="D0DEFF" w:themeFill="text2" w:themeFillTint="1A"/>
          </w:tcPr>
          <w:p w14:paraId="3BBEED6F" w14:textId="39E4EF09" w:rsidR="00E37CC5" w:rsidRPr="001B340A" w:rsidRDefault="00E37CC5" w:rsidP="00D471DE">
            <w:pPr>
              <w:spacing w:before="108" w:after="74"/>
              <w:rPr>
                <w:b/>
                <w:bCs/>
                <w:color w:val="auto"/>
                <w:sz w:val="22"/>
                <w:szCs w:val="24"/>
              </w:rPr>
            </w:pPr>
            <w:r>
              <w:rPr>
                <w:b/>
                <w:bCs/>
                <w:color w:val="auto"/>
                <w:sz w:val="22"/>
                <w:szCs w:val="24"/>
              </w:rPr>
              <w:t>Q12</w:t>
            </w:r>
          </w:p>
        </w:tc>
        <w:tc>
          <w:tcPr>
            <w:tcW w:w="8794" w:type="dxa"/>
            <w:shd w:val="clear" w:color="auto" w:fill="D0DEFF" w:themeFill="text2" w:themeFillTint="1A"/>
          </w:tcPr>
          <w:p w14:paraId="26A7868E" w14:textId="3246B101" w:rsidR="00E37CC5" w:rsidRPr="00EC59B0" w:rsidRDefault="007664E3" w:rsidP="00D471DE">
            <w:pPr>
              <w:spacing w:before="108" w:after="74"/>
              <w:rPr>
                <w:b/>
                <w:bCs/>
                <w:color w:val="auto"/>
                <w:sz w:val="22"/>
                <w:szCs w:val="24"/>
              </w:rPr>
            </w:pPr>
            <w:r w:rsidRPr="007664E3">
              <w:rPr>
                <w:b/>
                <w:bCs/>
                <w:color w:val="auto"/>
                <w:sz w:val="22"/>
                <w:szCs w:val="24"/>
              </w:rPr>
              <w:t>What opportunities are there to improve Australia’s data and information systems to better support learner pathways and outcome measurement across VET and higher education?</w:t>
            </w:r>
          </w:p>
        </w:tc>
      </w:tr>
    </w:tbl>
    <w:p w14:paraId="3531D90A" w14:textId="77777777" w:rsidR="00337D4E" w:rsidRDefault="00337D4E" w:rsidP="00FC3623">
      <w:pPr>
        <w:pStyle w:val="BodyText"/>
        <w:sectPr w:rsidR="00337D4E" w:rsidSect="00FE48F1">
          <w:pgSz w:w="11907" w:h="16839" w:code="9"/>
          <w:pgMar w:top="1077" w:right="1134" w:bottom="1134" w:left="1134" w:header="567" w:footer="805" w:gutter="0"/>
          <w:cols w:space="708"/>
          <w:docGrid w:linePitch="360"/>
        </w:sectPr>
      </w:pPr>
    </w:p>
    <w:p w14:paraId="37BD809E" w14:textId="08EC33E3" w:rsidR="00337D4E" w:rsidRDefault="00337D4E" w:rsidP="00FC3623">
      <w:pPr>
        <w:pStyle w:val="BodyText"/>
      </w:pPr>
    </w:p>
    <w:p w14:paraId="6CE1350B" w14:textId="30BF58C6" w:rsidR="004A3646" w:rsidRPr="00A12D90" w:rsidRDefault="004A3646" w:rsidP="00A12D90">
      <w:pPr>
        <w:pStyle w:val="Heading1"/>
        <w:numPr>
          <w:ilvl w:val="0"/>
          <w:numId w:val="14"/>
        </w:numPr>
        <w:spacing w:before="160" w:after="80" w:line="259" w:lineRule="auto"/>
      </w:pPr>
      <w:bookmarkStart w:id="6" w:name="_Toc229643953"/>
      <w:r w:rsidRPr="00A12D90">
        <w:t>Introduction</w:t>
      </w:r>
      <w:bookmarkEnd w:id="6"/>
    </w:p>
    <w:p w14:paraId="60ECF84D" w14:textId="01B70A52" w:rsidR="00D567BC" w:rsidRPr="008C4640" w:rsidRDefault="00493E3F" w:rsidP="00AC7E45">
      <w:pPr>
        <w:pStyle w:val="Heading2"/>
        <w:numPr>
          <w:ilvl w:val="1"/>
          <w:numId w:val="14"/>
        </w:numPr>
        <w:spacing w:before="160" w:after="80"/>
        <w:ind w:left="851" w:hanging="851"/>
      </w:pPr>
      <w:bookmarkStart w:id="7" w:name="_Toc229643954"/>
      <w:r w:rsidRPr="008C4640">
        <w:t>A</w:t>
      </w:r>
      <w:r w:rsidR="00C2614F" w:rsidRPr="008C4640">
        <w:t xml:space="preserve"> Roadmap for a </w:t>
      </w:r>
      <w:r w:rsidR="000B382B">
        <w:t>m</w:t>
      </w:r>
      <w:r w:rsidR="00C2614F" w:rsidRPr="008C4640">
        <w:t xml:space="preserve">ore </w:t>
      </w:r>
      <w:r w:rsidR="005A4B7C">
        <w:t>joined-up</w:t>
      </w:r>
      <w:r w:rsidR="00C2614F" w:rsidRPr="008C4640">
        <w:t xml:space="preserve"> </w:t>
      </w:r>
      <w:r w:rsidR="000B382B">
        <w:t>t</w:t>
      </w:r>
      <w:r w:rsidR="00C2614F" w:rsidRPr="008C4640">
        <w:t xml:space="preserve">ertiary </w:t>
      </w:r>
      <w:r w:rsidR="000B382B">
        <w:t>s</w:t>
      </w:r>
      <w:r w:rsidR="00C2614F" w:rsidRPr="008C4640">
        <w:t>ystem</w:t>
      </w:r>
      <w:bookmarkEnd w:id="7"/>
      <w:r w:rsidR="00D567BC" w:rsidRPr="008C4640">
        <w:t xml:space="preserve"> </w:t>
      </w:r>
    </w:p>
    <w:p w14:paraId="25956228" w14:textId="62B0B9A4" w:rsidR="001A51E8" w:rsidRPr="008C4640" w:rsidRDefault="0DB540F1" w:rsidP="004276FE">
      <w:pPr>
        <w:rPr>
          <w:rFonts w:eastAsia="Aptos"/>
        </w:rPr>
      </w:pPr>
      <w:r w:rsidRPr="2FA7EA3F">
        <w:rPr>
          <w:rFonts w:eastAsia="Aptos"/>
        </w:rPr>
        <w:t>Tertiary education underpins Australia’s prosperity</w:t>
      </w:r>
      <w:r w:rsidR="00EF598F">
        <w:rPr>
          <w:rFonts w:eastAsia="Aptos"/>
        </w:rPr>
        <w:t xml:space="preserve"> by enhancing the value of </w:t>
      </w:r>
      <w:r w:rsidR="00EF598F" w:rsidRPr="522F23ED">
        <w:rPr>
          <w:rFonts w:eastAsia="Aptos"/>
        </w:rPr>
        <w:t>a</w:t>
      </w:r>
      <w:r w:rsidR="0C03BAFE" w:rsidRPr="522F23ED">
        <w:rPr>
          <w:rFonts w:eastAsia="Aptos"/>
        </w:rPr>
        <w:t>n individual’s</w:t>
      </w:r>
      <w:r w:rsidR="00EF598F">
        <w:rPr>
          <w:rFonts w:eastAsia="Aptos"/>
        </w:rPr>
        <w:t xml:space="preserve"> skills and experie</w:t>
      </w:r>
      <w:r w:rsidR="00BE70B6">
        <w:rPr>
          <w:rFonts w:eastAsia="Aptos"/>
        </w:rPr>
        <w:t>nce</w:t>
      </w:r>
      <w:r w:rsidR="00BE70B6" w:rsidRPr="522F23ED">
        <w:rPr>
          <w:rFonts w:eastAsia="Aptos"/>
        </w:rPr>
        <w:t>.</w:t>
      </w:r>
      <w:r w:rsidRPr="2FA7EA3F" w:rsidDel="00665C56">
        <w:rPr>
          <w:rFonts w:eastAsia="Aptos"/>
        </w:rPr>
        <w:t xml:space="preserve"> </w:t>
      </w:r>
      <w:r w:rsidR="0024128F">
        <w:rPr>
          <w:rFonts w:eastAsia="Aptos"/>
        </w:rPr>
        <w:t>A strong tertiary education system helps</w:t>
      </w:r>
      <w:r w:rsidR="00C64CB9">
        <w:rPr>
          <w:rFonts w:eastAsia="Aptos"/>
        </w:rPr>
        <w:t xml:space="preserve"> ensure that the </w:t>
      </w:r>
      <w:r w:rsidR="00AA6077">
        <w:rPr>
          <w:rFonts w:eastAsia="Aptos"/>
        </w:rPr>
        <w:t xml:space="preserve">labour market is equipped with the skills needed </w:t>
      </w:r>
      <w:r w:rsidR="00AA6077" w:rsidRPr="2FA7EA3F">
        <w:rPr>
          <w:rFonts w:eastAsia="Aptos"/>
        </w:rPr>
        <w:t>in a rapidly changing world.</w:t>
      </w:r>
      <w:r w:rsidR="00AA6077">
        <w:rPr>
          <w:rFonts w:eastAsia="Aptos"/>
        </w:rPr>
        <w:t xml:space="preserve"> </w:t>
      </w:r>
      <w:r w:rsidR="0FF1453A" w:rsidRPr="2FA7EA3F">
        <w:rPr>
          <w:rFonts w:eastAsia="Aptos"/>
        </w:rPr>
        <w:t>For individual</w:t>
      </w:r>
      <w:r w:rsidR="004B00D2" w:rsidRPr="2FA7EA3F">
        <w:rPr>
          <w:rFonts w:eastAsia="Aptos"/>
        </w:rPr>
        <w:t>s</w:t>
      </w:r>
      <w:r w:rsidR="0FF1453A" w:rsidRPr="2FA7EA3F">
        <w:rPr>
          <w:rFonts w:eastAsia="Aptos"/>
        </w:rPr>
        <w:t>, te</w:t>
      </w:r>
      <w:r w:rsidR="05EB3F57" w:rsidRPr="2FA7EA3F">
        <w:rPr>
          <w:rFonts w:eastAsia="Aptos"/>
        </w:rPr>
        <w:t>rtiary education</w:t>
      </w:r>
      <w:r w:rsidR="14A7C0F6" w:rsidRPr="2FA7EA3F">
        <w:rPr>
          <w:rFonts w:eastAsia="Aptos"/>
        </w:rPr>
        <w:t xml:space="preserve"> promotes the acquisition of</w:t>
      </w:r>
      <w:r w:rsidR="46B9B46C" w:rsidRPr="2FA7EA3F">
        <w:rPr>
          <w:rFonts w:eastAsia="Aptos"/>
        </w:rPr>
        <w:t xml:space="preserve"> higher</w:t>
      </w:r>
      <w:r w:rsidR="004B00D2" w:rsidRPr="2FA7EA3F">
        <w:rPr>
          <w:rFonts w:eastAsia="Aptos"/>
        </w:rPr>
        <w:t xml:space="preserve">-level </w:t>
      </w:r>
      <w:r w:rsidR="46B9B46C" w:rsidRPr="2FA7EA3F">
        <w:rPr>
          <w:rFonts w:eastAsia="Aptos"/>
        </w:rPr>
        <w:t>skills, lead</w:t>
      </w:r>
      <w:r w:rsidRPr="2FA7EA3F">
        <w:rPr>
          <w:rFonts w:eastAsia="Aptos"/>
        </w:rPr>
        <w:t>ing</w:t>
      </w:r>
      <w:r w:rsidR="46B9B46C" w:rsidRPr="2FA7EA3F">
        <w:rPr>
          <w:rFonts w:eastAsia="Aptos"/>
        </w:rPr>
        <w:t xml:space="preserve"> to higher employment</w:t>
      </w:r>
      <w:r w:rsidR="540B9903" w:rsidRPr="2FA7EA3F">
        <w:rPr>
          <w:rFonts w:eastAsia="Aptos"/>
        </w:rPr>
        <w:t xml:space="preserve"> </w:t>
      </w:r>
      <w:r w:rsidR="00A9718F" w:rsidRPr="2FA7EA3F">
        <w:rPr>
          <w:rFonts w:eastAsia="Aptos"/>
        </w:rPr>
        <w:t xml:space="preserve">rates </w:t>
      </w:r>
      <w:r w:rsidR="540B9903" w:rsidRPr="2FA7EA3F">
        <w:rPr>
          <w:rFonts w:eastAsia="Aptos"/>
        </w:rPr>
        <w:t>and lifetime earnings</w:t>
      </w:r>
      <w:r w:rsidR="329125A8" w:rsidRPr="2FA7EA3F">
        <w:rPr>
          <w:rFonts w:eastAsia="Aptos"/>
        </w:rPr>
        <w:t xml:space="preserve"> (</w:t>
      </w:r>
      <w:r w:rsidR="3A608233" w:rsidRPr="2FA7EA3F">
        <w:rPr>
          <w:rFonts w:eastAsia="Aptos"/>
        </w:rPr>
        <w:t>OECD</w:t>
      </w:r>
      <w:r w:rsidR="329125A8" w:rsidRPr="2FA7EA3F">
        <w:rPr>
          <w:rFonts w:eastAsia="Aptos"/>
        </w:rPr>
        <w:t xml:space="preserve"> 20</w:t>
      </w:r>
      <w:r w:rsidR="3A608233" w:rsidRPr="2FA7EA3F">
        <w:rPr>
          <w:rFonts w:eastAsia="Aptos"/>
        </w:rPr>
        <w:t>18</w:t>
      </w:r>
      <w:r w:rsidR="7D3CFAE1" w:rsidRPr="2FA7EA3F">
        <w:rPr>
          <w:rFonts w:eastAsia="Aptos"/>
        </w:rPr>
        <w:t>)</w:t>
      </w:r>
      <w:r w:rsidR="0024128F">
        <w:rPr>
          <w:rFonts w:eastAsia="Aptos"/>
        </w:rPr>
        <w:t xml:space="preserve">. </w:t>
      </w:r>
    </w:p>
    <w:p w14:paraId="797F0C9B" w14:textId="60DC1790" w:rsidR="004276FE" w:rsidRPr="008C4640" w:rsidRDefault="004276FE" w:rsidP="004276FE">
      <w:pPr>
        <w:rPr>
          <w:rFonts w:eastAsia="Aptos"/>
        </w:rPr>
      </w:pPr>
      <w:r w:rsidRPr="008C4640">
        <w:rPr>
          <w:rFonts w:eastAsia="Aptos"/>
        </w:rPr>
        <w:t xml:space="preserve">The tertiary education system </w:t>
      </w:r>
      <w:r w:rsidR="0055361E">
        <w:rPr>
          <w:rFonts w:eastAsia="Aptos"/>
        </w:rPr>
        <w:t>includes</w:t>
      </w:r>
      <w:r w:rsidRPr="008C4640">
        <w:rPr>
          <w:rFonts w:eastAsia="Aptos"/>
        </w:rPr>
        <w:t xml:space="preserve"> all post-secondary education, spanning full qualifications</w:t>
      </w:r>
      <w:r w:rsidR="00D05C43">
        <w:rPr>
          <w:rFonts w:eastAsia="Aptos"/>
        </w:rPr>
        <w:t>,</w:t>
      </w:r>
      <w:r w:rsidRPr="008C4640" w:rsidDel="00D05C43">
        <w:rPr>
          <w:rFonts w:eastAsia="Aptos"/>
        </w:rPr>
        <w:t xml:space="preserve"> </w:t>
      </w:r>
      <w:r w:rsidRPr="008C4640">
        <w:rPr>
          <w:rFonts w:eastAsia="Aptos"/>
        </w:rPr>
        <w:t xml:space="preserve">short courses, microcredentials, and skill sets from both the vocational education and training (VET) and higher education sectors. </w:t>
      </w:r>
    </w:p>
    <w:p w14:paraId="1A138368" w14:textId="601814CC" w:rsidR="004276FE" w:rsidRPr="008C4640" w:rsidRDefault="0DB540F1" w:rsidP="247AE7F1">
      <w:pPr>
        <w:rPr>
          <w:rFonts w:cstheme="minorBidi"/>
        </w:rPr>
      </w:pPr>
      <w:r w:rsidRPr="247AE7F1">
        <w:rPr>
          <w:rFonts w:eastAsia="Aptos" w:cstheme="minorBidi"/>
        </w:rPr>
        <w:t xml:space="preserve">According to the Productivity Commission, </w:t>
      </w:r>
      <w:r w:rsidRPr="247AE7F1">
        <w:rPr>
          <w:rFonts w:cstheme="minorBidi"/>
        </w:rPr>
        <w:t xml:space="preserve">growth in educational attainment has been a major contributor to Australia’s productivity growth with </w:t>
      </w:r>
      <w:r w:rsidR="00553A73" w:rsidRPr="247AE7F1">
        <w:rPr>
          <w:rFonts w:cstheme="minorBidi"/>
        </w:rPr>
        <w:t xml:space="preserve">more than </w:t>
      </w:r>
      <w:r w:rsidRPr="247AE7F1">
        <w:rPr>
          <w:rFonts w:cstheme="minorBidi"/>
        </w:rPr>
        <w:t>half of 25–34-year-olds holding a tertiary qualification</w:t>
      </w:r>
      <w:r w:rsidR="67F673A0" w:rsidRPr="247AE7F1">
        <w:rPr>
          <w:rFonts w:cstheme="minorBidi"/>
        </w:rPr>
        <w:t xml:space="preserve"> (PC</w:t>
      </w:r>
      <w:r w:rsidR="00D12955" w:rsidRPr="247AE7F1">
        <w:rPr>
          <w:rFonts w:cstheme="minorBidi"/>
        </w:rPr>
        <w:t> </w:t>
      </w:r>
      <w:r w:rsidR="67F673A0" w:rsidRPr="247AE7F1">
        <w:rPr>
          <w:rFonts w:cstheme="minorBidi"/>
        </w:rPr>
        <w:t>2023</w:t>
      </w:r>
      <w:r w:rsidR="00233BB9" w:rsidRPr="247AE7F1">
        <w:rPr>
          <w:rFonts w:cstheme="minorBidi"/>
        </w:rPr>
        <w:t>)</w:t>
      </w:r>
      <w:r w:rsidR="67F673A0" w:rsidRPr="247AE7F1">
        <w:rPr>
          <w:rFonts w:cstheme="minorBidi"/>
        </w:rPr>
        <w:t>.</w:t>
      </w:r>
      <w:r w:rsidRPr="247AE7F1">
        <w:rPr>
          <w:rFonts w:cstheme="minorBidi"/>
        </w:rPr>
        <w:t xml:space="preserve"> </w:t>
      </w:r>
      <w:r w:rsidR="3E53E74C" w:rsidRPr="247AE7F1">
        <w:rPr>
          <w:rFonts w:cstheme="minorBidi"/>
        </w:rPr>
        <w:t>G</w:t>
      </w:r>
      <w:r w:rsidRPr="247AE7F1">
        <w:rPr>
          <w:rFonts w:cstheme="minorBidi"/>
        </w:rPr>
        <w:t xml:space="preserve">rowth in labour productivity has accounted for around 70% of </w:t>
      </w:r>
      <w:r w:rsidR="00553A73" w:rsidRPr="247AE7F1">
        <w:rPr>
          <w:rFonts w:cstheme="minorBidi"/>
        </w:rPr>
        <w:t xml:space="preserve">the </w:t>
      </w:r>
      <w:r w:rsidR="00F55179" w:rsidRPr="247AE7F1">
        <w:rPr>
          <w:rFonts w:cstheme="minorBidi"/>
        </w:rPr>
        <w:t>increase in</w:t>
      </w:r>
      <w:r w:rsidRPr="247AE7F1">
        <w:rPr>
          <w:rFonts w:cstheme="minorBidi"/>
        </w:rPr>
        <w:t xml:space="preserve"> real gross national income per person in Australia over the last 30 years</w:t>
      </w:r>
      <w:r w:rsidR="67F673A0" w:rsidRPr="247AE7F1">
        <w:rPr>
          <w:rFonts w:cstheme="minorBidi"/>
        </w:rPr>
        <w:t xml:space="preserve"> (Treasury 2023)</w:t>
      </w:r>
      <w:r w:rsidRPr="247AE7F1">
        <w:rPr>
          <w:rFonts w:cstheme="minorBidi"/>
        </w:rPr>
        <w:t xml:space="preserve">. </w:t>
      </w:r>
    </w:p>
    <w:p w14:paraId="21DC352D" w14:textId="5EBF2224" w:rsidR="00AF46BB" w:rsidRPr="008C4640" w:rsidRDefault="0DB540F1" w:rsidP="6D76A63C">
      <w:pPr>
        <w:rPr>
          <w:rFonts w:eastAsia="Arial Nova" w:cstheme="minorBidi"/>
        </w:rPr>
      </w:pPr>
      <w:r w:rsidRPr="6D76A63C">
        <w:rPr>
          <w:rFonts w:eastAsia="Arial Nova" w:cstheme="minorBidi"/>
        </w:rPr>
        <w:t xml:space="preserve">Analysis commissioned by Jobs and Skills Australia (JSA) indicates </w:t>
      </w:r>
      <w:r w:rsidR="0017484F">
        <w:rPr>
          <w:rFonts w:eastAsia="Arial Nova" w:cstheme="minorBidi"/>
        </w:rPr>
        <w:t xml:space="preserve">that </w:t>
      </w:r>
      <w:r w:rsidRPr="6D76A63C">
        <w:rPr>
          <w:rFonts w:eastAsia="Arial Nova" w:cstheme="minorBidi"/>
        </w:rPr>
        <w:t xml:space="preserve">over the next 10 years, more than 9 out of 10 new jobs (around 92%) will require </w:t>
      </w:r>
      <w:r w:rsidR="00E2451A">
        <w:rPr>
          <w:rFonts w:eastAsia="Arial Nova" w:cstheme="minorBidi"/>
        </w:rPr>
        <w:t xml:space="preserve">skills </w:t>
      </w:r>
      <w:r w:rsidR="00E2451A" w:rsidDel="00F90BA9">
        <w:rPr>
          <w:rFonts w:eastAsia="Arial Nova" w:cstheme="minorBidi"/>
        </w:rPr>
        <w:t>commensurate</w:t>
      </w:r>
      <w:r w:rsidR="00E2451A">
        <w:rPr>
          <w:rFonts w:eastAsia="Arial Nova" w:cstheme="minorBidi"/>
        </w:rPr>
        <w:t xml:space="preserve"> with </w:t>
      </w:r>
      <w:r w:rsidRPr="6D76A63C">
        <w:rPr>
          <w:rFonts w:eastAsia="Arial Nova" w:cstheme="minorBidi"/>
        </w:rPr>
        <w:t>post-secondary qualifications</w:t>
      </w:r>
      <w:r w:rsidR="00C22D0E">
        <w:rPr>
          <w:rFonts w:eastAsia="Arial Nova" w:cstheme="minorBidi"/>
        </w:rPr>
        <w:t xml:space="preserve"> (JSA 2025a)</w:t>
      </w:r>
      <w:r w:rsidRPr="6D76A63C">
        <w:rPr>
          <w:rFonts w:eastAsia="Arial Nova" w:cstheme="minorBidi"/>
        </w:rPr>
        <w:t xml:space="preserve">. Australia will need a tertiary education system that </w:t>
      </w:r>
      <w:r w:rsidRPr="00D353D1" w:rsidDel="00F94209">
        <w:rPr>
          <w:rFonts w:eastAsia="Arial Nova" w:cstheme="minorBidi"/>
        </w:rPr>
        <w:t>encourag</w:t>
      </w:r>
      <w:r w:rsidR="211E413C" w:rsidRPr="00D353D1" w:rsidDel="00F94209">
        <w:rPr>
          <w:rFonts w:eastAsia="Arial Nova" w:cstheme="minorBidi"/>
        </w:rPr>
        <w:t>es</w:t>
      </w:r>
      <w:r w:rsidRPr="6D76A63C" w:rsidDel="00F94209">
        <w:rPr>
          <w:rFonts w:eastAsia="Arial Nova" w:cstheme="minorBidi"/>
        </w:rPr>
        <w:t xml:space="preserve"> </w:t>
      </w:r>
      <w:r w:rsidRPr="6D76A63C">
        <w:rPr>
          <w:rFonts w:eastAsia="Arial Nova" w:cstheme="minorBidi"/>
        </w:rPr>
        <w:t xml:space="preserve">access and participation </w:t>
      </w:r>
      <w:r w:rsidRPr="6D76A63C" w:rsidDel="0072193C">
        <w:rPr>
          <w:rFonts w:eastAsia="Arial Nova" w:cstheme="minorBidi"/>
        </w:rPr>
        <w:t xml:space="preserve">in post-secondary education, </w:t>
      </w:r>
      <w:r w:rsidRPr="6D76A63C">
        <w:rPr>
          <w:rFonts w:eastAsia="Arial Nova" w:cstheme="minorBidi"/>
        </w:rPr>
        <w:t xml:space="preserve">through </w:t>
      </w:r>
      <w:r w:rsidR="3B27EE6B" w:rsidRPr="6D76A63C">
        <w:rPr>
          <w:rFonts w:eastAsia="Arial Nova" w:cstheme="minorBidi"/>
        </w:rPr>
        <w:t xml:space="preserve">both </w:t>
      </w:r>
      <w:r w:rsidRPr="6D76A63C">
        <w:rPr>
          <w:rFonts w:eastAsia="Arial Nova" w:cstheme="minorBidi"/>
        </w:rPr>
        <w:t xml:space="preserve">VET </w:t>
      </w:r>
      <w:r w:rsidR="7DEE68F3" w:rsidRPr="00D353D1">
        <w:rPr>
          <w:rFonts w:eastAsia="Arial Nova" w:cstheme="minorBidi"/>
        </w:rPr>
        <w:t>and</w:t>
      </w:r>
      <w:r w:rsidRPr="00D353D1">
        <w:rPr>
          <w:rFonts w:eastAsia="Arial Nova" w:cstheme="minorBidi"/>
        </w:rPr>
        <w:t xml:space="preserve"> </w:t>
      </w:r>
      <w:r w:rsidRPr="6D76A63C">
        <w:rPr>
          <w:rFonts w:eastAsia="Arial Nova" w:cstheme="minorBidi"/>
        </w:rPr>
        <w:t xml:space="preserve">higher education </w:t>
      </w:r>
      <w:r w:rsidR="0E65728D" w:rsidRPr="00D353D1">
        <w:rPr>
          <w:rFonts w:eastAsia="Arial Nova" w:cstheme="minorBidi"/>
        </w:rPr>
        <w:t>pathways</w:t>
      </w:r>
      <w:r w:rsidR="0095223B">
        <w:rPr>
          <w:rFonts w:eastAsia="Arial Nova" w:cstheme="minorBidi"/>
        </w:rPr>
        <w:t xml:space="preserve">. </w:t>
      </w:r>
    </w:p>
    <w:p w14:paraId="36ED38E6" w14:textId="685A01AE" w:rsidR="00EF6CBE" w:rsidRPr="008C4640" w:rsidRDefault="00DD624E" w:rsidP="00EF6CBE">
      <w:pPr>
        <w:keepNext/>
        <w:tabs>
          <w:tab w:val="left" w:pos="3525"/>
        </w:tabs>
      </w:pPr>
      <w:r>
        <w:rPr>
          <w:rFonts w:eastAsia="Arial Nova" w:cstheme="minorHAnsi"/>
          <w:b/>
          <w:bCs/>
          <w:noProof/>
        </w:rPr>
        <w:drawing>
          <wp:inline distT="0" distB="0" distL="0" distR="0" wp14:anchorId="261287D8" wp14:editId="7B8664AA">
            <wp:extent cx="6132830" cy="2329180"/>
            <wp:effectExtent l="0" t="0" r="1270" b="0"/>
            <wp:docPr id="975906731" name="Picture 1" descr="A bar graph showing the percentage of projected new jobs in the next ten years that are associated with VET, higher education and other education leve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906731" name="Picture 1" descr="A bar graph showing the percentage of projected new jobs in the next ten years that are associated with VET, higher education and other education levels.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32830" cy="2329180"/>
                    </a:xfrm>
                    <a:prstGeom prst="rect">
                      <a:avLst/>
                    </a:prstGeom>
                    <a:noFill/>
                  </pic:spPr>
                </pic:pic>
              </a:graphicData>
            </a:graphic>
          </wp:inline>
        </w:drawing>
      </w:r>
      <w:r w:rsidR="0032490B" w:rsidRPr="008C4640">
        <w:rPr>
          <w:rFonts w:eastAsia="Arial Nova" w:cstheme="minorHAnsi"/>
          <w:b/>
          <w:bCs/>
        </w:rPr>
        <w:tab/>
      </w:r>
    </w:p>
    <w:p w14:paraId="23A70511" w14:textId="1B1F99C5" w:rsidR="00866CA8" w:rsidRPr="008C4640" w:rsidRDefault="00EF6CBE" w:rsidP="00EF6CBE">
      <w:pPr>
        <w:pStyle w:val="Caption"/>
        <w:rPr>
          <w:rFonts w:eastAsia="Arial Nova"/>
        </w:rPr>
      </w:pPr>
      <w:bookmarkStart w:id="8" w:name="_Toc228799275"/>
      <w:r w:rsidRPr="008C4640">
        <w:t xml:space="preserve">Figure </w:t>
      </w:r>
      <w:r w:rsidRPr="008D1A00">
        <w:fldChar w:fldCharType="begin"/>
      </w:r>
      <w:r w:rsidRPr="008C4640">
        <w:instrText xml:space="preserve"> SEQ Figure \* ARABIC </w:instrText>
      </w:r>
      <w:r w:rsidRPr="008D1A00">
        <w:fldChar w:fldCharType="separate"/>
      </w:r>
      <w:r w:rsidR="008645D3">
        <w:rPr>
          <w:noProof/>
        </w:rPr>
        <w:t>1</w:t>
      </w:r>
      <w:r w:rsidRPr="008D1A00">
        <w:fldChar w:fldCharType="end"/>
      </w:r>
      <w:r w:rsidRPr="008C4640">
        <w:t>: Employment Projections</w:t>
      </w:r>
      <w:bookmarkEnd w:id="8"/>
    </w:p>
    <w:p w14:paraId="2BBB62A6" w14:textId="02C557D2" w:rsidR="00EF6CBE" w:rsidRPr="008C4640" w:rsidRDefault="00EF6CBE" w:rsidP="005A75E4">
      <w:pPr>
        <w:pStyle w:val="Source"/>
        <w:rPr>
          <w:rFonts w:eastAsia="Arial Nova"/>
        </w:rPr>
      </w:pPr>
      <w:r w:rsidRPr="008C4640">
        <w:rPr>
          <w:rFonts w:eastAsia="Arial Nova"/>
        </w:rPr>
        <w:t>Jobs and Skills Australia 2025</w:t>
      </w:r>
      <w:r w:rsidR="00C22D0E">
        <w:rPr>
          <w:rFonts w:eastAsia="Arial Nova"/>
        </w:rPr>
        <w:t>a</w:t>
      </w:r>
    </w:p>
    <w:p w14:paraId="343CC777" w14:textId="29F48D98" w:rsidR="004276FE" w:rsidRPr="008C4640" w:rsidRDefault="00F9515C" w:rsidP="6D76A63C">
      <w:r>
        <w:t xml:space="preserve">In response to </w:t>
      </w:r>
      <w:r w:rsidR="0074064A">
        <w:t>the</w:t>
      </w:r>
      <w:r w:rsidR="690675F7">
        <w:t xml:space="preserve"> Australian Universit</w:t>
      </w:r>
      <w:r w:rsidR="00007591">
        <w:t>ies</w:t>
      </w:r>
      <w:r w:rsidR="690675F7">
        <w:t xml:space="preserve"> Accord</w:t>
      </w:r>
      <w:r>
        <w:t>, which</w:t>
      </w:r>
      <w:r w:rsidR="690675F7">
        <w:t xml:space="preserve"> outlined </w:t>
      </w:r>
      <w:r>
        <w:t>the need for</w:t>
      </w:r>
      <w:r w:rsidR="690675F7">
        <w:t xml:space="preserve"> ambitious target</w:t>
      </w:r>
      <w:r>
        <w:t>s in tertiary attainment, the Government committed to a</w:t>
      </w:r>
      <w:r w:rsidR="690675F7">
        <w:t xml:space="preserve"> </w:t>
      </w:r>
      <w:r w:rsidR="0074064A">
        <w:t xml:space="preserve">target of </w:t>
      </w:r>
      <w:r w:rsidR="690675F7">
        <w:t>80% of Australia’s working</w:t>
      </w:r>
      <w:r w:rsidR="007D1C48">
        <w:t>-</w:t>
      </w:r>
      <w:r w:rsidR="690675F7">
        <w:t xml:space="preserve">age population </w:t>
      </w:r>
      <w:r w:rsidR="007D1C48">
        <w:t xml:space="preserve">achieving </w:t>
      </w:r>
      <w:r w:rsidR="6D979722">
        <w:t>a</w:t>
      </w:r>
      <w:r w:rsidR="0095223B">
        <w:t xml:space="preserve"> Certificate III or higher</w:t>
      </w:r>
      <w:r w:rsidR="690675F7">
        <w:t xml:space="preserve"> </w:t>
      </w:r>
      <w:r w:rsidR="48A5013E" w:rsidRPr="00D353D1">
        <w:t>qualification</w:t>
      </w:r>
      <w:r w:rsidR="690675F7">
        <w:t xml:space="preserve"> by 2050</w:t>
      </w:r>
      <w:r w:rsidR="53296A08">
        <w:t xml:space="preserve">. </w:t>
      </w:r>
      <w:r w:rsidR="4A6A5340">
        <w:t xml:space="preserve">To meet </w:t>
      </w:r>
      <w:r w:rsidR="00446CD4">
        <w:t xml:space="preserve">this </w:t>
      </w:r>
      <w:r w:rsidR="4A6A5340">
        <w:t xml:space="preserve">target </w:t>
      </w:r>
      <w:r w:rsidR="006850E4">
        <w:t xml:space="preserve">and current and future </w:t>
      </w:r>
      <w:r w:rsidR="4A6A5340">
        <w:t>skills needs</w:t>
      </w:r>
      <w:r w:rsidR="006850E4">
        <w:t>,</w:t>
      </w:r>
      <w:r w:rsidR="4A6A5340">
        <w:t xml:space="preserve"> more people </w:t>
      </w:r>
      <w:r w:rsidR="002E0F51">
        <w:t>must</w:t>
      </w:r>
      <w:r w:rsidR="4A6A5340">
        <w:t xml:space="preserve"> enter the tertiary education system</w:t>
      </w:r>
      <w:r w:rsidR="4A6A5340" w:rsidRPr="00D353D1">
        <w:t>.</w:t>
      </w:r>
      <w:r w:rsidR="4A6A5340">
        <w:t xml:space="preserve"> A more </w:t>
      </w:r>
      <w:r w:rsidR="005A4B7C">
        <w:t>joined-up</w:t>
      </w:r>
      <w:r w:rsidR="4A6A5340">
        <w:t xml:space="preserve"> tertiary system </w:t>
      </w:r>
      <w:r w:rsidR="6275F2B8">
        <w:t xml:space="preserve">is </w:t>
      </w:r>
      <w:r w:rsidR="002E0F51">
        <w:t>needed</w:t>
      </w:r>
      <w:r w:rsidR="6275F2B8">
        <w:t xml:space="preserve"> to </w:t>
      </w:r>
      <w:r w:rsidR="513B4ABB">
        <w:t xml:space="preserve">open </w:t>
      </w:r>
      <w:r w:rsidR="513B4ABB" w:rsidDel="00A25696">
        <w:t xml:space="preserve">up </w:t>
      </w:r>
      <w:r w:rsidR="513B4ABB">
        <w:t xml:space="preserve">pathways for individuals to </w:t>
      </w:r>
      <w:r w:rsidR="00A25696">
        <w:t xml:space="preserve">gain </w:t>
      </w:r>
      <w:r w:rsidR="6DDA8083">
        <w:t xml:space="preserve">qualifications that </w:t>
      </w:r>
      <w:r w:rsidR="6DDA8083" w:rsidDel="00A25696">
        <w:t xml:space="preserve">will best </w:t>
      </w:r>
      <w:r w:rsidR="6DDA8083">
        <w:t xml:space="preserve">enable </w:t>
      </w:r>
      <w:r w:rsidR="6DDA8083" w:rsidDel="00CC282D">
        <w:t xml:space="preserve">them to thrive and succeed </w:t>
      </w:r>
      <w:r w:rsidR="6DDA8083">
        <w:t>in work and life</w:t>
      </w:r>
      <w:r w:rsidR="74375BA4">
        <w:t>.</w:t>
      </w:r>
    </w:p>
    <w:p w14:paraId="519D03B4" w14:textId="70B4A69C" w:rsidR="00FC5BBA" w:rsidRDefault="00FF470E" w:rsidP="00FC5BBA">
      <w:pPr>
        <w:keepLines/>
        <w:rPr>
          <w:rFonts w:ascii="Arial" w:eastAsia="Arial" w:hAnsi="Arial" w:cs="Arial"/>
        </w:rPr>
      </w:pPr>
      <w:r w:rsidRPr="00B21645">
        <w:t xml:space="preserve">In February 2025, JSA released its report </w:t>
      </w:r>
      <w:r w:rsidRPr="00B21645">
        <w:rPr>
          <w:i/>
        </w:rPr>
        <w:t xml:space="preserve">Opportunity and Productivity: Towards a Tertiary Harmonisation Roadmap. </w:t>
      </w:r>
      <w:r w:rsidRPr="00B21645">
        <w:t>The report set out short, medium and long</w:t>
      </w:r>
      <w:r w:rsidR="003C10E4">
        <w:t>-</w:t>
      </w:r>
      <w:r w:rsidRPr="00B21645">
        <w:t xml:space="preserve">term </w:t>
      </w:r>
      <w:r w:rsidR="003C10E4">
        <w:t xml:space="preserve">recommendations </w:t>
      </w:r>
      <w:r w:rsidRPr="00B21645">
        <w:t>to support greater harmonisation. A key recommendation was the development of a tertiary harmonisation roadmap, led by the Australian Tertiary Education Commission (ATEC)</w:t>
      </w:r>
      <w:r w:rsidR="004444A7">
        <w:t xml:space="preserve"> and</w:t>
      </w:r>
      <w:r w:rsidRPr="00B21645">
        <w:t xml:space="preserve"> supported by a </w:t>
      </w:r>
      <w:r w:rsidR="50B99864">
        <w:t>governance structure of governments and tertiary system stakeholders</w:t>
      </w:r>
      <w:r w:rsidR="00567114">
        <w:t xml:space="preserve"> (JSA 2025</w:t>
      </w:r>
      <w:r w:rsidR="00CC099F">
        <w:t>d</w:t>
      </w:r>
      <w:r w:rsidR="00567114">
        <w:t>)</w:t>
      </w:r>
      <w:r w:rsidR="00B41E38" w:rsidRPr="00B21645">
        <w:t xml:space="preserve">. </w:t>
      </w:r>
      <w:r w:rsidRPr="00B21645">
        <w:t xml:space="preserve"> </w:t>
      </w:r>
    </w:p>
    <w:p w14:paraId="5DF25AAD" w14:textId="0FA3F4F3" w:rsidR="00C365F1" w:rsidRPr="00B21645" w:rsidRDefault="00C365F1" w:rsidP="00FF470E"/>
    <w:p w14:paraId="27EB1678" w14:textId="5D614D46" w:rsidR="00805AA8" w:rsidRDefault="00C365F1" w:rsidP="00C365F1">
      <w:pPr>
        <w:keepLines/>
        <w:rPr>
          <w:rStyle w:val="CommentReference"/>
        </w:rPr>
      </w:pPr>
      <w:r w:rsidRPr="588D6655">
        <w:rPr>
          <w:rFonts w:ascii="Arial" w:eastAsia="Arial" w:hAnsi="Arial" w:cs="Arial"/>
        </w:rPr>
        <w:t xml:space="preserve">The Tertiary Roadmap </w:t>
      </w:r>
      <w:r w:rsidR="003A43F8">
        <w:rPr>
          <w:rFonts w:ascii="Arial" w:eastAsia="Arial" w:hAnsi="Arial" w:cs="Arial"/>
        </w:rPr>
        <w:t>is being developed in response to these recommendations</w:t>
      </w:r>
      <w:r w:rsidR="006E389D">
        <w:rPr>
          <w:rFonts w:ascii="Arial" w:eastAsia="Arial" w:hAnsi="Arial" w:cs="Arial"/>
        </w:rPr>
        <w:t>.</w:t>
      </w:r>
      <w:r w:rsidR="003A43F8">
        <w:rPr>
          <w:rFonts w:ascii="Arial" w:eastAsia="Arial" w:hAnsi="Arial" w:cs="Arial"/>
        </w:rPr>
        <w:t xml:space="preserve"> </w:t>
      </w:r>
      <w:r w:rsidR="003C6560">
        <w:rPr>
          <w:rFonts w:ascii="Arial" w:eastAsia="Arial" w:hAnsi="Arial" w:cs="Arial"/>
        </w:rPr>
        <w:t>It will</w:t>
      </w:r>
      <w:r w:rsidRPr="588D6655">
        <w:rPr>
          <w:rFonts w:ascii="Arial" w:eastAsia="Arial" w:hAnsi="Arial" w:cs="Arial"/>
        </w:rPr>
        <w:t xml:space="preserve"> set out an ambitious but achievable agenda to </w:t>
      </w:r>
      <w:r w:rsidR="003C6560">
        <w:rPr>
          <w:rFonts w:ascii="Arial" w:eastAsia="Arial" w:hAnsi="Arial" w:cs="Arial"/>
        </w:rPr>
        <w:t xml:space="preserve">create </w:t>
      </w:r>
      <w:r w:rsidRPr="588D6655">
        <w:rPr>
          <w:rFonts w:ascii="Arial" w:eastAsia="Arial" w:hAnsi="Arial" w:cs="Arial"/>
        </w:rPr>
        <w:t xml:space="preserve">a more </w:t>
      </w:r>
      <w:r w:rsidR="005A4B7C">
        <w:rPr>
          <w:rFonts w:ascii="Arial" w:eastAsia="Arial" w:hAnsi="Arial" w:cs="Arial"/>
        </w:rPr>
        <w:t>joined-up</w:t>
      </w:r>
      <w:r w:rsidRPr="588D6655">
        <w:rPr>
          <w:rFonts w:ascii="Arial" w:eastAsia="Arial" w:hAnsi="Arial" w:cs="Arial"/>
        </w:rPr>
        <w:t xml:space="preserve"> tertiary education system.</w:t>
      </w:r>
      <w:r w:rsidR="00FC5BBA">
        <w:t xml:space="preserve"> </w:t>
      </w:r>
      <w:r>
        <w:t xml:space="preserve">A more </w:t>
      </w:r>
      <w:r w:rsidR="005A4B7C">
        <w:t>joined-up</w:t>
      </w:r>
      <w:r>
        <w:t xml:space="preserve"> tertiary system will strengthen links between higher education and </w:t>
      </w:r>
      <w:proofErr w:type="gramStart"/>
      <w:r>
        <w:t>VET</w:t>
      </w:r>
      <w:r w:rsidR="00CD5DDD">
        <w:t xml:space="preserve">, </w:t>
      </w:r>
      <w:r w:rsidR="003822B1">
        <w:t>and</w:t>
      </w:r>
      <w:proofErr w:type="gramEnd"/>
      <w:r w:rsidR="00CD5DDD">
        <w:t xml:space="preserve"> </w:t>
      </w:r>
      <w:r w:rsidR="00B95C2D">
        <w:t>improve</w:t>
      </w:r>
      <w:r w:rsidDel="00B95C2D">
        <w:t xml:space="preserve"> </w:t>
      </w:r>
      <w:r>
        <w:t>pathways and outcomes for learners</w:t>
      </w:r>
      <w:r w:rsidR="002A04F8" w:rsidDel="00E10BA9">
        <w:t xml:space="preserve"> in the labour market and in life</w:t>
      </w:r>
      <w:r w:rsidDel="00E10BA9">
        <w:t xml:space="preserve">. It also </w:t>
      </w:r>
      <w:r w:rsidR="00E26A00" w:rsidDel="00E10BA9">
        <w:t xml:space="preserve">aims to </w:t>
      </w:r>
      <w:r w:rsidDel="00E10BA9">
        <w:t xml:space="preserve">improve </w:t>
      </w:r>
      <w:r>
        <w:t>workforce skills and productivity</w:t>
      </w:r>
      <w:r w:rsidR="002B2327">
        <w:t xml:space="preserve"> </w:t>
      </w:r>
      <w:r w:rsidDel="004C0456">
        <w:t xml:space="preserve">for </w:t>
      </w:r>
      <w:r w:rsidR="00440938">
        <w:t xml:space="preserve">the changing needs of </w:t>
      </w:r>
      <w:r w:rsidDel="004C0456">
        <w:t>Australian industry</w:t>
      </w:r>
      <w:r w:rsidR="00440938">
        <w:t xml:space="preserve">, future-proofing </w:t>
      </w:r>
      <w:r w:rsidR="008E48CF">
        <w:t>our tertiary system</w:t>
      </w:r>
      <w:r w:rsidR="004126A2">
        <w:t xml:space="preserve">. </w:t>
      </w:r>
      <w:r w:rsidR="0049265D">
        <w:t>The Roadmap will draw</w:t>
      </w:r>
      <w:r>
        <w:t xml:space="preserve"> on the distinct strengths and complementary roles of each sector.</w:t>
      </w:r>
      <w:r>
        <w:rPr>
          <w:rStyle w:val="CommentReference"/>
        </w:rPr>
        <w:t xml:space="preserve"> </w:t>
      </w:r>
    </w:p>
    <w:p w14:paraId="742B7876" w14:textId="01501889" w:rsidR="006D6439" w:rsidRPr="00C55EC9" w:rsidRDefault="00C365F1" w:rsidP="00C55EC9">
      <w:pPr>
        <w:keepLines/>
      </w:pPr>
      <w:r w:rsidRPr="00C365F1">
        <w:t>The Roadmap will</w:t>
      </w:r>
      <w:r w:rsidRPr="00C365F1" w:rsidDel="78F0C6CC">
        <w:t xml:space="preserve"> </w:t>
      </w:r>
      <w:r w:rsidRPr="00C365F1">
        <w:t xml:space="preserve">encourage collaboration between tertiary providers, </w:t>
      </w:r>
      <w:r w:rsidR="0038524B">
        <w:t>employers</w:t>
      </w:r>
      <w:r w:rsidRPr="00C365F1">
        <w:t>, and unions to deliver well-designed education and training programs. </w:t>
      </w:r>
      <w:r w:rsidR="00805AA8">
        <w:rPr>
          <w:rFonts w:ascii="Arial" w:eastAsia="Arial" w:hAnsi="Arial" w:cs="Arial"/>
        </w:rPr>
        <w:t xml:space="preserve">It will </w:t>
      </w:r>
      <w:r w:rsidR="00C5433D">
        <w:rPr>
          <w:rFonts w:ascii="Arial" w:eastAsia="Arial" w:hAnsi="Arial" w:cs="Arial"/>
        </w:rPr>
        <w:t>also</w:t>
      </w:r>
      <w:r w:rsidR="00805AA8">
        <w:rPr>
          <w:rFonts w:ascii="Arial" w:eastAsia="Arial" w:hAnsi="Arial" w:cs="Arial"/>
        </w:rPr>
        <w:t xml:space="preserve"> </w:t>
      </w:r>
      <w:r w:rsidR="001D6CEF">
        <w:rPr>
          <w:rFonts w:ascii="Arial" w:eastAsia="Arial" w:hAnsi="Arial" w:cs="Arial"/>
        </w:rPr>
        <w:t xml:space="preserve">outline practical </w:t>
      </w:r>
      <w:r w:rsidR="00805AA8" w:rsidRPr="00AB318B">
        <w:rPr>
          <w:rFonts w:ascii="Arial" w:eastAsia="Arial" w:hAnsi="Arial" w:cs="Arial"/>
        </w:rPr>
        <w:t xml:space="preserve">steps to make it easier for </w:t>
      </w:r>
      <w:r w:rsidR="00C43946">
        <w:rPr>
          <w:rFonts w:ascii="Arial" w:eastAsia="Arial" w:hAnsi="Arial" w:cs="Arial"/>
        </w:rPr>
        <w:t>learners</w:t>
      </w:r>
      <w:r w:rsidR="00805AA8" w:rsidRPr="00AB318B">
        <w:rPr>
          <w:rFonts w:ascii="Arial" w:eastAsia="Arial" w:hAnsi="Arial" w:cs="Arial"/>
        </w:rPr>
        <w:t xml:space="preserve"> to move between </w:t>
      </w:r>
      <w:r w:rsidR="00D3685C">
        <w:rPr>
          <w:rFonts w:ascii="Arial" w:eastAsia="Arial" w:hAnsi="Arial" w:cs="Arial"/>
        </w:rPr>
        <w:t>VET and higher education, and vice versa</w:t>
      </w:r>
      <w:r w:rsidR="003822B1">
        <w:rPr>
          <w:rFonts w:ascii="Arial" w:eastAsia="Arial" w:hAnsi="Arial" w:cs="Arial"/>
        </w:rPr>
        <w:t>,</w:t>
      </w:r>
      <w:r w:rsidR="00D3685C">
        <w:rPr>
          <w:rFonts w:ascii="Arial" w:eastAsia="Arial" w:hAnsi="Arial" w:cs="Arial"/>
        </w:rPr>
        <w:t xml:space="preserve"> </w:t>
      </w:r>
      <w:r w:rsidR="00805AA8" w:rsidRPr="00AB318B">
        <w:rPr>
          <w:rFonts w:ascii="Arial" w:eastAsia="Arial" w:hAnsi="Arial" w:cs="Arial"/>
        </w:rPr>
        <w:t xml:space="preserve">and set up the system to support </w:t>
      </w:r>
      <w:r w:rsidR="00C43946">
        <w:rPr>
          <w:rFonts w:ascii="Arial" w:eastAsia="Arial" w:hAnsi="Arial" w:cs="Arial"/>
        </w:rPr>
        <w:t>learners</w:t>
      </w:r>
      <w:r w:rsidR="00805AA8" w:rsidRPr="00AB318B">
        <w:rPr>
          <w:rFonts w:ascii="Arial" w:eastAsia="Arial" w:hAnsi="Arial" w:cs="Arial"/>
        </w:rPr>
        <w:t xml:space="preserve"> to gain qualifications </w:t>
      </w:r>
      <w:r w:rsidR="00805AA8" w:rsidRPr="00AB318B" w:rsidDel="00A45227">
        <w:rPr>
          <w:rFonts w:ascii="Arial" w:eastAsia="Arial" w:hAnsi="Arial" w:cs="Arial"/>
        </w:rPr>
        <w:t xml:space="preserve">matched to </w:t>
      </w:r>
      <w:r w:rsidR="00805AA8" w:rsidRPr="00AB318B">
        <w:rPr>
          <w:rFonts w:ascii="Arial" w:eastAsia="Arial" w:hAnsi="Arial" w:cs="Arial"/>
        </w:rPr>
        <w:t>Australia’s future skills needs</w:t>
      </w:r>
      <w:r w:rsidR="00A45227">
        <w:rPr>
          <w:rFonts w:ascii="Arial" w:eastAsia="Arial" w:hAnsi="Arial" w:cs="Arial"/>
        </w:rPr>
        <w:t xml:space="preserve">. </w:t>
      </w:r>
      <w:r w:rsidR="00A76789">
        <w:rPr>
          <w:rFonts w:ascii="Arial" w:eastAsia="Arial" w:hAnsi="Arial" w:cs="Arial"/>
        </w:rPr>
        <w:t xml:space="preserve">These steps will be identified </w:t>
      </w:r>
      <w:r w:rsidR="00332535">
        <w:rPr>
          <w:rFonts w:ascii="Arial" w:eastAsia="Arial" w:hAnsi="Arial" w:cs="Arial"/>
        </w:rPr>
        <w:t>across</w:t>
      </w:r>
      <w:r w:rsidR="00805AA8" w:rsidRPr="588D6655">
        <w:rPr>
          <w:rFonts w:ascii="Arial" w:eastAsia="Arial" w:hAnsi="Arial" w:cs="Arial"/>
        </w:rPr>
        <w:t xml:space="preserve"> short, medium</w:t>
      </w:r>
      <w:r w:rsidR="00332535">
        <w:rPr>
          <w:rFonts w:ascii="Arial" w:eastAsia="Arial" w:hAnsi="Arial" w:cs="Arial"/>
        </w:rPr>
        <w:t>-</w:t>
      </w:r>
      <w:r w:rsidR="00805AA8" w:rsidRPr="588D6655">
        <w:rPr>
          <w:rFonts w:ascii="Arial" w:eastAsia="Arial" w:hAnsi="Arial" w:cs="Arial"/>
        </w:rPr>
        <w:t>and long</w:t>
      </w:r>
      <w:r w:rsidR="00332535">
        <w:rPr>
          <w:rFonts w:ascii="Arial" w:eastAsia="Arial" w:hAnsi="Arial" w:cs="Arial"/>
        </w:rPr>
        <w:t>-</w:t>
      </w:r>
      <w:r w:rsidR="00805AA8" w:rsidRPr="588D6655">
        <w:rPr>
          <w:rFonts w:ascii="Arial" w:eastAsia="Arial" w:hAnsi="Arial" w:cs="Arial"/>
        </w:rPr>
        <w:t xml:space="preserve">term </w:t>
      </w:r>
      <w:r w:rsidR="005E6254">
        <w:rPr>
          <w:rFonts w:ascii="Arial" w:eastAsia="Arial" w:hAnsi="Arial" w:cs="Arial"/>
        </w:rPr>
        <w:t xml:space="preserve">horizons, with clear roles </w:t>
      </w:r>
      <w:r w:rsidR="008A13D0">
        <w:rPr>
          <w:rFonts w:ascii="Arial" w:eastAsia="Arial" w:hAnsi="Arial" w:cs="Arial"/>
        </w:rPr>
        <w:t xml:space="preserve">for </w:t>
      </w:r>
      <w:r w:rsidR="00805AA8" w:rsidRPr="588D6655">
        <w:rPr>
          <w:rFonts w:ascii="Arial" w:eastAsia="Arial" w:hAnsi="Arial" w:cs="Arial"/>
        </w:rPr>
        <w:t>system actors</w:t>
      </w:r>
      <w:r w:rsidR="000766C9">
        <w:rPr>
          <w:rFonts w:ascii="Arial" w:eastAsia="Arial" w:hAnsi="Arial" w:cs="Arial"/>
        </w:rPr>
        <w:t xml:space="preserve"> – a concept to describe the primary </w:t>
      </w:r>
      <w:r w:rsidR="00A83A85">
        <w:rPr>
          <w:rFonts w:ascii="Arial" w:eastAsia="Arial" w:hAnsi="Arial" w:cs="Arial"/>
        </w:rPr>
        <w:t>groups and institutions that are involved in a system</w:t>
      </w:r>
      <w:r w:rsidR="00B045A0">
        <w:rPr>
          <w:rFonts w:ascii="Arial" w:eastAsia="Arial" w:hAnsi="Arial" w:cs="Arial"/>
        </w:rPr>
        <w:t xml:space="preserve"> (JSA 2025d)</w:t>
      </w:r>
      <w:r w:rsidR="00805AA8" w:rsidRPr="588D6655">
        <w:rPr>
          <w:rFonts w:ascii="Arial" w:eastAsia="Arial" w:hAnsi="Arial" w:cs="Arial"/>
        </w:rPr>
        <w:t>.</w:t>
      </w:r>
      <w:r w:rsidR="001D12E4">
        <w:rPr>
          <w:rFonts w:ascii="Arial" w:eastAsia="Arial" w:hAnsi="Arial" w:cs="Arial"/>
        </w:rPr>
        <w:t xml:space="preserve"> </w:t>
      </w:r>
      <w:r w:rsidR="00B045A0">
        <w:rPr>
          <w:rFonts w:ascii="Arial" w:eastAsia="Arial" w:hAnsi="Arial" w:cs="Arial"/>
        </w:rPr>
        <w:t>The</w:t>
      </w:r>
      <w:r w:rsidR="00001A87">
        <w:rPr>
          <w:rFonts w:ascii="Arial" w:eastAsia="Arial" w:hAnsi="Arial" w:cs="Arial"/>
        </w:rPr>
        <w:t xml:space="preserve"> key tertiary system actors </w:t>
      </w:r>
      <w:r w:rsidR="00B045A0">
        <w:rPr>
          <w:rFonts w:ascii="Arial" w:eastAsia="Arial" w:hAnsi="Arial" w:cs="Arial"/>
        </w:rPr>
        <w:t>are</w:t>
      </w:r>
      <w:r w:rsidR="001D12E4">
        <w:rPr>
          <w:rFonts w:ascii="Arial" w:eastAsia="Arial" w:hAnsi="Arial" w:cs="Arial"/>
        </w:rPr>
        <w:t xml:space="preserve"> students, </w:t>
      </w:r>
      <w:r w:rsidR="00E1634A">
        <w:rPr>
          <w:rFonts w:ascii="Arial" w:eastAsia="Arial" w:hAnsi="Arial" w:cs="Arial"/>
        </w:rPr>
        <w:t>higher education and VET providers, Commonwealth, state and territory governments,</w:t>
      </w:r>
      <w:r w:rsidR="00C86723">
        <w:rPr>
          <w:rFonts w:ascii="Arial" w:eastAsia="Arial" w:hAnsi="Arial" w:cs="Arial"/>
        </w:rPr>
        <w:t xml:space="preserve"> </w:t>
      </w:r>
      <w:r w:rsidR="00A83A85">
        <w:rPr>
          <w:rFonts w:ascii="Arial" w:eastAsia="Arial" w:hAnsi="Arial" w:cs="Arial"/>
        </w:rPr>
        <w:t>unions and employers</w:t>
      </w:r>
      <w:r w:rsidR="00E06FC5">
        <w:rPr>
          <w:rFonts w:ascii="Arial" w:eastAsia="Arial" w:hAnsi="Arial" w:cs="Arial"/>
        </w:rPr>
        <w:t>,</w:t>
      </w:r>
      <w:r w:rsidR="00B045A0">
        <w:rPr>
          <w:rFonts w:ascii="Arial" w:eastAsia="Arial" w:hAnsi="Arial" w:cs="Arial"/>
        </w:rPr>
        <w:t xml:space="preserve"> Jobs and Skills Councils,</w:t>
      </w:r>
      <w:r w:rsidR="00A83A85">
        <w:rPr>
          <w:rFonts w:ascii="Arial" w:eastAsia="Arial" w:hAnsi="Arial" w:cs="Arial"/>
        </w:rPr>
        <w:t xml:space="preserve"> and accrediting bodies</w:t>
      </w:r>
      <w:r w:rsidR="0083058B">
        <w:rPr>
          <w:rFonts w:ascii="Arial" w:eastAsia="Arial" w:hAnsi="Arial" w:cs="Arial"/>
        </w:rPr>
        <w:t xml:space="preserve"> (JSA 2025d)</w:t>
      </w:r>
      <w:r w:rsidR="00A83A85">
        <w:rPr>
          <w:rFonts w:ascii="Arial" w:eastAsia="Arial" w:hAnsi="Arial" w:cs="Arial"/>
        </w:rPr>
        <w:t>.</w:t>
      </w:r>
      <w:r w:rsidR="00805AA8" w:rsidRPr="588D6655">
        <w:rPr>
          <w:rFonts w:ascii="Arial" w:eastAsia="Arial" w:hAnsi="Arial" w:cs="Arial"/>
        </w:rPr>
        <w:t xml:space="preserve"> </w:t>
      </w:r>
    </w:p>
    <w:p w14:paraId="021FA26B" w14:textId="327A10A8" w:rsidR="00654DC0" w:rsidRPr="008C4640" w:rsidRDefault="00654DC0" w:rsidP="00654DC0">
      <w:pPr>
        <w:pStyle w:val="Heading2"/>
        <w:numPr>
          <w:ilvl w:val="1"/>
          <w:numId w:val="14"/>
        </w:numPr>
        <w:spacing w:before="160" w:after="80"/>
        <w:ind w:left="851" w:hanging="851"/>
      </w:pPr>
      <w:bookmarkStart w:id="9" w:name="_Toc229643955"/>
      <w:r w:rsidRPr="008C4640">
        <w:t xml:space="preserve">Structure </w:t>
      </w:r>
      <w:r>
        <w:t xml:space="preserve">and </w:t>
      </w:r>
      <w:r w:rsidR="000B382B">
        <w:t>purpose</w:t>
      </w:r>
      <w:bookmarkEnd w:id="9"/>
      <w:r w:rsidR="003538F9" w:rsidRPr="008C4640" w:rsidDel="00654DC0">
        <w:t xml:space="preserve"> </w:t>
      </w:r>
    </w:p>
    <w:p w14:paraId="14151ECF" w14:textId="586D3DDA" w:rsidR="00245B49" w:rsidRDefault="00F37466" w:rsidP="58A39D59">
      <w:pPr>
        <w:keepLines/>
        <w:rPr>
          <w:color w:val="auto"/>
        </w:rPr>
      </w:pPr>
      <w:r>
        <w:t>Th</w:t>
      </w:r>
      <w:r w:rsidR="000C6621">
        <w:t>is</w:t>
      </w:r>
      <w:r>
        <w:t xml:space="preserve"> </w:t>
      </w:r>
      <w:r w:rsidR="00D40FCD">
        <w:t xml:space="preserve">Discussion Paper </w:t>
      </w:r>
      <w:r>
        <w:t>s</w:t>
      </w:r>
      <w:r w:rsidR="00C365F1">
        <w:t>upports the development of the Tertiary Roadma</w:t>
      </w:r>
      <w:r w:rsidR="00837CF2">
        <w:t>p</w:t>
      </w:r>
      <w:r w:rsidR="00B127F3">
        <w:t xml:space="preserve"> and provides</w:t>
      </w:r>
      <w:r w:rsidR="006C6565">
        <w:t xml:space="preserve"> a</w:t>
      </w:r>
      <w:r w:rsidR="00837CF2">
        <w:t xml:space="preserve"> basis for </w:t>
      </w:r>
      <w:r w:rsidR="00090971">
        <w:t xml:space="preserve">wider </w:t>
      </w:r>
      <w:r w:rsidR="0085171D">
        <w:t>public</w:t>
      </w:r>
      <w:r w:rsidR="00090971">
        <w:t xml:space="preserve"> </w:t>
      </w:r>
      <w:r w:rsidR="00837CF2">
        <w:t xml:space="preserve">discussion </w:t>
      </w:r>
      <w:r w:rsidR="006C6565">
        <w:t>on</w:t>
      </w:r>
      <w:r w:rsidR="00837CF2">
        <w:t xml:space="preserve"> issues in the current system that </w:t>
      </w:r>
      <w:r w:rsidR="00F736C2">
        <w:t xml:space="preserve">the Roadmap </w:t>
      </w:r>
      <w:r w:rsidR="00837CF2">
        <w:t>could address</w:t>
      </w:r>
      <w:r w:rsidR="00C365F1">
        <w:t>.</w:t>
      </w:r>
      <w:r>
        <w:t xml:space="preserve"> </w:t>
      </w:r>
      <w:r w:rsidR="00A96CFD">
        <w:t xml:space="preserve">It </w:t>
      </w:r>
      <w:r w:rsidR="00245B49">
        <w:t xml:space="preserve">identifies </w:t>
      </w:r>
      <w:r w:rsidR="000E191D">
        <w:t>key</w:t>
      </w:r>
      <w:r w:rsidR="00245B49">
        <w:t xml:space="preserve"> barriers and challenges learners face when engaging with both the VET and higher education sectors and sets out potential areas of reform for consideratio</w:t>
      </w:r>
      <w:r w:rsidR="000C6621">
        <w:t>n</w:t>
      </w:r>
      <w:r w:rsidR="00245B49">
        <w:t>.</w:t>
      </w:r>
      <w:r w:rsidR="00181A88">
        <w:t xml:space="preserve"> </w:t>
      </w:r>
    </w:p>
    <w:p w14:paraId="2D00DA4A" w14:textId="04BA7154" w:rsidR="00776284" w:rsidRDefault="00E10A31" w:rsidP="00776284">
      <w:pPr>
        <w:rPr>
          <w:color w:val="auto"/>
        </w:rPr>
      </w:pPr>
      <w:r>
        <w:t>Th</w:t>
      </w:r>
      <w:r w:rsidR="000F0865">
        <w:t>e</w:t>
      </w:r>
      <w:r w:rsidR="00EC35AB" w:rsidRPr="00C365F1">
        <w:rPr>
          <w:color w:val="auto"/>
        </w:rPr>
        <w:t xml:space="preserve"> </w:t>
      </w:r>
      <w:r w:rsidR="00D40FCD">
        <w:rPr>
          <w:color w:val="auto"/>
        </w:rPr>
        <w:t>paper</w:t>
      </w:r>
      <w:r w:rsidR="00EC35AB" w:rsidRPr="00C365F1">
        <w:rPr>
          <w:color w:val="auto"/>
        </w:rPr>
        <w:t xml:space="preserve"> focuses on where </w:t>
      </w:r>
      <w:r w:rsidR="002A6CBB" w:rsidDel="00404676">
        <w:rPr>
          <w:color w:val="auto"/>
        </w:rPr>
        <w:t>disconnects</w:t>
      </w:r>
      <w:r w:rsidR="00EC35AB" w:rsidRPr="00C365F1" w:rsidDel="00404676">
        <w:rPr>
          <w:color w:val="auto"/>
        </w:rPr>
        <w:t xml:space="preserve"> </w:t>
      </w:r>
      <w:r w:rsidR="00EC35AB" w:rsidRPr="00C365F1">
        <w:rPr>
          <w:color w:val="auto"/>
        </w:rPr>
        <w:t>between</w:t>
      </w:r>
      <w:r w:rsidR="00EC35AB" w:rsidRPr="00C365F1" w:rsidDel="5EF279EA">
        <w:rPr>
          <w:color w:val="auto"/>
        </w:rPr>
        <w:t xml:space="preserve"> </w:t>
      </w:r>
      <w:r w:rsidR="00EC35AB" w:rsidRPr="00C365F1">
        <w:rPr>
          <w:color w:val="auto"/>
        </w:rPr>
        <w:t xml:space="preserve">the two sectors </w:t>
      </w:r>
      <w:r w:rsidR="000802B3">
        <w:rPr>
          <w:color w:val="auto"/>
        </w:rPr>
        <w:t>limit</w:t>
      </w:r>
      <w:r w:rsidR="00EC35AB" w:rsidRPr="00C365F1">
        <w:rPr>
          <w:color w:val="auto"/>
        </w:rPr>
        <w:t xml:space="preserve"> the effectiveness of the tertiary system, and where </w:t>
      </w:r>
      <w:r w:rsidR="00E644E0">
        <w:rPr>
          <w:color w:val="auto"/>
        </w:rPr>
        <w:t xml:space="preserve">stronger </w:t>
      </w:r>
      <w:r w:rsidR="00EC35AB" w:rsidRPr="00C365F1">
        <w:rPr>
          <w:color w:val="auto"/>
        </w:rPr>
        <w:t xml:space="preserve">connections and collaboration could improve </w:t>
      </w:r>
      <w:r w:rsidR="00E644E0">
        <w:rPr>
          <w:color w:val="auto"/>
        </w:rPr>
        <w:t xml:space="preserve">learner </w:t>
      </w:r>
      <w:r w:rsidR="00EC35AB" w:rsidRPr="00C365F1">
        <w:rPr>
          <w:color w:val="auto"/>
        </w:rPr>
        <w:t xml:space="preserve">experience and outcomes at every stage of their educational journey. </w:t>
      </w:r>
      <w:r w:rsidR="00981F6E">
        <w:t>Key mechanisms for harmonising the sectors include, but are not limited to, improving credit recognition processes and transparency, strengthening pathways between sectors, building cross-sector partnerships including through hybrid or nested qualifications, making digital course information more sector-neutral, and broader reforms to system architecture to support these improvements.</w:t>
      </w:r>
    </w:p>
    <w:p w14:paraId="1AE6AEF3" w14:textId="7A6F7D2E" w:rsidR="00DB1D77" w:rsidRDefault="00776284" w:rsidP="00776284">
      <w:pPr>
        <w:rPr>
          <w:color w:val="auto"/>
        </w:rPr>
      </w:pPr>
      <w:r w:rsidRPr="3B6CFB9E">
        <w:rPr>
          <w:color w:val="auto"/>
        </w:rPr>
        <w:t xml:space="preserve">The </w:t>
      </w:r>
      <w:r w:rsidR="00D40FCD" w:rsidRPr="3B6CFB9E">
        <w:rPr>
          <w:color w:val="auto"/>
        </w:rPr>
        <w:t>paper</w:t>
      </w:r>
      <w:r w:rsidRPr="3B6CFB9E">
        <w:rPr>
          <w:color w:val="auto"/>
        </w:rPr>
        <w:t xml:space="preserve"> uses the framing of a learner journey to understand the </w:t>
      </w:r>
      <w:r w:rsidR="00F847B7" w:rsidRPr="3B6CFB9E">
        <w:rPr>
          <w:color w:val="auto"/>
        </w:rPr>
        <w:t>different</w:t>
      </w:r>
      <w:r w:rsidRPr="3B6CFB9E">
        <w:rPr>
          <w:color w:val="auto"/>
        </w:rPr>
        <w:t xml:space="preserve"> pathways </w:t>
      </w:r>
      <w:r w:rsidR="5F87F8ED" w:rsidRPr="3B6CFB9E">
        <w:rPr>
          <w:color w:val="auto"/>
        </w:rPr>
        <w:t xml:space="preserve">through which </w:t>
      </w:r>
      <w:r w:rsidRPr="3B6CFB9E">
        <w:rPr>
          <w:color w:val="auto"/>
        </w:rPr>
        <w:t>learners</w:t>
      </w:r>
      <w:r w:rsidRPr="3B6CFB9E" w:rsidDel="00776284">
        <w:rPr>
          <w:color w:val="auto"/>
        </w:rPr>
        <w:t xml:space="preserve"> </w:t>
      </w:r>
      <w:r w:rsidRPr="3B6CFB9E">
        <w:rPr>
          <w:color w:val="auto"/>
        </w:rPr>
        <w:t xml:space="preserve">engage with the tertiary system across the </w:t>
      </w:r>
      <w:r w:rsidR="00665C56" w:rsidRPr="3B6CFB9E">
        <w:rPr>
          <w:color w:val="auto"/>
        </w:rPr>
        <w:t>life course</w:t>
      </w:r>
      <w:r w:rsidRPr="3B6CFB9E">
        <w:rPr>
          <w:color w:val="auto"/>
        </w:rPr>
        <w:t xml:space="preserve">. This operationalises </w:t>
      </w:r>
      <w:r w:rsidR="000F2D7D">
        <w:rPr>
          <w:color w:val="auto"/>
        </w:rPr>
        <w:t xml:space="preserve">a key message of </w:t>
      </w:r>
      <w:r w:rsidRPr="3B6CFB9E">
        <w:rPr>
          <w:color w:val="auto"/>
        </w:rPr>
        <w:t xml:space="preserve">JSA’s </w:t>
      </w:r>
      <w:r w:rsidRPr="3B6CFB9E">
        <w:rPr>
          <w:i/>
          <w:iCs/>
          <w:color w:val="auto"/>
        </w:rPr>
        <w:t>Toward a Tertiary Harmonisation Roadmap</w:t>
      </w:r>
      <w:r w:rsidRPr="3B6CFB9E">
        <w:rPr>
          <w:color w:val="auto"/>
        </w:rPr>
        <w:t xml:space="preserve"> report, which called for placing </w:t>
      </w:r>
      <w:r w:rsidR="002F0403" w:rsidRPr="3B6CFB9E">
        <w:rPr>
          <w:color w:val="auto"/>
        </w:rPr>
        <w:t>learners</w:t>
      </w:r>
      <w:r w:rsidRPr="3B6CFB9E">
        <w:rPr>
          <w:color w:val="auto"/>
        </w:rPr>
        <w:t xml:space="preserve"> at the centre of tertiary reform by prioritising learner goals and experiences. </w:t>
      </w:r>
      <w:r w:rsidR="007D1AEF" w:rsidRPr="3B6CFB9E">
        <w:rPr>
          <w:color w:val="auto"/>
        </w:rPr>
        <w:t xml:space="preserve">The </w:t>
      </w:r>
      <w:r w:rsidR="4B5869E9" w:rsidRPr="3B6CFB9E">
        <w:rPr>
          <w:color w:val="auto"/>
        </w:rPr>
        <w:t>targeted</w:t>
      </w:r>
      <w:r w:rsidR="00252902" w:rsidRPr="3B6CFB9E">
        <w:rPr>
          <w:color w:val="auto"/>
        </w:rPr>
        <w:t xml:space="preserve"> </w:t>
      </w:r>
      <w:r w:rsidR="007D1AEF" w:rsidRPr="3B6CFB9E">
        <w:rPr>
          <w:color w:val="auto"/>
        </w:rPr>
        <w:t xml:space="preserve">focus on </w:t>
      </w:r>
      <w:r w:rsidR="4BA91BDC" w:rsidRPr="3B6CFB9E">
        <w:rPr>
          <w:color w:val="auto"/>
        </w:rPr>
        <w:t xml:space="preserve">the </w:t>
      </w:r>
      <w:r w:rsidR="007D1AEF" w:rsidRPr="3B6CFB9E">
        <w:rPr>
          <w:color w:val="auto"/>
        </w:rPr>
        <w:t>learner</w:t>
      </w:r>
      <w:r w:rsidR="00252902" w:rsidRPr="3B6CFB9E">
        <w:rPr>
          <w:color w:val="auto"/>
        </w:rPr>
        <w:t xml:space="preserve"> </w:t>
      </w:r>
      <w:r w:rsidR="00AF1349" w:rsidRPr="3B6CFB9E">
        <w:rPr>
          <w:color w:val="auto"/>
        </w:rPr>
        <w:t>experience</w:t>
      </w:r>
      <w:r w:rsidR="007D1AEF" w:rsidRPr="3B6CFB9E">
        <w:rPr>
          <w:color w:val="auto"/>
        </w:rPr>
        <w:t xml:space="preserve"> in this </w:t>
      </w:r>
      <w:r w:rsidR="000C2BD3" w:rsidRPr="3B6CFB9E">
        <w:rPr>
          <w:color w:val="auto"/>
        </w:rPr>
        <w:t>paper</w:t>
      </w:r>
      <w:r w:rsidR="007D1AEF" w:rsidRPr="3B6CFB9E">
        <w:rPr>
          <w:color w:val="auto"/>
        </w:rPr>
        <w:t xml:space="preserve"> complement</w:t>
      </w:r>
      <w:r w:rsidR="009945C8" w:rsidRPr="3B6CFB9E">
        <w:rPr>
          <w:color w:val="auto"/>
        </w:rPr>
        <w:t>s</w:t>
      </w:r>
      <w:r w:rsidR="007D1AEF" w:rsidRPr="3B6CFB9E">
        <w:rPr>
          <w:color w:val="auto"/>
        </w:rPr>
        <w:t xml:space="preserve"> </w:t>
      </w:r>
      <w:r w:rsidR="00017E02" w:rsidRPr="3B6CFB9E">
        <w:rPr>
          <w:color w:val="auto"/>
        </w:rPr>
        <w:t>JSA</w:t>
      </w:r>
      <w:r w:rsidR="009945C8" w:rsidRPr="3B6CFB9E">
        <w:rPr>
          <w:color w:val="auto"/>
        </w:rPr>
        <w:t>’s br</w:t>
      </w:r>
      <w:r w:rsidR="00F42D64" w:rsidRPr="3B6CFB9E">
        <w:rPr>
          <w:color w:val="auto"/>
        </w:rPr>
        <w:t xml:space="preserve">oader focus </w:t>
      </w:r>
      <w:r w:rsidR="007D1AEF" w:rsidRPr="3B6CFB9E">
        <w:rPr>
          <w:color w:val="auto"/>
        </w:rPr>
        <w:t>on system actors</w:t>
      </w:r>
      <w:r w:rsidR="00044BA9" w:rsidRPr="3B6CFB9E">
        <w:rPr>
          <w:color w:val="auto"/>
        </w:rPr>
        <w:t xml:space="preserve"> and</w:t>
      </w:r>
      <w:r w:rsidR="007D1AEF" w:rsidRPr="3B6CFB9E">
        <w:rPr>
          <w:color w:val="auto"/>
        </w:rPr>
        <w:t xml:space="preserve"> architecture</w:t>
      </w:r>
      <w:r w:rsidR="00017E02" w:rsidRPr="3B6CFB9E">
        <w:rPr>
          <w:color w:val="auto"/>
        </w:rPr>
        <w:t>, and the wider economic drivers for tertiary harmonisation</w:t>
      </w:r>
      <w:r w:rsidR="0018042D" w:rsidRPr="3B6CFB9E">
        <w:rPr>
          <w:color w:val="auto"/>
        </w:rPr>
        <w:t>.</w:t>
      </w:r>
      <w:r w:rsidR="00B34562">
        <w:rPr>
          <w:color w:val="auto"/>
        </w:rPr>
        <w:t xml:space="preserve"> </w:t>
      </w:r>
      <w:r w:rsidR="00F629E4">
        <w:rPr>
          <w:color w:val="auto"/>
        </w:rPr>
        <w:t>The paper also seeks to embed learner experience within the context of the broader system</w:t>
      </w:r>
      <w:r w:rsidR="00AF232D">
        <w:rPr>
          <w:color w:val="auto"/>
        </w:rPr>
        <w:t xml:space="preserve">, considering </w:t>
      </w:r>
      <w:r w:rsidR="003A4688">
        <w:rPr>
          <w:color w:val="auto"/>
        </w:rPr>
        <w:t>the</w:t>
      </w:r>
      <w:r w:rsidR="004B18B6">
        <w:rPr>
          <w:color w:val="auto"/>
        </w:rPr>
        <w:t xml:space="preserve"> broader</w:t>
      </w:r>
      <w:r w:rsidR="003A4688">
        <w:rPr>
          <w:color w:val="auto"/>
        </w:rPr>
        <w:t xml:space="preserve"> impacts of a joined-up tertiary system on prov</w:t>
      </w:r>
      <w:r w:rsidR="004B18B6">
        <w:rPr>
          <w:color w:val="auto"/>
        </w:rPr>
        <w:t>iders and industry, among others.</w:t>
      </w:r>
    </w:p>
    <w:p w14:paraId="00F1917D" w14:textId="547D237A" w:rsidR="00776284" w:rsidRPr="008C4640" w:rsidRDefault="004B18B6" w:rsidP="00776284">
      <w:pPr>
        <w:rPr>
          <w:color w:val="auto"/>
        </w:rPr>
      </w:pPr>
      <w:r>
        <w:rPr>
          <w:color w:val="auto"/>
        </w:rPr>
        <w:t xml:space="preserve">The </w:t>
      </w:r>
      <w:r w:rsidR="0021426E">
        <w:rPr>
          <w:color w:val="auto"/>
        </w:rPr>
        <w:t xml:space="preserve">paper is framed around three key areas where </w:t>
      </w:r>
      <w:r w:rsidR="00DA3F77">
        <w:rPr>
          <w:color w:val="auto"/>
        </w:rPr>
        <w:t>the VET and higher education sectors connect:</w:t>
      </w:r>
    </w:p>
    <w:p w14:paraId="4E6720E8" w14:textId="03A7F5E8" w:rsidR="00776284" w:rsidRPr="0039596D" w:rsidRDefault="00776284" w:rsidP="00776284">
      <w:pPr>
        <w:pStyle w:val="ListParagraph"/>
        <w:numPr>
          <w:ilvl w:val="0"/>
          <w:numId w:val="31"/>
        </w:numPr>
        <w:rPr>
          <w:sz w:val="20"/>
          <w:szCs w:val="20"/>
        </w:rPr>
      </w:pPr>
      <w:r w:rsidRPr="0039596D" w:rsidDel="00A338A0">
        <w:rPr>
          <w:sz w:val="20"/>
          <w:szCs w:val="20"/>
        </w:rPr>
        <w:t xml:space="preserve">Where </w:t>
      </w:r>
      <w:r w:rsidRPr="0039596D" w:rsidDel="00B10302">
        <w:rPr>
          <w:sz w:val="20"/>
          <w:szCs w:val="20"/>
        </w:rPr>
        <w:t xml:space="preserve">a learner is </w:t>
      </w:r>
      <w:r w:rsidRPr="0039596D">
        <w:rPr>
          <w:sz w:val="20"/>
          <w:szCs w:val="20"/>
        </w:rPr>
        <w:t>making decisions about</w:t>
      </w:r>
      <w:r w:rsidR="00B10302">
        <w:rPr>
          <w:sz w:val="20"/>
          <w:szCs w:val="20"/>
        </w:rPr>
        <w:t xml:space="preserve"> </w:t>
      </w:r>
      <w:r w:rsidRPr="0039596D">
        <w:rPr>
          <w:sz w:val="20"/>
          <w:szCs w:val="20"/>
        </w:rPr>
        <w:t>undertaking VET or higher education</w:t>
      </w:r>
    </w:p>
    <w:p w14:paraId="65663C79" w14:textId="419829F5" w:rsidR="00776284" w:rsidRPr="0039596D" w:rsidRDefault="00776284" w:rsidP="00776284">
      <w:pPr>
        <w:pStyle w:val="ListParagraph"/>
        <w:numPr>
          <w:ilvl w:val="0"/>
          <w:numId w:val="31"/>
        </w:numPr>
        <w:rPr>
          <w:sz w:val="20"/>
          <w:szCs w:val="20"/>
        </w:rPr>
      </w:pPr>
      <w:r w:rsidRPr="0039596D" w:rsidDel="00A338A0">
        <w:rPr>
          <w:sz w:val="20"/>
          <w:szCs w:val="20"/>
        </w:rPr>
        <w:t xml:space="preserve">Where </w:t>
      </w:r>
      <w:r w:rsidRPr="0039596D" w:rsidDel="00B10302">
        <w:rPr>
          <w:sz w:val="20"/>
          <w:szCs w:val="20"/>
        </w:rPr>
        <w:t xml:space="preserve">a learner is </w:t>
      </w:r>
      <w:r w:rsidRPr="0039596D">
        <w:rPr>
          <w:sz w:val="20"/>
          <w:szCs w:val="20"/>
        </w:rPr>
        <w:t>transitioning between the sectors</w:t>
      </w:r>
      <w:r>
        <w:rPr>
          <w:sz w:val="20"/>
          <w:szCs w:val="20"/>
        </w:rPr>
        <w:t xml:space="preserve"> </w:t>
      </w:r>
    </w:p>
    <w:p w14:paraId="1E2ACB3F" w14:textId="7CD3304A" w:rsidR="00776284" w:rsidRPr="0047339F" w:rsidRDefault="00776284" w:rsidP="00776284">
      <w:pPr>
        <w:pStyle w:val="ListParagraph"/>
        <w:numPr>
          <w:ilvl w:val="0"/>
          <w:numId w:val="31"/>
        </w:numPr>
        <w:rPr>
          <w:sz w:val="20"/>
          <w:szCs w:val="20"/>
        </w:rPr>
      </w:pPr>
      <w:r w:rsidRPr="0039596D" w:rsidDel="00A338A0">
        <w:rPr>
          <w:sz w:val="20"/>
          <w:szCs w:val="20"/>
        </w:rPr>
        <w:t xml:space="preserve">Where </w:t>
      </w:r>
      <w:r w:rsidRPr="0039596D" w:rsidDel="008124AC">
        <w:rPr>
          <w:sz w:val="20"/>
          <w:szCs w:val="20"/>
        </w:rPr>
        <w:t xml:space="preserve">there are </w:t>
      </w:r>
      <w:r w:rsidRPr="0039596D">
        <w:rPr>
          <w:sz w:val="20"/>
          <w:szCs w:val="20"/>
        </w:rPr>
        <w:t xml:space="preserve">opportunities to strengthen each sector to </w:t>
      </w:r>
      <w:r w:rsidRPr="0039596D" w:rsidDel="008124AC">
        <w:rPr>
          <w:sz w:val="20"/>
          <w:szCs w:val="20"/>
        </w:rPr>
        <w:t>enhance a</w:t>
      </w:r>
      <w:r w:rsidRPr="0039596D">
        <w:rPr>
          <w:sz w:val="20"/>
          <w:szCs w:val="20"/>
        </w:rPr>
        <w:t xml:space="preserve"> learner</w:t>
      </w:r>
      <w:r w:rsidRPr="0039596D" w:rsidDel="008F4CC1">
        <w:rPr>
          <w:sz w:val="20"/>
          <w:szCs w:val="20"/>
        </w:rPr>
        <w:t>’s</w:t>
      </w:r>
      <w:r w:rsidRPr="0039596D">
        <w:rPr>
          <w:sz w:val="20"/>
          <w:szCs w:val="20"/>
        </w:rPr>
        <w:t xml:space="preserve"> experience and outcomes, including through cross-sector collaboration or learning from the other sector</w:t>
      </w:r>
      <w:r w:rsidRPr="0039596D" w:rsidDel="002455AA">
        <w:rPr>
          <w:sz w:val="20"/>
          <w:szCs w:val="20"/>
        </w:rPr>
        <w:t>s</w:t>
      </w:r>
      <w:r w:rsidRPr="0039596D">
        <w:rPr>
          <w:sz w:val="20"/>
          <w:szCs w:val="20"/>
        </w:rPr>
        <w:t>.</w:t>
      </w:r>
    </w:p>
    <w:p w14:paraId="01BEE16B" w14:textId="4A15E6F9" w:rsidR="00245B49" w:rsidRPr="009C71D5" w:rsidRDefault="00776284" w:rsidP="00245B49">
      <w:pPr>
        <w:keepLines/>
        <w:rPr>
          <w:color w:val="auto"/>
        </w:rPr>
      </w:pPr>
      <w:r>
        <w:rPr>
          <w:color w:val="auto"/>
        </w:rPr>
        <w:t xml:space="preserve">Drawing on this, the </w:t>
      </w:r>
      <w:r w:rsidR="00B5681E">
        <w:rPr>
          <w:color w:val="auto"/>
        </w:rPr>
        <w:t>paper</w:t>
      </w:r>
      <w:r w:rsidR="000E191D">
        <w:rPr>
          <w:color w:val="auto"/>
        </w:rPr>
        <w:t xml:space="preserve"> </w:t>
      </w:r>
      <w:r w:rsidR="00BC25E4">
        <w:rPr>
          <w:color w:val="auto"/>
        </w:rPr>
        <w:t xml:space="preserve">outlines </w:t>
      </w:r>
      <w:r w:rsidR="00777B63">
        <w:rPr>
          <w:color w:val="auto"/>
        </w:rPr>
        <w:t xml:space="preserve">an initial </w:t>
      </w:r>
      <w:r w:rsidR="00023C88">
        <w:rPr>
          <w:color w:val="auto"/>
        </w:rPr>
        <w:t xml:space="preserve">list of potential reform areas to address the </w:t>
      </w:r>
      <w:r w:rsidR="00AC4313">
        <w:rPr>
          <w:color w:val="auto"/>
        </w:rPr>
        <w:t xml:space="preserve">identified </w:t>
      </w:r>
      <w:r w:rsidR="00023C88">
        <w:rPr>
          <w:color w:val="auto"/>
        </w:rPr>
        <w:t xml:space="preserve">challenges. </w:t>
      </w:r>
      <w:r w:rsidR="00245B49">
        <w:rPr>
          <w:color w:val="auto"/>
        </w:rPr>
        <w:t xml:space="preserve">Stakeholders are invited to </w:t>
      </w:r>
      <w:r w:rsidR="00AC4313">
        <w:rPr>
          <w:color w:val="auto"/>
        </w:rPr>
        <w:t xml:space="preserve">consider </w:t>
      </w:r>
      <w:r w:rsidR="00245B49">
        <w:rPr>
          <w:color w:val="auto"/>
        </w:rPr>
        <w:t>the discussion questions</w:t>
      </w:r>
      <w:r w:rsidR="009D7103">
        <w:rPr>
          <w:color w:val="auto"/>
        </w:rPr>
        <w:t xml:space="preserve"> and </w:t>
      </w:r>
      <w:r w:rsidR="009F041F">
        <w:rPr>
          <w:color w:val="auto"/>
        </w:rPr>
        <w:t xml:space="preserve">provide feedback on these </w:t>
      </w:r>
      <w:r>
        <w:rPr>
          <w:color w:val="auto"/>
        </w:rPr>
        <w:t>reform</w:t>
      </w:r>
      <w:r w:rsidR="009D7103">
        <w:rPr>
          <w:color w:val="auto"/>
        </w:rPr>
        <w:t xml:space="preserve"> opportunities</w:t>
      </w:r>
      <w:r>
        <w:rPr>
          <w:color w:val="auto"/>
        </w:rPr>
        <w:t xml:space="preserve">, including </w:t>
      </w:r>
      <w:r w:rsidR="009F041F">
        <w:rPr>
          <w:color w:val="auto"/>
        </w:rPr>
        <w:t xml:space="preserve">highlighting </w:t>
      </w:r>
      <w:r>
        <w:rPr>
          <w:color w:val="auto"/>
        </w:rPr>
        <w:t xml:space="preserve">any </w:t>
      </w:r>
      <w:r w:rsidR="009D7103">
        <w:rPr>
          <w:color w:val="auto"/>
        </w:rPr>
        <w:t xml:space="preserve">significant gaps or </w:t>
      </w:r>
      <w:r w:rsidR="009F041F">
        <w:rPr>
          <w:color w:val="auto"/>
        </w:rPr>
        <w:t xml:space="preserve">suggesting </w:t>
      </w:r>
      <w:r w:rsidR="009D7103">
        <w:rPr>
          <w:color w:val="auto"/>
        </w:rPr>
        <w:t>additional opportunities.</w:t>
      </w:r>
      <w:r>
        <w:rPr>
          <w:color w:val="auto"/>
        </w:rPr>
        <w:t xml:space="preserve"> </w:t>
      </w:r>
      <w:r w:rsidR="00245B49">
        <w:rPr>
          <w:color w:val="auto"/>
        </w:rPr>
        <w:t xml:space="preserve"> </w:t>
      </w:r>
    </w:p>
    <w:p w14:paraId="63022116" w14:textId="77777777" w:rsidR="00C365F1" w:rsidRDefault="00C365F1" w:rsidP="00C365F1">
      <w:pPr>
        <w:keepLines/>
      </w:pPr>
    </w:p>
    <w:p w14:paraId="4AE0168B" w14:textId="77777777" w:rsidR="00654DC0" w:rsidRPr="008C4640" w:rsidRDefault="00654DC0" w:rsidP="00D567BC"/>
    <w:p w14:paraId="28ED3351" w14:textId="7EDF1C62" w:rsidR="00100373" w:rsidRPr="00961472" w:rsidRDefault="00100373" w:rsidP="0093049B">
      <w:pPr>
        <w:pStyle w:val="ListParagraph"/>
        <w:rPr>
          <w:sz w:val="20"/>
          <w:szCs w:val="20"/>
          <w:highlight w:val="yellow"/>
        </w:rPr>
        <w:sectPr w:rsidR="00100373" w:rsidRPr="00961472" w:rsidSect="00FE48F1">
          <w:pgSz w:w="11907" w:h="16839" w:code="9"/>
          <w:pgMar w:top="1077" w:right="1134" w:bottom="1134" w:left="1134" w:header="567" w:footer="805" w:gutter="0"/>
          <w:cols w:space="708"/>
          <w:docGrid w:linePitch="360"/>
        </w:sectPr>
      </w:pPr>
    </w:p>
    <w:p w14:paraId="23DF5FB5" w14:textId="454AAD22" w:rsidR="0014595C" w:rsidRDefault="006E03CF" w:rsidP="00AC7E45">
      <w:pPr>
        <w:pStyle w:val="Heading1"/>
        <w:numPr>
          <w:ilvl w:val="0"/>
          <w:numId w:val="14"/>
        </w:numPr>
        <w:spacing w:before="160" w:after="80"/>
      </w:pPr>
      <w:bookmarkStart w:id="10" w:name="_Toc229643956"/>
      <w:r>
        <w:t>Why are we working towards a more joined-up tertiary system?</w:t>
      </w:r>
      <w:bookmarkEnd w:id="10"/>
    </w:p>
    <w:p w14:paraId="77E9461A" w14:textId="77777777" w:rsidR="00947227" w:rsidRPr="00947227" w:rsidRDefault="00947227" w:rsidP="00947227"/>
    <w:p w14:paraId="1ED88743" w14:textId="70BCB4DF" w:rsidR="007522C9" w:rsidRPr="008C4640" w:rsidRDefault="007522C9" w:rsidP="007522C9">
      <w:pPr>
        <w:pStyle w:val="Heading2"/>
        <w:numPr>
          <w:ilvl w:val="1"/>
          <w:numId w:val="14"/>
        </w:numPr>
        <w:spacing w:before="160" w:after="80" w:line="259" w:lineRule="auto"/>
        <w:ind w:left="851" w:hanging="851"/>
      </w:pPr>
      <w:bookmarkStart w:id="11" w:name="_Toc229643957"/>
      <w:r w:rsidRPr="008C4640">
        <w:t>The Two Sectors</w:t>
      </w:r>
      <w:bookmarkEnd w:id="11"/>
      <w:r w:rsidRPr="008C4640">
        <w:t xml:space="preserve"> </w:t>
      </w:r>
    </w:p>
    <w:p w14:paraId="73C9E549" w14:textId="0DA98A77" w:rsidR="007522C9" w:rsidRPr="008C4640" w:rsidRDefault="007522C9" w:rsidP="007522C9">
      <w:r>
        <w:t xml:space="preserve">Australia’s tertiary education and training system </w:t>
      </w:r>
      <w:r w:rsidR="009F620C">
        <w:t>comprises</w:t>
      </w:r>
      <w:r>
        <w:t xml:space="preserve"> two distinct sectors: VET and higher education. The sectors are funded, regulated, governed and delivered differently</w:t>
      </w:r>
      <w:r w:rsidR="00881F25">
        <w:t xml:space="preserve">, which can </w:t>
      </w:r>
      <w:r w:rsidR="00D97128">
        <w:t>make</w:t>
      </w:r>
      <w:r w:rsidR="00881F25">
        <w:t xml:space="preserve"> </w:t>
      </w:r>
      <w:r w:rsidR="002B44A9">
        <w:t xml:space="preserve">engagement with both sectors </w:t>
      </w:r>
      <w:r w:rsidR="00D97128">
        <w:t xml:space="preserve">complex </w:t>
      </w:r>
      <w:r w:rsidR="00CA3B83">
        <w:t xml:space="preserve">for system actors. </w:t>
      </w:r>
      <w:r w:rsidR="008B0DEA">
        <w:t>Despite learner movement between them</w:t>
      </w:r>
      <w:r w:rsidR="0060410D">
        <w:t xml:space="preserve">, the VET and higher education sectors </w:t>
      </w:r>
      <w:r w:rsidR="005A7304">
        <w:t xml:space="preserve">largely operate </w:t>
      </w:r>
      <w:r w:rsidR="0060410D">
        <w:t xml:space="preserve">as </w:t>
      </w:r>
      <w:r w:rsidR="00577303">
        <w:t>separate</w:t>
      </w:r>
      <w:r w:rsidR="0060410D">
        <w:t xml:space="preserve"> markets (Hodge and Knight 2021b)</w:t>
      </w:r>
      <w:r w:rsidR="00577303">
        <w:t xml:space="preserve">. </w:t>
      </w:r>
    </w:p>
    <w:p w14:paraId="236E1A75" w14:textId="2F684306" w:rsidR="007522C9" w:rsidRPr="008C4640" w:rsidRDefault="007522C9" w:rsidP="007522C9">
      <w:r w:rsidRPr="008C4640">
        <w:t>The VET sector focus</w:t>
      </w:r>
      <w:r w:rsidR="004310E0">
        <w:t>es</w:t>
      </w:r>
      <w:r w:rsidRPr="008C4640">
        <w:t xml:space="preserve"> on vocationally</w:t>
      </w:r>
      <w:r w:rsidRPr="00D353D1">
        <w:t xml:space="preserve"> </w:t>
      </w:r>
      <w:r w:rsidRPr="008C4640">
        <w:t>oriented knowledge and skills, with some qualifications delivered through apprenticeship</w:t>
      </w:r>
      <w:r w:rsidR="004310E0">
        <w:t>s</w:t>
      </w:r>
      <w:r w:rsidRPr="008C4640">
        <w:t xml:space="preserve"> and traineeship</w:t>
      </w:r>
      <w:r w:rsidR="004310E0">
        <w:t>s</w:t>
      </w:r>
      <w:r w:rsidRPr="008C4640">
        <w:t xml:space="preserve">. Assessments are generally competency-based and designed to test a person’s ability to </w:t>
      </w:r>
      <w:r w:rsidR="004310E0">
        <w:t>perform specific</w:t>
      </w:r>
      <w:r w:rsidRPr="008C4640">
        <w:t xml:space="preserve"> task</w:t>
      </w:r>
      <w:r w:rsidR="004310E0">
        <w:t>s</w:t>
      </w:r>
      <w:r w:rsidRPr="008C4640">
        <w:t xml:space="preserve">. </w:t>
      </w:r>
      <w:r w:rsidRPr="00D353D1">
        <w:t xml:space="preserve">VET </w:t>
      </w:r>
      <w:r w:rsidRPr="008C4640">
        <w:t>qualifications</w:t>
      </w:r>
      <w:r>
        <w:t xml:space="preserve"> </w:t>
      </w:r>
      <w:r w:rsidR="001302A8">
        <w:t>include</w:t>
      </w:r>
      <w:r w:rsidRPr="00D353D1">
        <w:t xml:space="preserve"> certificates </w:t>
      </w:r>
      <w:r w:rsidRPr="008C4640">
        <w:t xml:space="preserve">I–IV, </w:t>
      </w:r>
      <w:r w:rsidRPr="00D353D1">
        <w:t>diplomas</w:t>
      </w:r>
      <w:r w:rsidRPr="008C4640">
        <w:t xml:space="preserve"> and </w:t>
      </w:r>
      <w:r w:rsidRPr="00D353D1">
        <w:t>advanced diplomas, vocational degrees</w:t>
      </w:r>
      <w:r w:rsidRPr="008C4640">
        <w:t xml:space="preserve">, and </w:t>
      </w:r>
      <w:r w:rsidRPr="00D353D1">
        <w:t>graduate certificates</w:t>
      </w:r>
      <w:r w:rsidRPr="008C4640">
        <w:t xml:space="preserve"> and </w:t>
      </w:r>
      <w:r w:rsidRPr="00D353D1">
        <w:t>diplomas</w:t>
      </w:r>
      <w:r w:rsidR="008D4C56">
        <w:t>. The sector also offers</w:t>
      </w:r>
      <w:r w:rsidRPr="008C4640">
        <w:t xml:space="preserve"> </w:t>
      </w:r>
      <w:r>
        <w:t xml:space="preserve">microcredentials </w:t>
      </w:r>
      <w:r w:rsidR="008D4C56">
        <w:t>and</w:t>
      </w:r>
      <w:r>
        <w:t xml:space="preserve"> short courses</w:t>
      </w:r>
      <w:r w:rsidRPr="008C4640">
        <w:t xml:space="preserve">, including standalone units of competency and skillsets. </w:t>
      </w:r>
    </w:p>
    <w:p w14:paraId="5064779F" w14:textId="39D11A19" w:rsidR="00CC10D4" w:rsidRPr="008C4640" w:rsidRDefault="007522C9" w:rsidP="007522C9">
      <w:r>
        <w:t>The higher education sector focuses on advanced knowledge and research. Most </w:t>
      </w:r>
      <w:r w:rsidDel="008C7852">
        <w:t xml:space="preserve">higher education </w:t>
      </w:r>
      <w:r>
        <w:t xml:space="preserve">students study at a university, though there are also university colleges and institutes of higher education </w:t>
      </w:r>
      <w:r w:rsidR="00812AB7">
        <w:t xml:space="preserve">with </w:t>
      </w:r>
      <w:r>
        <w:t xml:space="preserve">smaller student numbers. Higher education qualifications include </w:t>
      </w:r>
      <w:r w:rsidRPr="00D353D1">
        <w:t>undergraduate certificates, diplomas, advanced diplomas</w:t>
      </w:r>
      <w:r>
        <w:t xml:space="preserve"> and </w:t>
      </w:r>
      <w:r w:rsidRPr="00D353D1">
        <w:t>associate degrees, bachelor degrees, graduate certificates</w:t>
      </w:r>
      <w:r>
        <w:t xml:space="preserve"> and </w:t>
      </w:r>
      <w:r w:rsidRPr="00D353D1">
        <w:t>diplomas</w:t>
      </w:r>
      <w:r>
        <w:t xml:space="preserve">, and </w:t>
      </w:r>
      <w:r w:rsidRPr="00D353D1">
        <w:t>master</w:t>
      </w:r>
      <w:r>
        <w:t xml:space="preserve"> and </w:t>
      </w:r>
      <w:r w:rsidRPr="00D353D1">
        <w:t>doctoral degrees.</w:t>
      </w:r>
      <w:r>
        <w:t xml:space="preserve"> Increasingly, higher education providers </w:t>
      </w:r>
      <w:r w:rsidR="006B3E17">
        <w:t xml:space="preserve">offer </w:t>
      </w:r>
      <w:r>
        <w:t xml:space="preserve">short courses </w:t>
      </w:r>
      <w:r w:rsidR="006B3E17">
        <w:t>and</w:t>
      </w:r>
      <w:r>
        <w:t xml:space="preserve"> microcredentials. </w:t>
      </w:r>
      <w:r w:rsidR="00CC10D4">
        <w:t xml:space="preserve">  </w:t>
      </w:r>
    </w:p>
    <w:p w14:paraId="73913C79" w14:textId="0846B0BA" w:rsidR="007522C9" w:rsidRPr="008C4640" w:rsidRDefault="007522C9" w:rsidP="007522C9">
      <w:r>
        <w:t xml:space="preserve">Responsibility and funding for VET is shared between the </w:t>
      </w:r>
      <w:r w:rsidRPr="00D353D1">
        <w:t>Commonwealth</w:t>
      </w:r>
      <w:r>
        <w:t xml:space="preserve"> and state and territory governments, with each state and territory administering their own training system. Most VET providers are regulated nationally by the Australian Skills Quality Authority (ASQA), except in Victoria and Western Australia, </w:t>
      </w:r>
      <w:r w:rsidR="00D27B1C">
        <w:t xml:space="preserve">which have </w:t>
      </w:r>
      <w:r>
        <w:t>state regulators – the Victorian Registration and Quality Authority (VRQA) and Training Accreditation Council Western Australia (WA TAC</w:t>
      </w:r>
      <w:r w:rsidRPr="00D353D1">
        <w:t>).</w:t>
      </w:r>
      <w:r>
        <w:t xml:space="preserve"> By contrast, the Australian Government has primary responsibility for </w:t>
      </w:r>
      <w:r w:rsidR="00D873D7">
        <w:t xml:space="preserve">higher education </w:t>
      </w:r>
      <w:r>
        <w:t xml:space="preserve">policy and funding. Higher education providers are regulated by the Tertiary Education Quality and Standards Agency (TEQSA). </w:t>
      </w:r>
    </w:p>
    <w:p w14:paraId="0E8BB295" w14:textId="77777777" w:rsidR="00040790" w:rsidRDefault="007522C9" w:rsidP="00040790">
      <w:pPr>
        <w:rPr>
          <w:color w:val="auto"/>
        </w:rPr>
      </w:pPr>
      <w:r w:rsidRPr="6D76A63C">
        <w:rPr>
          <w:color w:val="auto"/>
        </w:rPr>
        <w:t>The VET sector has more student enrolments than in higher education, with 5.1 million students enrolled in VET programs in 2024</w:t>
      </w:r>
      <w:r w:rsidR="0056596B">
        <w:rPr>
          <w:color w:val="auto"/>
        </w:rPr>
        <w:t xml:space="preserve">, </w:t>
      </w:r>
      <w:r w:rsidR="0056596B" w:rsidDel="00DB290B">
        <w:rPr>
          <w:color w:val="auto"/>
        </w:rPr>
        <w:t xml:space="preserve">with </w:t>
      </w:r>
      <w:r w:rsidR="0056596B">
        <w:rPr>
          <w:color w:val="auto"/>
        </w:rPr>
        <w:t>m</w:t>
      </w:r>
      <w:r w:rsidR="00D05B55">
        <w:rPr>
          <w:color w:val="auto"/>
        </w:rPr>
        <w:t>ost</w:t>
      </w:r>
      <w:r w:rsidR="0056596B">
        <w:rPr>
          <w:color w:val="auto"/>
        </w:rPr>
        <w:t xml:space="preserve"> </w:t>
      </w:r>
      <w:r w:rsidR="00D05B55" w:rsidDel="00DB290B">
        <w:rPr>
          <w:color w:val="auto"/>
        </w:rPr>
        <w:t xml:space="preserve">enrolled </w:t>
      </w:r>
      <w:r w:rsidR="00D05B55">
        <w:rPr>
          <w:color w:val="auto"/>
        </w:rPr>
        <w:t>in</w:t>
      </w:r>
      <w:r w:rsidR="0056596B">
        <w:rPr>
          <w:color w:val="auto"/>
        </w:rPr>
        <w:t xml:space="preserve"> microcredentials</w:t>
      </w:r>
      <w:r w:rsidRPr="6D76A63C">
        <w:rPr>
          <w:color w:val="auto"/>
        </w:rPr>
        <w:t xml:space="preserve"> (NCVER 2025</w:t>
      </w:r>
      <w:r w:rsidR="0056596B">
        <w:rPr>
          <w:color w:val="auto"/>
        </w:rPr>
        <w:t>b</w:t>
      </w:r>
      <w:r w:rsidRPr="6D76A63C">
        <w:rPr>
          <w:color w:val="auto"/>
        </w:rPr>
        <w:t>).</w:t>
      </w:r>
      <w:r w:rsidR="00B514E3">
        <w:rPr>
          <w:color w:val="auto"/>
        </w:rPr>
        <w:t xml:space="preserve"> Around 41% of students were enrolled in full qualifications</w:t>
      </w:r>
      <w:r w:rsidR="0056596B">
        <w:rPr>
          <w:color w:val="auto"/>
        </w:rPr>
        <w:t xml:space="preserve">, 70% </w:t>
      </w:r>
      <w:r w:rsidR="00F55179">
        <w:rPr>
          <w:color w:val="auto"/>
        </w:rPr>
        <w:t>enrolled in</w:t>
      </w:r>
      <w:r w:rsidR="0056596B">
        <w:rPr>
          <w:color w:val="auto"/>
        </w:rPr>
        <w:t xml:space="preserve"> stand-alone subjects, and 4.3% </w:t>
      </w:r>
      <w:r w:rsidR="0056596B" w:rsidDel="00A84678">
        <w:rPr>
          <w:color w:val="auto"/>
        </w:rPr>
        <w:t xml:space="preserve">enrolled </w:t>
      </w:r>
      <w:r w:rsidR="0056596B">
        <w:rPr>
          <w:color w:val="auto"/>
        </w:rPr>
        <w:t>in short courses –</w:t>
      </w:r>
      <w:r w:rsidR="0056596B" w:rsidDel="00E077CC">
        <w:rPr>
          <w:color w:val="auto"/>
        </w:rPr>
        <w:t xml:space="preserve"> </w:t>
      </w:r>
      <w:r w:rsidR="0056596B">
        <w:rPr>
          <w:color w:val="auto"/>
        </w:rPr>
        <w:t>some student</w:t>
      </w:r>
      <w:r w:rsidR="00F529C1">
        <w:rPr>
          <w:color w:val="auto"/>
        </w:rPr>
        <w:t>s enrolled</w:t>
      </w:r>
      <w:r w:rsidR="0056596B" w:rsidDel="00F529C1">
        <w:rPr>
          <w:color w:val="auto"/>
        </w:rPr>
        <w:t xml:space="preserve"> </w:t>
      </w:r>
      <w:r w:rsidR="0056596B">
        <w:rPr>
          <w:color w:val="auto"/>
        </w:rPr>
        <w:t xml:space="preserve">in multiple </w:t>
      </w:r>
      <w:r w:rsidR="00DA3054">
        <w:rPr>
          <w:color w:val="auto"/>
        </w:rPr>
        <w:t xml:space="preserve">types </w:t>
      </w:r>
      <w:r w:rsidR="0056596B">
        <w:rPr>
          <w:color w:val="auto"/>
        </w:rPr>
        <w:t>of programs. The most common enrolment was in</w:t>
      </w:r>
      <w:r w:rsidRPr="6D76A63C">
        <w:rPr>
          <w:color w:val="auto"/>
        </w:rPr>
        <w:t xml:space="preserve"> first aid courses</w:t>
      </w:r>
      <w:r w:rsidR="00CB5178">
        <w:rPr>
          <w:color w:val="auto"/>
        </w:rPr>
        <w:t xml:space="preserve">. </w:t>
      </w:r>
      <w:r w:rsidR="00484D12">
        <w:rPr>
          <w:color w:val="auto"/>
        </w:rPr>
        <w:t>In higher education</w:t>
      </w:r>
      <w:r w:rsidR="00484D12" w:rsidRPr="008C4640">
        <w:rPr>
          <w:color w:val="auto"/>
        </w:rPr>
        <w:t xml:space="preserve">, almost 1.7 million students </w:t>
      </w:r>
      <w:r w:rsidR="00977919">
        <w:rPr>
          <w:color w:val="auto"/>
        </w:rPr>
        <w:t xml:space="preserve">were </w:t>
      </w:r>
      <w:r w:rsidR="00484D12" w:rsidRPr="008C4640">
        <w:rPr>
          <w:color w:val="auto"/>
        </w:rPr>
        <w:t xml:space="preserve">enrolled in </w:t>
      </w:r>
      <w:r w:rsidR="00484D12">
        <w:rPr>
          <w:color w:val="auto"/>
        </w:rPr>
        <w:t>2024</w:t>
      </w:r>
      <w:r w:rsidR="00484D12" w:rsidRPr="008C4640">
        <w:rPr>
          <w:color w:val="auto"/>
        </w:rPr>
        <w:t>, with around two-thirds</w:t>
      </w:r>
      <w:r w:rsidR="000F54F8">
        <w:rPr>
          <w:color w:val="auto"/>
        </w:rPr>
        <w:t xml:space="preserve"> studying</w:t>
      </w:r>
      <w:r w:rsidR="00484D12" w:rsidRPr="008C4640">
        <w:rPr>
          <w:color w:val="auto"/>
        </w:rPr>
        <w:t xml:space="preserve"> undergraduate qualifications, primarily </w:t>
      </w:r>
      <w:r w:rsidR="00484D12" w:rsidRPr="00D353D1">
        <w:rPr>
          <w:color w:val="auto"/>
        </w:rPr>
        <w:t>bachelor degrees</w:t>
      </w:r>
      <w:r w:rsidR="00484D12" w:rsidRPr="008C4640">
        <w:rPr>
          <w:color w:val="auto"/>
        </w:rPr>
        <w:t xml:space="preserve"> (DoE 2025</w:t>
      </w:r>
      <w:r w:rsidR="00484D12">
        <w:rPr>
          <w:color w:val="auto"/>
        </w:rPr>
        <w:t>b</w:t>
      </w:r>
      <w:r w:rsidR="00484D12" w:rsidRPr="008C4640">
        <w:rPr>
          <w:color w:val="auto"/>
        </w:rPr>
        <w:t>).</w:t>
      </w:r>
      <w:r w:rsidR="00D74D3D">
        <w:rPr>
          <w:rStyle w:val="FootnoteReference"/>
          <w:color w:val="auto"/>
        </w:rPr>
        <w:footnoteReference w:id="2"/>
      </w:r>
      <w:r w:rsidR="00040790" w:rsidRPr="00040790">
        <w:rPr>
          <w:color w:val="auto"/>
        </w:rPr>
        <w:t xml:space="preserve"> </w:t>
      </w:r>
    </w:p>
    <w:p w14:paraId="00216280" w14:textId="664C0C96" w:rsidR="00040790" w:rsidRDefault="00040790" w:rsidP="00040790">
      <w:pPr>
        <w:rPr>
          <w:color w:val="auto"/>
        </w:rPr>
      </w:pPr>
      <w:r>
        <w:rPr>
          <w:color w:val="auto"/>
        </w:rPr>
        <w:t xml:space="preserve">Both sectors are served by a mix of public and private providers, with a small number of public providers such as universities and TAFEs enrolling large student numbers (see Figure 2). In VET, 24 TAFEs account for 28% of enrolments in qualifications, and more than 3,100 private registered training organisations (RTOs) account for 58.3% of enrolments in qualifications (NCVER 2025b). A small number of students study with other providers, such as schools and universities registered as RTOs, and enterprise or community RTOs. </w:t>
      </w:r>
      <w:r w:rsidRPr="008C4640">
        <w:rPr>
          <w:color w:val="auto"/>
        </w:rPr>
        <w:t xml:space="preserve">Of the 215 higher education providers, 39 </w:t>
      </w:r>
      <w:r>
        <w:rPr>
          <w:color w:val="auto"/>
        </w:rPr>
        <w:t>are</w:t>
      </w:r>
      <w:r w:rsidRPr="008C4640">
        <w:rPr>
          <w:color w:val="auto"/>
        </w:rPr>
        <w:t xml:space="preserve"> public universities, accounting for 1.</w:t>
      </w:r>
      <w:r>
        <w:rPr>
          <w:color w:val="auto"/>
        </w:rPr>
        <w:t>5</w:t>
      </w:r>
      <w:r w:rsidRPr="008C4640">
        <w:rPr>
          <w:color w:val="auto"/>
        </w:rPr>
        <w:t xml:space="preserve"> million students (DoE 2025</w:t>
      </w:r>
      <w:r>
        <w:rPr>
          <w:color w:val="auto"/>
        </w:rPr>
        <w:t>b</w:t>
      </w:r>
      <w:r w:rsidRPr="008C4640">
        <w:rPr>
          <w:color w:val="auto"/>
        </w:rPr>
        <w:t>).</w:t>
      </w:r>
      <w:r>
        <w:rPr>
          <w:color w:val="auto"/>
        </w:rPr>
        <w:t xml:space="preserve"> Other students attend university colleges and institutes of higher education. The private higher education providers approved under the </w:t>
      </w:r>
      <w:r>
        <w:rPr>
          <w:i/>
          <w:iCs/>
          <w:color w:val="auto"/>
        </w:rPr>
        <w:t xml:space="preserve">Higher Education Support Act (2003) </w:t>
      </w:r>
      <w:r>
        <w:rPr>
          <w:color w:val="auto"/>
        </w:rPr>
        <w:t xml:space="preserve">account for almost 196,000 students. </w:t>
      </w:r>
    </w:p>
    <w:p w14:paraId="689C7258" w14:textId="1BCC8AAA" w:rsidR="00DA10EE" w:rsidRDefault="00DA10EE" w:rsidP="007522C9">
      <w:pPr>
        <w:rPr>
          <w:color w:val="auto"/>
        </w:rPr>
      </w:pPr>
    </w:p>
    <w:p w14:paraId="74C4ACEA" w14:textId="182752DA" w:rsidR="00CB5178" w:rsidRDefault="00C41AED" w:rsidP="00CB5178">
      <w:pPr>
        <w:keepNext/>
      </w:pPr>
      <w:r>
        <w:rPr>
          <w:noProof/>
        </w:rPr>
        <w:drawing>
          <wp:inline distT="0" distB="0" distL="0" distR="0" wp14:anchorId="791A8B62" wp14:editId="44D70640">
            <wp:extent cx="6068579" cy="2516428"/>
            <wp:effectExtent l="0" t="0" r="0" b="0"/>
            <wp:docPr id="157596961" name="Picture 2" descr="A bar graph showing the proportion of higher education students and VET students in 2024 by the type of provi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6961" name="Picture 2" descr="A bar graph showing the proportion of higher education students and VET students in 2024 by the type of provide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1411" cy="2521749"/>
                    </a:xfrm>
                    <a:prstGeom prst="rect">
                      <a:avLst/>
                    </a:prstGeom>
                    <a:noFill/>
                  </pic:spPr>
                </pic:pic>
              </a:graphicData>
            </a:graphic>
          </wp:inline>
        </w:drawing>
      </w:r>
    </w:p>
    <w:p w14:paraId="0C5C6B75" w14:textId="0F460AA4" w:rsidR="002A1C76" w:rsidRDefault="00CB5178" w:rsidP="00CB5178">
      <w:pPr>
        <w:pStyle w:val="Caption"/>
      </w:pPr>
      <w:bookmarkStart w:id="12" w:name="_Toc228799276"/>
      <w:r>
        <w:t xml:space="preserve">Figure </w:t>
      </w:r>
      <w:r>
        <w:fldChar w:fldCharType="begin"/>
      </w:r>
      <w:r>
        <w:instrText xml:space="preserve"> SEQ Figure \* ARABIC </w:instrText>
      </w:r>
      <w:r>
        <w:fldChar w:fldCharType="separate"/>
      </w:r>
      <w:r w:rsidR="008645D3">
        <w:rPr>
          <w:noProof/>
        </w:rPr>
        <w:t>2</w:t>
      </w:r>
      <w:r>
        <w:fldChar w:fldCharType="end"/>
      </w:r>
      <w:r>
        <w:t>: Students by provider type (2024)</w:t>
      </w:r>
      <w:bookmarkEnd w:id="12"/>
    </w:p>
    <w:p w14:paraId="2BFF83BA" w14:textId="75C6773D" w:rsidR="00992F4D" w:rsidRPr="00992F4D" w:rsidRDefault="00992F4D" w:rsidP="00992F4D">
      <w:pPr>
        <w:pStyle w:val="Source"/>
      </w:pPr>
      <w:r>
        <w:t>NCVER Databuilder, Student Enrolments, 2024; and Department of Education Selected Higher Education Statistics, 2024.</w:t>
      </w:r>
    </w:p>
    <w:p w14:paraId="0117FBB2" w14:textId="6003A22C" w:rsidR="007522C9" w:rsidRPr="007522C9" w:rsidRDefault="007522C9" w:rsidP="00F6716F">
      <w:r>
        <w:t xml:space="preserve">Many providers are registered in both sectors. As of 11 June 2025, there </w:t>
      </w:r>
      <w:r w:rsidRPr="00D353D1">
        <w:t>were</w:t>
      </w:r>
      <w:r>
        <w:t xml:space="preserve"> 57 dual sector providers including 15 universities identified on the National Register. These make up 27% of TEQSA-registered higher education providers and 1.5% of ASQA-regulated RTOs</w:t>
      </w:r>
      <w:r w:rsidRPr="00D353D1">
        <w:t>.</w:t>
      </w:r>
      <w:r>
        <w:t xml:space="preserve"> Of the 1,105,085 domestic higher education students, 30.6% (338,602) studied at dual sector providers; and of the 5.1 million students enrolled in VET, 13.9% (706,791) studied at dual sector providers (ASQA and TEQSA 2025).</w:t>
      </w:r>
    </w:p>
    <w:p w14:paraId="767700C4" w14:textId="622864FB" w:rsidR="000074A1" w:rsidRPr="00B53611" w:rsidRDefault="000074A1" w:rsidP="00B53611">
      <w:pPr>
        <w:pStyle w:val="Heading2"/>
        <w:numPr>
          <w:ilvl w:val="1"/>
          <w:numId w:val="14"/>
        </w:numPr>
        <w:spacing w:before="160" w:after="80" w:line="259" w:lineRule="auto"/>
        <w:ind w:left="851" w:hanging="851"/>
      </w:pPr>
      <w:bookmarkStart w:id="13" w:name="_Toc214882457"/>
      <w:bookmarkStart w:id="14" w:name="_Toc229643958"/>
      <w:r w:rsidRPr="00B53611">
        <w:t xml:space="preserve">Two decades of calls for a more </w:t>
      </w:r>
      <w:r w:rsidR="005A4B7C" w:rsidRPr="00B53611">
        <w:t>joined-up</w:t>
      </w:r>
      <w:r w:rsidRPr="00B53611">
        <w:t xml:space="preserve"> tertiary system</w:t>
      </w:r>
      <w:bookmarkEnd w:id="13"/>
      <w:bookmarkEnd w:id="14"/>
    </w:p>
    <w:p w14:paraId="3B453EC5" w14:textId="1C56B891" w:rsidR="000074A1" w:rsidRPr="009B4538" w:rsidRDefault="000074A1" w:rsidP="000074A1">
      <w:pPr>
        <w:rPr>
          <w:rFonts w:ascii="Arial" w:hAnsi="Arial"/>
          <w:color w:val="000000"/>
        </w:rPr>
      </w:pPr>
      <w:r w:rsidRPr="009B4538">
        <w:rPr>
          <w:rFonts w:ascii="Arial" w:hAnsi="Arial"/>
          <w:color w:val="000000"/>
        </w:rPr>
        <w:t xml:space="preserve">The concept of a more </w:t>
      </w:r>
      <w:r w:rsidR="005A4B7C">
        <w:rPr>
          <w:rFonts w:ascii="Arial" w:hAnsi="Arial"/>
          <w:color w:val="000000"/>
        </w:rPr>
        <w:t>joined-up</w:t>
      </w:r>
      <w:r w:rsidRPr="009B4538">
        <w:rPr>
          <w:rFonts w:ascii="Arial" w:hAnsi="Arial"/>
          <w:color w:val="000000"/>
        </w:rPr>
        <w:t xml:space="preserve"> tertiary system has been recognised for </w:t>
      </w:r>
      <w:r w:rsidRPr="009B4538" w:rsidDel="0025269A">
        <w:rPr>
          <w:rFonts w:ascii="Arial" w:hAnsi="Arial"/>
          <w:color w:val="000000"/>
        </w:rPr>
        <w:t>almost</w:t>
      </w:r>
      <w:r w:rsidRPr="009B4538">
        <w:rPr>
          <w:rFonts w:ascii="Arial" w:hAnsi="Arial"/>
          <w:color w:val="000000"/>
        </w:rPr>
        <w:t xml:space="preserve"> two decades, with early calls from the 2008 Bradley Review of </w:t>
      </w:r>
      <w:r w:rsidR="00F83B1D">
        <w:rPr>
          <w:rFonts w:ascii="Arial" w:hAnsi="Arial"/>
          <w:color w:val="000000"/>
        </w:rPr>
        <w:t>H</w:t>
      </w:r>
      <w:r w:rsidRPr="009B4538">
        <w:rPr>
          <w:rFonts w:ascii="Arial" w:hAnsi="Arial"/>
          <w:color w:val="000000"/>
        </w:rPr>
        <w:t xml:space="preserve">igher </w:t>
      </w:r>
      <w:r w:rsidR="00F83B1D">
        <w:rPr>
          <w:rFonts w:ascii="Arial" w:hAnsi="Arial"/>
          <w:color w:val="000000"/>
        </w:rPr>
        <w:t>E</w:t>
      </w:r>
      <w:r w:rsidRPr="009B4538">
        <w:rPr>
          <w:rFonts w:ascii="Arial" w:hAnsi="Arial"/>
          <w:color w:val="000000"/>
        </w:rPr>
        <w:t xml:space="preserve">ducation. Since then, literature and policy have consistently highlighted the fragmentation between VET and higher education in Australia. Across government reviews and academic analyses, there is broad agreement on the need for a more integrated and flexible tertiary system that supports lifelong learning, workforce mobility, and </w:t>
      </w:r>
      <w:r w:rsidR="00106E21">
        <w:rPr>
          <w:rFonts w:ascii="Arial" w:hAnsi="Arial"/>
          <w:color w:val="000000"/>
        </w:rPr>
        <w:t xml:space="preserve">is </w:t>
      </w:r>
      <w:r w:rsidRPr="009B4538">
        <w:rPr>
          <w:rFonts w:ascii="Arial" w:hAnsi="Arial"/>
          <w:color w:val="000000"/>
        </w:rPr>
        <w:t>responsive to economic and social change.</w:t>
      </w:r>
    </w:p>
    <w:p w14:paraId="2B96AECB" w14:textId="7FD90D35" w:rsidR="002E6441" w:rsidRDefault="000074A1" w:rsidP="000074A1">
      <w:pPr>
        <w:rPr>
          <w:rFonts w:ascii="Arial" w:hAnsi="Arial"/>
          <w:color w:val="000000"/>
        </w:rPr>
      </w:pPr>
      <w:r w:rsidRPr="009B4538">
        <w:rPr>
          <w:rFonts w:ascii="Arial" w:hAnsi="Arial"/>
          <w:color w:val="000000"/>
        </w:rPr>
        <w:t>Key themes emerging from the literature include</w:t>
      </w:r>
      <w:r w:rsidR="002E6441">
        <w:rPr>
          <w:rFonts w:ascii="Arial" w:hAnsi="Arial"/>
          <w:color w:val="000000"/>
        </w:rPr>
        <w:t>:</w:t>
      </w:r>
    </w:p>
    <w:p w14:paraId="54491996" w14:textId="5FC6F0C3" w:rsidR="00563C2A" w:rsidRDefault="000074A1" w:rsidP="00F37982">
      <w:pPr>
        <w:pStyle w:val="ListBullet"/>
        <w:numPr>
          <w:ilvl w:val="0"/>
          <w:numId w:val="91"/>
        </w:numPr>
      </w:pPr>
      <w:r w:rsidRPr="00656678">
        <w:t>the importance of clear</w:t>
      </w:r>
      <w:r w:rsidR="00384ABC">
        <w:t>, flexible and integrated</w:t>
      </w:r>
      <w:r w:rsidRPr="00656678">
        <w:t xml:space="preserve"> pathways between sectors</w:t>
      </w:r>
    </w:p>
    <w:p w14:paraId="2275E57D" w14:textId="4E9E52A2" w:rsidR="00384ABC" w:rsidRDefault="000074A1" w:rsidP="000F05DF">
      <w:pPr>
        <w:pStyle w:val="ListBullet"/>
        <w:numPr>
          <w:ilvl w:val="0"/>
          <w:numId w:val="91"/>
        </w:numPr>
      </w:pPr>
      <w:r w:rsidRPr="00656678">
        <w:t>the need for consistent and transparent credit transfer arrangements</w:t>
      </w:r>
    </w:p>
    <w:p w14:paraId="7020135F" w14:textId="0C941968" w:rsidR="00563C2A" w:rsidRDefault="000074A1" w:rsidP="00F37982">
      <w:pPr>
        <w:pStyle w:val="ListBullet"/>
        <w:numPr>
          <w:ilvl w:val="0"/>
          <w:numId w:val="91"/>
        </w:numPr>
      </w:pPr>
      <w:r w:rsidRPr="00656678">
        <w:t>the</w:t>
      </w:r>
      <w:r w:rsidR="004A2FC6">
        <w:t xml:space="preserve"> value of</w:t>
      </w:r>
      <w:r w:rsidRPr="00656678">
        <w:t xml:space="preserve"> </w:t>
      </w:r>
      <w:r w:rsidR="00CF7A63">
        <w:t>greater collaboration and alignment between the sectors</w:t>
      </w:r>
    </w:p>
    <w:p w14:paraId="2100CE7F" w14:textId="336DD3F9" w:rsidR="000F05DF" w:rsidRDefault="000F05DF" w:rsidP="00F37982">
      <w:pPr>
        <w:pStyle w:val="ListBullet"/>
        <w:numPr>
          <w:ilvl w:val="0"/>
          <w:numId w:val="91"/>
        </w:numPr>
      </w:pPr>
      <w:r>
        <w:t>the</w:t>
      </w:r>
      <w:r w:rsidR="004A2FC6">
        <w:t xml:space="preserve"> need to </w:t>
      </w:r>
      <w:r w:rsidR="00212D8D">
        <w:t>recognise the strengths and roles of each sector equally.</w:t>
      </w:r>
      <w:r w:rsidR="004A2FC6">
        <w:t xml:space="preserve"> </w:t>
      </w:r>
    </w:p>
    <w:p w14:paraId="6A85DE23" w14:textId="7F07FA73" w:rsidR="000074A1" w:rsidRPr="00656678" w:rsidRDefault="000074A1" w:rsidP="00F55179">
      <w:pPr>
        <w:pStyle w:val="ListBullet"/>
        <w:ind w:left="0" w:firstLine="0"/>
      </w:pPr>
      <w:r w:rsidRPr="00656678">
        <w:t>Multiple inquiries and reviews have called for reforms to the Australian Qualifications Framework</w:t>
      </w:r>
      <w:r w:rsidR="007379A0" w:rsidRPr="00656678">
        <w:t xml:space="preserve"> (AQF)</w:t>
      </w:r>
      <w:r w:rsidRPr="00656678">
        <w:t>, funding models, and regulatory settings to enable greater alignment and parity of esteem between VET and higher education.</w:t>
      </w:r>
    </w:p>
    <w:p w14:paraId="2CA7C500" w14:textId="1E6FFEA3" w:rsidR="000074A1" w:rsidRPr="009B4538" w:rsidRDefault="000074A1" w:rsidP="000074A1">
      <w:pPr>
        <w:rPr>
          <w:rFonts w:ascii="Arial" w:hAnsi="Arial"/>
          <w:color w:val="000000"/>
        </w:rPr>
      </w:pPr>
      <w:r w:rsidRPr="009B4538">
        <w:rPr>
          <w:rFonts w:ascii="Arial" w:hAnsi="Arial"/>
          <w:color w:val="000000"/>
        </w:rPr>
        <w:t>Recent policy initiatives and pilot projects</w:t>
      </w:r>
      <w:r w:rsidR="006B3925">
        <w:rPr>
          <w:rFonts w:ascii="Arial" w:hAnsi="Arial"/>
          <w:color w:val="000000"/>
        </w:rPr>
        <w:t xml:space="preserve"> </w:t>
      </w:r>
      <w:r w:rsidRPr="009B4538">
        <w:rPr>
          <w:rFonts w:ascii="Arial" w:hAnsi="Arial"/>
          <w:color w:val="000000"/>
        </w:rPr>
        <w:t>reflect growing momentum towards harmonisation. However,</w:t>
      </w:r>
      <w:r w:rsidRPr="009B4538" w:rsidDel="00E8325C">
        <w:rPr>
          <w:rFonts w:ascii="Arial" w:hAnsi="Arial"/>
          <w:color w:val="000000"/>
        </w:rPr>
        <w:t xml:space="preserve"> </w:t>
      </w:r>
      <w:r w:rsidRPr="009B4538">
        <w:rPr>
          <w:rFonts w:ascii="Arial" w:hAnsi="Arial"/>
          <w:color w:val="000000"/>
        </w:rPr>
        <w:t>evidence also points to persistent challenges, including regulatory complexity, funding disparities, and cultural divides between sectors. These issues require coordinated action across governments, providers, and industry, underpinned by a shared commitment to system-wide reform.</w:t>
      </w:r>
    </w:p>
    <w:p w14:paraId="3B3D5423" w14:textId="1ECC1875" w:rsidR="000074A1" w:rsidRPr="00D353D1" w:rsidDel="003939D2" w:rsidRDefault="000074A1" w:rsidP="000074A1">
      <w:pPr>
        <w:rPr>
          <w:rFonts w:ascii="Arial" w:hAnsi="Arial"/>
          <w:color w:val="000000"/>
        </w:rPr>
      </w:pPr>
      <w:r w:rsidRPr="00D353D1">
        <w:rPr>
          <w:rFonts w:ascii="Arial" w:hAnsi="Arial"/>
          <w:color w:val="000000"/>
        </w:rPr>
        <w:t xml:space="preserve">The Bradley </w:t>
      </w:r>
      <w:r w:rsidR="002A6971">
        <w:rPr>
          <w:rFonts w:ascii="Arial" w:hAnsi="Arial"/>
          <w:color w:val="000000"/>
        </w:rPr>
        <w:t>R</w:t>
      </w:r>
      <w:r w:rsidRPr="00D353D1">
        <w:rPr>
          <w:rFonts w:ascii="Arial" w:hAnsi="Arial"/>
          <w:color w:val="000000"/>
        </w:rPr>
        <w:t>eview</w:t>
      </w:r>
      <w:r w:rsidR="00051C86">
        <w:rPr>
          <w:rFonts w:ascii="Arial" w:hAnsi="Arial"/>
          <w:color w:val="000000"/>
        </w:rPr>
        <w:t xml:space="preserve"> (</w:t>
      </w:r>
      <w:r w:rsidR="002A6971">
        <w:rPr>
          <w:rFonts w:ascii="Arial" w:hAnsi="Arial"/>
          <w:color w:val="000000"/>
        </w:rPr>
        <w:t xml:space="preserve">Bradley et al. </w:t>
      </w:r>
      <w:r w:rsidR="00051C86">
        <w:rPr>
          <w:rFonts w:ascii="Arial" w:hAnsi="Arial"/>
          <w:color w:val="000000"/>
        </w:rPr>
        <w:t>2008)</w:t>
      </w:r>
      <w:r w:rsidRPr="00D353D1">
        <w:rPr>
          <w:rFonts w:ascii="Arial" w:hAnsi="Arial"/>
          <w:color w:val="000000"/>
        </w:rPr>
        <w:t xml:space="preserve"> advocated for a unified tertiary education system with stronger links between VET and higher education</w:t>
      </w:r>
      <w:r w:rsidR="00EC69BB">
        <w:rPr>
          <w:rFonts w:ascii="Arial" w:hAnsi="Arial"/>
          <w:color w:val="000000"/>
        </w:rPr>
        <w:t xml:space="preserve">, </w:t>
      </w:r>
      <w:r w:rsidR="00EA1D69">
        <w:rPr>
          <w:rFonts w:ascii="Arial" w:hAnsi="Arial"/>
          <w:color w:val="000000"/>
        </w:rPr>
        <w:t>noting that:</w:t>
      </w:r>
      <w:r w:rsidR="00651A8C" w:rsidDel="003939D2">
        <w:rPr>
          <w:rFonts w:ascii="Arial" w:hAnsi="Arial"/>
          <w:color w:val="000000"/>
        </w:rPr>
        <w:t xml:space="preserve"> </w:t>
      </w:r>
    </w:p>
    <w:p w14:paraId="6B2F523B" w14:textId="7AA2BC9D" w:rsidR="00AA3085" w:rsidRPr="00D353D1" w:rsidRDefault="00EC69BB" w:rsidP="00F6716F">
      <w:pPr>
        <w:ind w:left="360"/>
        <w:rPr>
          <w:rFonts w:ascii="Arial" w:hAnsi="Arial"/>
          <w:color w:val="000000"/>
        </w:rPr>
      </w:pPr>
      <w:r>
        <w:rPr>
          <w:rFonts w:ascii="Arial" w:hAnsi="Arial"/>
          <w:color w:val="000000"/>
        </w:rPr>
        <w:t>“</w:t>
      </w:r>
      <w:r w:rsidR="00AA3085" w:rsidRPr="00AA3085" w:rsidDel="003939D2">
        <w:rPr>
          <w:rFonts w:ascii="Arial" w:hAnsi="Arial"/>
          <w:color w:val="000000"/>
        </w:rPr>
        <w:t xml:space="preserve">The principal </w:t>
      </w:r>
      <w:r w:rsidR="00AA3085" w:rsidRPr="00AA3085">
        <w:rPr>
          <w:rFonts w:ascii="Arial" w:hAnsi="Arial"/>
          <w:color w:val="000000"/>
        </w:rPr>
        <w:t>characteristics of a fully effective tertiary system</w:t>
      </w:r>
      <w:r w:rsidR="00AA3085" w:rsidRPr="00AA3085" w:rsidDel="003939D2">
        <w:rPr>
          <w:rFonts w:ascii="Arial" w:hAnsi="Arial"/>
          <w:color w:val="000000"/>
        </w:rPr>
        <w:t xml:space="preserve"> would be</w:t>
      </w:r>
      <w:r w:rsidR="00AA3085" w:rsidRPr="00AA3085">
        <w:rPr>
          <w:rFonts w:ascii="Arial" w:hAnsi="Arial"/>
          <w:color w:val="000000"/>
        </w:rPr>
        <w:t>:</w:t>
      </w:r>
    </w:p>
    <w:p w14:paraId="3AD192F7" w14:textId="1E637F5A" w:rsidR="000074A1" w:rsidRPr="00463D33" w:rsidRDefault="00274CAE" w:rsidP="00F6716F">
      <w:pPr>
        <w:pStyle w:val="BodyText"/>
        <w:numPr>
          <w:ilvl w:val="0"/>
          <w:numId w:val="63"/>
        </w:numPr>
        <w:spacing w:before="40" w:after="80"/>
        <w:ind w:left="1080"/>
        <w:rPr>
          <w:rFonts w:eastAsia="Times New Roman" w:cs="Times New Roman"/>
          <w:sz w:val="20"/>
          <w:lang w:eastAsia="en-AU"/>
        </w:rPr>
      </w:pPr>
      <w:r w:rsidRPr="00463D33" w:rsidDel="00432D0C">
        <w:rPr>
          <w:rFonts w:eastAsia="Times New Roman" w:cs="Times New Roman"/>
          <w:sz w:val="20"/>
          <w:lang w:eastAsia="en-AU"/>
        </w:rPr>
        <w:t xml:space="preserve">The </w:t>
      </w:r>
      <w:r w:rsidR="000074A1" w:rsidRPr="00463D33">
        <w:rPr>
          <w:rFonts w:eastAsia="Times New Roman" w:cs="Times New Roman"/>
          <w:sz w:val="20"/>
          <w:lang w:eastAsia="en-AU"/>
        </w:rPr>
        <w:t xml:space="preserve">equal value attributed to VET and higher education, reflecting their different roles in </w:t>
      </w:r>
      <w:r w:rsidR="000074A1" w:rsidRPr="00463D33" w:rsidDel="00C7005B">
        <w:rPr>
          <w:rFonts w:eastAsia="Times New Roman" w:cs="Times New Roman"/>
          <w:sz w:val="20"/>
          <w:lang w:eastAsia="en-AU"/>
        </w:rPr>
        <w:t xml:space="preserve">the </w:t>
      </w:r>
      <w:r w:rsidR="000074A1" w:rsidRPr="00463D33">
        <w:rPr>
          <w:rFonts w:eastAsia="Times New Roman" w:cs="Times New Roman"/>
          <w:sz w:val="20"/>
          <w:lang w:eastAsia="en-AU"/>
        </w:rPr>
        <w:t>development</w:t>
      </w:r>
      <w:r w:rsidR="000074A1" w:rsidRPr="00463D33" w:rsidDel="00C7005B">
        <w:rPr>
          <w:rFonts w:eastAsia="Times New Roman" w:cs="Times New Roman"/>
          <w:sz w:val="20"/>
          <w:lang w:eastAsia="en-AU"/>
        </w:rPr>
        <w:t xml:space="preserve"> of</w:t>
      </w:r>
      <w:r w:rsidR="000074A1" w:rsidRPr="00463D33">
        <w:rPr>
          <w:rFonts w:eastAsia="Times New Roman" w:cs="Times New Roman"/>
          <w:sz w:val="20"/>
          <w:lang w:eastAsia="en-AU"/>
        </w:rPr>
        <w:t xml:space="preserve"> skills and knowledge and their contributions to </w:t>
      </w:r>
      <w:r w:rsidR="000074A1" w:rsidRPr="00463D33" w:rsidDel="00F82A8D">
        <w:rPr>
          <w:rFonts w:eastAsia="Times New Roman" w:cs="Times New Roman"/>
          <w:sz w:val="20"/>
          <w:lang w:eastAsia="en-AU"/>
        </w:rPr>
        <w:t>our</w:t>
      </w:r>
      <w:r w:rsidR="000074A1" w:rsidRPr="00463D33">
        <w:rPr>
          <w:rFonts w:eastAsia="Times New Roman" w:cs="Times New Roman"/>
          <w:sz w:val="20"/>
          <w:lang w:eastAsia="en-AU"/>
        </w:rPr>
        <w:t xml:space="preserve"> economy and </w:t>
      </w:r>
      <w:proofErr w:type="gramStart"/>
      <w:r w:rsidR="000074A1" w:rsidRPr="00463D33">
        <w:rPr>
          <w:rFonts w:eastAsia="Times New Roman" w:cs="Times New Roman"/>
          <w:sz w:val="20"/>
          <w:lang w:eastAsia="en-AU"/>
        </w:rPr>
        <w:t>society</w:t>
      </w:r>
      <w:r w:rsidRPr="00463D33">
        <w:rPr>
          <w:rFonts w:eastAsia="Times New Roman" w:cs="Times New Roman"/>
          <w:sz w:val="20"/>
          <w:lang w:eastAsia="en-AU"/>
        </w:rPr>
        <w:t>;</w:t>
      </w:r>
      <w:proofErr w:type="gramEnd"/>
    </w:p>
    <w:p w14:paraId="14FFD5D0" w14:textId="5CE7598A" w:rsidR="000074A1" w:rsidRPr="00463D33" w:rsidRDefault="000074A1" w:rsidP="00F6716F">
      <w:pPr>
        <w:pStyle w:val="BodyText"/>
        <w:numPr>
          <w:ilvl w:val="0"/>
          <w:numId w:val="63"/>
        </w:numPr>
        <w:spacing w:before="40" w:after="80"/>
        <w:ind w:left="1080"/>
        <w:rPr>
          <w:rFonts w:eastAsia="Times New Roman" w:cs="Times New Roman"/>
          <w:sz w:val="20"/>
          <w:lang w:eastAsia="en-AU"/>
        </w:rPr>
      </w:pPr>
      <w:r w:rsidRPr="00463D33">
        <w:rPr>
          <w:rFonts w:eastAsia="Times New Roman" w:cs="Times New Roman"/>
          <w:sz w:val="20"/>
          <w:lang w:eastAsia="en-AU"/>
        </w:rPr>
        <w:t>recognising that institutions may have a primary mission in one sector, but should still be able to offer qualifications in the other</w:t>
      </w:r>
      <w:r w:rsidRPr="00463D33" w:rsidDel="0064070F">
        <w:rPr>
          <w:rFonts w:eastAsia="Times New Roman" w:cs="Times New Roman"/>
          <w:sz w:val="20"/>
          <w:lang w:eastAsia="en-AU"/>
        </w:rPr>
        <w:t xml:space="preserve"> sector as under current </w:t>
      </w:r>
      <w:proofErr w:type="gramStart"/>
      <w:r w:rsidRPr="00463D33" w:rsidDel="0064070F">
        <w:rPr>
          <w:rFonts w:eastAsia="Times New Roman" w:cs="Times New Roman"/>
          <w:sz w:val="20"/>
          <w:lang w:eastAsia="en-AU"/>
        </w:rPr>
        <w:t>arrangements</w:t>
      </w:r>
      <w:r w:rsidR="00274CAE" w:rsidRPr="00463D33">
        <w:rPr>
          <w:rFonts w:eastAsia="Times New Roman" w:cs="Times New Roman"/>
          <w:sz w:val="20"/>
          <w:lang w:eastAsia="en-AU"/>
        </w:rPr>
        <w:t>;</w:t>
      </w:r>
      <w:proofErr w:type="gramEnd"/>
    </w:p>
    <w:p w14:paraId="35BA5C5D" w14:textId="64E73802" w:rsidR="000074A1" w:rsidRPr="00463D33" w:rsidRDefault="000074A1" w:rsidP="00F6716F">
      <w:pPr>
        <w:pStyle w:val="BodyText"/>
        <w:numPr>
          <w:ilvl w:val="0"/>
          <w:numId w:val="63"/>
        </w:numPr>
        <w:spacing w:before="40" w:after="80"/>
        <w:ind w:left="1080"/>
        <w:rPr>
          <w:rFonts w:eastAsia="Times New Roman" w:cs="Times New Roman"/>
          <w:sz w:val="20"/>
          <w:lang w:eastAsia="en-AU"/>
        </w:rPr>
      </w:pPr>
      <w:r w:rsidRPr="00463D33">
        <w:rPr>
          <w:rFonts w:eastAsia="Times New Roman" w:cs="Times New Roman"/>
          <w:sz w:val="20"/>
          <w:lang w:eastAsia="en-AU"/>
        </w:rPr>
        <w:t xml:space="preserve">a shared and coordinated information base and approach to anticipating future labour market needs, industry needs and demographic </w:t>
      </w:r>
      <w:proofErr w:type="gramStart"/>
      <w:r w:rsidRPr="00463D33">
        <w:rPr>
          <w:rFonts w:eastAsia="Times New Roman" w:cs="Times New Roman"/>
          <w:sz w:val="20"/>
          <w:lang w:eastAsia="en-AU"/>
        </w:rPr>
        <w:t>trends</w:t>
      </w:r>
      <w:r w:rsidR="00274CAE" w:rsidRPr="00463D33">
        <w:rPr>
          <w:rFonts w:eastAsia="Times New Roman" w:cs="Times New Roman"/>
          <w:sz w:val="20"/>
          <w:lang w:eastAsia="en-AU"/>
        </w:rPr>
        <w:t>;</w:t>
      </w:r>
      <w:proofErr w:type="gramEnd"/>
    </w:p>
    <w:p w14:paraId="4976206B" w14:textId="2E4D73F3" w:rsidR="000074A1" w:rsidRPr="00463D33" w:rsidRDefault="000074A1" w:rsidP="00F6716F">
      <w:pPr>
        <w:pStyle w:val="BodyText"/>
        <w:numPr>
          <w:ilvl w:val="0"/>
          <w:numId w:val="63"/>
        </w:numPr>
        <w:spacing w:before="40" w:after="80"/>
        <w:ind w:left="1080"/>
        <w:rPr>
          <w:rFonts w:eastAsia="Times New Roman" w:cs="Times New Roman"/>
          <w:sz w:val="20"/>
          <w:lang w:eastAsia="en-AU"/>
        </w:rPr>
      </w:pPr>
      <w:r w:rsidRPr="00463D33" w:rsidDel="00743D8D">
        <w:rPr>
          <w:rFonts w:eastAsia="Times New Roman" w:cs="Times New Roman"/>
          <w:sz w:val="20"/>
          <w:lang w:eastAsia="en-AU"/>
        </w:rPr>
        <w:t xml:space="preserve">a </w:t>
      </w:r>
      <w:r w:rsidRPr="00463D33">
        <w:rPr>
          <w:rFonts w:eastAsia="Times New Roman" w:cs="Times New Roman"/>
          <w:sz w:val="20"/>
          <w:lang w:eastAsia="en-AU"/>
        </w:rPr>
        <w:t xml:space="preserve">capacity for the whole system to provide integrated responses to workforce needs for industries and enterprises, including those in specific localities and communities like outer metropolitan and regional areas </w:t>
      </w:r>
      <w:r w:rsidRPr="00463D33" w:rsidDel="00ED5E87">
        <w:rPr>
          <w:rFonts w:eastAsia="Times New Roman" w:cs="Times New Roman"/>
          <w:sz w:val="20"/>
          <w:lang w:eastAsia="en-AU"/>
        </w:rPr>
        <w:t xml:space="preserve">where there is </w:t>
      </w:r>
      <w:r w:rsidRPr="00463D33">
        <w:rPr>
          <w:rFonts w:eastAsia="Times New Roman" w:cs="Times New Roman"/>
          <w:sz w:val="20"/>
          <w:lang w:eastAsia="en-AU"/>
        </w:rPr>
        <w:t xml:space="preserve">significant population growth, low levels of educational attainment and participation and uneven </w:t>
      </w:r>
      <w:proofErr w:type="gramStart"/>
      <w:r w:rsidRPr="00463D33">
        <w:rPr>
          <w:rFonts w:eastAsia="Times New Roman" w:cs="Times New Roman"/>
          <w:sz w:val="20"/>
          <w:lang w:eastAsia="en-AU"/>
        </w:rPr>
        <w:t>provision</w:t>
      </w:r>
      <w:r w:rsidR="00274CAE" w:rsidRPr="00463D33">
        <w:rPr>
          <w:rFonts w:eastAsia="Times New Roman" w:cs="Times New Roman"/>
          <w:sz w:val="20"/>
          <w:lang w:eastAsia="en-AU"/>
        </w:rPr>
        <w:t>;</w:t>
      </w:r>
      <w:proofErr w:type="gramEnd"/>
    </w:p>
    <w:p w14:paraId="53C69165" w14:textId="7C5FB123" w:rsidR="000074A1" w:rsidRPr="00463D33" w:rsidRDefault="000074A1" w:rsidP="00F6716F">
      <w:pPr>
        <w:pStyle w:val="BodyText"/>
        <w:numPr>
          <w:ilvl w:val="0"/>
          <w:numId w:val="63"/>
        </w:numPr>
        <w:spacing w:before="40" w:after="80"/>
        <w:ind w:left="1080"/>
        <w:rPr>
          <w:rFonts w:eastAsia="Times New Roman" w:cs="Times New Roman"/>
          <w:sz w:val="20"/>
          <w:lang w:eastAsia="en-AU"/>
        </w:rPr>
      </w:pPr>
      <w:r w:rsidRPr="00463D33">
        <w:rPr>
          <w:rFonts w:eastAsia="Times New Roman" w:cs="Times New Roman"/>
          <w:sz w:val="20"/>
          <w:lang w:eastAsia="en-AU"/>
        </w:rPr>
        <w:t>an efficient regulatory and accountability framework</w:t>
      </w:r>
      <w:r w:rsidR="00274CAE" w:rsidRPr="00463D33">
        <w:rPr>
          <w:rFonts w:eastAsia="Times New Roman" w:cs="Times New Roman"/>
          <w:sz w:val="20"/>
          <w:lang w:eastAsia="en-AU"/>
        </w:rPr>
        <w:t>; and</w:t>
      </w:r>
    </w:p>
    <w:p w14:paraId="03C4B872" w14:textId="77328954" w:rsidR="000074A1" w:rsidRPr="00D353D1" w:rsidRDefault="000074A1" w:rsidP="3B6CFB9E">
      <w:pPr>
        <w:pStyle w:val="BodyText"/>
        <w:numPr>
          <w:ilvl w:val="0"/>
          <w:numId w:val="63"/>
        </w:numPr>
        <w:spacing w:before="40" w:after="80"/>
        <w:ind w:left="1080"/>
        <w:rPr>
          <w:rFonts w:eastAsia="Times New Roman" w:cs="Times New Roman"/>
          <w:sz w:val="20"/>
          <w:lang w:eastAsia="en-AU"/>
        </w:rPr>
      </w:pPr>
      <w:r w:rsidRPr="3B6CFB9E">
        <w:rPr>
          <w:rFonts w:eastAsia="Times New Roman" w:cs="Times New Roman"/>
          <w:sz w:val="20"/>
          <w:lang w:eastAsia="en-AU"/>
        </w:rPr>
        <w:t>clearer and stronger pathways between the sectors in both directions</w:t>
      </w:r>
      <w:r w:rsidR="00274CAE" w:rsidRPr="3B6CFB9E">
        <w:rPr>
          <w:rFonts w:eastAsia="Times New Roman" w:cs="Times New Roman"/>
          <w:sz w:val="20"/>
          <w:lang w:eastAsia="en-AU"/>
        </w:rPr>
        <w:t>.”</w:t>
      </w:r>
      <w:r w:rsidR="63BBCA75" w:rsidRPr="3B6CFB9E">
        <w:rPr>
          <w:rFonts w:eastAsia="Times New Roman" w:cs="Times New Roman"/>
          <w:sz w:val="20"/>
          <w:lang w:eastAsia="en-AU"/>
        </w:rPr>
        <w:t xml:space="preserve"> </w:t>
      </w:r>
      <w:r w:rsidR="00AA3085" w:rsidRPr="3B6CFB9E">
        <w:rPr>
          <w:rFonts w:eastAsia="Times New Roman" w:cs="Times New Roman"/>
          <w:sz w:val="20"/>
          <w:lang w:eastAsia="en-AU"/>
        </w:rPr>
        <w:t>(p. 179</w:t>
      </w:r>
      <w:r w:rsidRPr="3B6CFB9E">
        <w:rPr>
          <w:rFonts w:eastAsia="Times New Roman" w:cs="Times New Roman"/>
          <w:sz w:val="20"/>
          <w:lang w:eastAsia="en-AU"/>
        </w:rPr>
        <w:t>).</w:t>
      </w:r>
    </w:p>
    <w:p w14:paraId="2CE49E58" w14:textId="1DC506B1" w:rsidR="000074A1" w:rsidRPr="00D353D1" w:rsidRDefault="001913C3" w:rsidP="00823658">
      <w:pPr>
        <w:pStyle w:val="BodyText"/>
        <w:rPr>
          <w:rFonts w:eastAsia="Times New Roman" w:cs="Times New Roman"/>
          <w:sz w:val="20"/>
          <w:lang w:eastAsia="en-AU"/>
        </w:rPr>
      </w:pPr>
      <w:r>
        <w:rPr>
          <w:rFonts w:eastAsia="Times New Roman" w:cs="Times New Roman"/>
          <w:sz w:val="20"/>
          <w:lang w:eastAsia="en-AU"/>
        </w:rPr>
        <w:t>T</w:t>
      </w:r>
      <w:r w:rsidR="000074A1" w:rsidRPr="00D353D1">
        <w:rPr>
          <w:rFonts w:eastAsia="Times New Roman" w:cs="Times New Roman"/>
          <w:sz w:val="20"/>
          <w:lang w:eastAsia="en-AU"/>
        </w:rPr>
        <w:t xml:space="preserve">he </w:t>
      </w:r>
      <w:r w:rsidR="000074A1" w:rsidRPr="00F6716F">
        <w:rPr>
          <w:rFonts w:eastAsia="Times New Roman" w:cs="Times New Roman"/>
          <w:i/>
          <w:color w:val="000000"/>
          <w:sz w:val="20"/>
          <w:lang w:eastAsia="en-AU"/>
        </w:rPr>
        <w:t>2019 Review of the Australian Qualifications Framework</w:t>
      </w:r>
      <w:r w:rsidR="000074A1" w:rsidRPr="00D353D1">
        <w:rPr>
          <w:rFonts w:eastAsia="Times New Roman" w:cs="Times New Roman"/>
          <w:color w:val="000000"/>
          <w:sz w:val="20"/>
          <w:lang w:eastAsia="en-AU"/>
        </w:rPr>
        <w:t xml:space="preserve"> (The AQF Review) </w:t>
      </w:r>
      <w:r w:rsidR="00685058">
        <w:rPr>
          <w:rFonts w:eastAsia="Times New Roman" w:cs="Times New Roman"/>
          <w:sz w:val="20"/>
          <w:lang w:eastAsia="en-AU"/>
        </w:rPr>
        <w:t>highlights key objectives</w:t>
      </w:r>
      <w:r w:rsidR="006A38E2">
        <w:rPr>
          <w:rFonts w:eastAsia="Times New Roman" w:cs="Times New Roman"/>
          <w:sz w:val="20"/>
          <w:lang w:eastAsia="en-AU"/>
        </w:rPr>
        <w:t xml:space="preserve"> of AQF reform</w:t>
      </w:r>
      <w:r w:rsidR="00685058">
        <w:rPr>
          <w:rFonts w:eastAsia="Times New Roman" w:cs="Times New Roman"/>
          <w:sz w:val="20"/>
          <w:lang w:eastAsia="en-AU"/>
        </w:rPr>
        <w:t xml:space="preserve">, including a better connected post-secondary </w:t>
      </w:r>
      <w:r w:rsidR="009475D3">
        <w:rPr>
          <w:rFonts w:eastAsia="Times New Roman" w:cs="Times New Roman"/>
          <w:sz w:val="20"/>
          <w:lang w:eastAsia="en-AU"/>
        </w:rPr>
        <w:t xml:space="preserve">system, </w:t>
      </w:r>
      <w:r w:rsidR="009475D3" w:rsidRPr="00D353D1">
        <w:rPr>
          <w:rFonts w:eastAsia="Times New Roman" w:cs="Times New Roman"/>
          <w:sz w:val="20"/>
          <w:lang w:eastAsia="en-AU"/>
        </w:rPr>
        <w:t>learner</w:t>
      </w:r>
      <w:r w:rsidR="006A38E2">
        <w:rPr>
          <w:rFonts w:eastAsia="Times New Roman" w:cs="Times New Roman"/>
          <w:sz w:val="20"/>
          <w:lang w:eastAsia="en-AU"/>
        </w:rPr>
        <w:t>-centred pathways and credit recognition, a strengthened VET sector</w:t>
      </w:r>
      <w:r w:rsidR="000F13CD">
        <w:rPr>
          <w:rFonts w:eastAsia="Times New Roman" w:cs="Times New Roman"/>
          <w:sz w:val="20"/>
          <w:lang w:eastAsia="en-AU"/>
        </w:rPr>
        <w:t xml:space="preserve"> and improving employment outcomes. To achieve these objectives, it</w:t>
      </w:r>
      <w:r w:rsidR="00A65E32">
        <w:rPr>
          <w:rFonts w:eastAsia="Times New Roman" w:cs="Times New Roman"/>
          <w:sz w:val="20"/>
          <w:lang w:eastAsia="en-AU"/>
        </w:rPr>
        <w:t xml:space="preserve"> recommended chang</w:t>
      </w:r>
      <w:r w:rsidR="003E7173">
        <w:rPr>
          <w:rFonts w:eastAsia="Times New Roman" w:cs="Times New Roman"/>
          <w:sz w:val="20"/>
          <w:lang w:eastAsia="en-AU"/>
        </w:rPr>
        <w:t>ing</w:t>
      </w:r>
      <w:r w:rsidR="00A65E32">
        <w:rPr>
          <w:rFonts w:eastAsia="Times New Roman" w:cs="Times New Roman"/>
          <w:sz w:val="20"/>
          <w:lang w:eastAsia="en-AU"/>
        </w:rPr>
        <w:t xml:space="preserve"> the way qualification types are defined</w:t>
      </w:r>
      <w:r w:rsidR="00765E18">
        <w:rPr>
          <w:rFonts w:eastAsia="Times New Roman" w:cs="Times New Roman"/>
          <w:sz w:val="20"/>
          <w:lang w:eastAsia="en-AU"/>
        </w:rPr>
        <w:t xml:space="preserve"> in the framework</w:t>
      </w:r>
      <w:r w:rsidR="00A65E32">
        <w:rPr>
          <w:rFonts w:eastAsia="Times New Roman" w:cs="Times New Roman"/>
          <w:sz w:val="20"/>
          <w:lang w:eastAsia="en-AU"/>
        </w:rPr>
        <w:t xml:space="preserve"> to better reflect the strengths of both sectors, </w:t>
      </w:r>
      <w:r w:rsidR="00823658" w:rsidRPr="00823658">
        <w:rPr>
          <w:rFonts w:eastAsia="Times New Roman" w:cs="Times New Roman"/>
          <w:sz w:val="20"/>
          <w:lang w:eastAsia="en-AU"/>
        </w:rPr>
        <w:t>reduc</w:t>
      </w:r>
      <w:r w:rsidR="003E7173">
        <w:rPr>
          <w:rFonts w:eastAsia="Times New Roman" w:cs="Times New Roman"/>
          <w:sz w:val="20"/>
          <w:lang w:eastAsia="en-AU"/>
        </w:rPr>
        <w:t>ing</w:t>
      </w:r>
      <w:r w:rsidR="00823658" w:rsidRPr="00823658">
        <w:rPr>
          <w:rFonts w:eastAsia="Times New Roman" w:cs="Times New Roman"/>
          <w:sz w:val="20"/>
          <w:lang w:eastAsia="en-AU"/>
        </w:rPr>
        <w:t xml:space="preserve"> ambiguities and inconsistencies within the AQF</w:t>
      </w:r>
      <w:r w:rsidR="00823658">
        <w:rPr>
          <w:rFonts w:eastAsia="Times New Roman" w:cs="Times New Roman"/>
          <w:sz w:val="20"/>
          <w:lang w:eastAsia="en-AU"/>
        </w:rPr>
        <w:t xml:space="preserve">, </w:t>
      </w:r>
      <w:r w:rsidR="003E7173" w:rsidRPr="00823658">
        <w:rPr>
          <w:rFonts w:eastAsia="Times New Roman" w:cs="Times New Roman"/>
          <w:sz w:val="20"/>
          <w:lang w:eastAsia="en-AU"/>
        </w:rPr>
        <w:t>encourag</w:t>
      </w:r>
      <w:r w:rsidR="003E7173">
        <w:rPr>
          <w:rFonts w:eastAsia="Times New Roman" w:cs="Times New Roman"/>
          <w:sz w:val="20"/>
          <w:lang w:eastAsia="en-AU"/>
        </w:rPr>
        <w:t>ing</w:t>
      </w:r>
      <w:r w:rsidR="00823658" w:rsidRPr="00823658">
        <w:rPr>
          <w:rFonts w:eastAsia="Times New Roman" w:cs="Times New Roman"/>
          <w:sz w:val="20"/>
          <w:lang w:eastAsia="en-AU"/>
        </w:rPr>
        <w:t xml:space="preserve"> flexible, cross-sectoral learning pathways through revised </w:t>
      </w:r>
      <w:r w:rsidR="00823658">
        <w:rPr>
          <w:rFonts w:eastAsia="Times New Roman" w:cs="Times New Roman"/>
          <w:sz w:val="20"/>
          <w:lang w:eastAsia="en-AU"/>
        </w:rPr>
        <w:t xml:space="preserve">credit recognition </w:t>
      </w:r>
      <w:r w:rsidR="00823658" w:rsidRPr="00823658">
        <w:rPr>
          <w:rFonts w:eastAsia="Times New Roman" w:cs="Times New Roman"/>
          <w:sz w:val="20"/>
          <w:lang w:eastAsia="en-AU"/>
        </w:rPr>
        <w:t xml:space="preserve">policies, </w:t>
      </w:r>
      <w:r w:rsidR="00823658">
        <w:rPr>
          <w:rFonts w:eastAsia="Times New Roman" w:cs="Times New Roman"/>
          <w:sz w:val="20"/>
          <w:lang w:eastAsia="en-AU"/>
        </w:rPr>
        <w:t>and b</w:t>
      </w:r>
      <w:r w:rsidR="00823658" w:rsidRPr="00823658">
        <w:rPr>
          <w:rFonts w:eastAsia="Times New Roman" w:cs="Times New Roman"/>
          <w:sz w:val="20"/>
          <w:lang w:eastAsia="en-AU"/>
        </w:rPr>
        <w:t>uild</w:t>
      </w:r>
      <w:r w:rsidR="003E7173">
        <w:rPr>
          <w:rFonts w:eastAsia="Times New Roman" w:cs="Times New Roman"/>
          <w:sz w:val="20"/>
          <w:lang w:eastAsia="en-AU"/>
        </w:rPr>
        <w:t>ing</w:t>
      </w:r>
      <w:r w:rsidR="00823658" w:rsidRPr="00823658">
        <w:rPr>
          <w:rFonts w:eastAsia="Times New Roman" w:cs="Times New Roman"/>
          <w:sz w:val="20"/>
          <w:lang w:eastAsia="en-AU"/>
        </w:rPr>
        <w:t xml:space="preserve"> ‘general capabilities’ into the framework architecture</w:t>
      </w:r>
      <w:r w:rsidR="002A6971">
        <w:rPr>
          <w:rFonts w:eastAsia="Times New Roman" w:cs="Times New Roman"/>
          <w:sz w:val="20"/>
          <w:lang w:eastAsia="en-AU"/>
        </w:rPr>
        <w:t xml:space="preserve"> (</w:t>
      </w:r>
      <w:r w:rsidR="009475D3">
        <w:rPr>
          <w:rFonts w:eastAsia="Times New Roman" w:cs="Times New Roman"/>
          <w:sz w:val="20"/>
          <w:lang w:eastAsia="en-AU"/>
        </w:rPr>
        <w:t>DoE</w:t>
      </w:r>
      <w:r w:rsidR="002A6971">
        <w:rPr>
          <w:rFonts w:eastAsia="Times New Roman" w:cs="Times New Roman"/>
          <w:sz w:val="20"/>
          <w:lang w:eastAsia="en-AU"/>
        </w:rPr>
        <w:t xml:space="preserve"> 2019)</w:t>
      </w:r>
      <w:r w:rsidR="00823658" w:rsidRPr="00823658">
        <w:rPr>
          <w:rFonts w:eastAsia="Times New Roman" w:cs="Times New Roman"/>
          <w:sz w:val="20"/>
          <w:lang w:eastAsia="en-AU"/>
        </w:rPr>
        <w:t>.</w:t>
      </w:r>
    </w:p>
    <w:p w14:paraId="03BB86C2" w14:textId="63E717D8" w:rsidR="00FD6B75" w:rsidRPr="00D353D1" w:rsidRDefault="00290C3E" w:rsidP="000074A1">
      <w:pPr>
        <w:pStyle w:val="BodyText"/>
        <w:rPr>
          <w:rFonts w:eastAsia="Times New Roman" w:cs="Times New Roman"/>
          <w:sz w:val="20"/>
          <w:lang w:eastAsia="en-AU"/>
        </w:rPr>
      </w:pPr>
      <w:r>
        <w:rPr>
          <w:rFonts w:eastAsia="Times New Roman" w:cs="Times New Roman"/>
          <w:sz w:val="20"/>
          <w:lang w:eastAsia="en-AU"/>
        </w:rPr>
        <w:t>In their paper, ‘Rethinking and revitalising tertiary education in Australia</w:t>
      </w:r>
      <w:r w:rsidR="009A42DD">
        <w:rPr>
          <w:rFonts w:eastAsia="Times New Roman" w:cs="Times New Roman"/>
          <w:sz w:val="20"/>
          <w:lang w:eastAsia="en-AU"/>
        </w:rPr>
        <w:t>’</w:t>
      </w:r>
      <w:r>
        <w:rPr>
          <w:rFonts w:eastAsia="Times New Roman" w:cs="Times New Roman"/>
          <w:sz w:val="20"/>
          <w:lang w:eastAsia="en-AU"/>
        </w:rPr>
        <w:t>, Dawkins, Hurley and Noonan</w:t>
      </w:r>
      <w:r w:rsidR="002A6971">
        <w:rPr>
          <w:rFonts w:eastAsia="Times New Roman" w:cs="Times New Roman"/>
          <w:sz w:val="20"/>
          <w:lang w:eastAsia="en-AU"/>
        </w:rPr>
        <w:t xml:space="preserve"> </w:t>
      </w:r>
      <w:r w:rsidR="00FD6B75" w:rsidRPr="00FD6B75">
        <w:rPr>
          <w:rFonts w:eastAsia="Times New Roman" w:cs="Times New Roman"/>
          <w:sz w:val="20"/>
          <w:lang w:eastAsia="en-AU"/>
        </w:rPr>
        <w:t>identif</w:t>
      </w:r>
      <w:r>
        <w:rPr>
          <w:rFonts w:eastAsia="Times New Roman" w:cs="Times New Roman"/>
          <w:sz w:val="20"/>
          <w:lang w:eastAsia="en-AU"/>
        </w:rPr>
        <w:t>y</w:t>
      </w:r>
      <w:r w:rsidR="00FD6B75" w:rsidRPr="00FD6B75">
        <w:rPr>
          <w:rFonts w:eastAsia="Times New Roman" w:cs="Times New Roman"/>
          <w:sz w:val="20"/>
          <w:lang w:eastAsia="en-AU"/>
        </w:rPr>
        <w:t xml:space="preserve"> the fragmentation of Australia’s tertiary education landscape</w:t>
      </w:r>
      <w:r w:rsidR="008E3D3F">
        <w:rPr>
          <w:rFonts w:eastAsia="Times New Roman" w:cs="Times New Roman"/>
          <w:sz w:val="20"/>
          <w:lang w:eastAsia="en-AU"/>
        </w:rPr>
        <w:t xml:space="preserve"> and </w:t>
      </w:r>
      <w:r w:rsidR="00FD6B75" w:rsidRPr="00FD6B75">
        <w:rPr>
          <w:rFonts w:eastAsia="Times New Roman" w:cs="Times New Roman"/>
          <w:sz w:val="20"/>
          <w:lang w:eastAsia="en-AU"/>
        </w:rPr>
        <w:t>emphasis</w:t>
      </w:r>
      <w:r w:rsidR="008E3D3F">
        <w:rPr>
          <w:rFonts w:eastAsia="Times New Roman" w:cs="Times New Roman"/>
          <w:sz w:val="20"/>
          <w:lang w:eastAsia="en-AU"/>
        </w:rPr>
        <w:t>e</w:t>
      </w:r>
      <w:r w:rsidR="00FD6B75" w:rsidRPr="00FD6B75">
        <w:rPr>
          <w:rFonts w:eastAsia="Times New Roman" w:cs="Times New Roman"/>
          <w:sz w:val="20"/>
          <w:lang w:eastAsia="en-AU"/>
        </w:rPr>
        <w:t xml:space="preserve"> the entrenched binary divide between </w:t>
      </w:r>
      <w:r w:rsidR="00FD6B75">
        <w:rPr>
          <w:rFonts w:eastAsia="Times New Roman" w:cs="Times New Roman"/>
          <w:sz w:val="20"/>
          <w:lang w:eastAsia="en-AU"/>
        </w:rPr>
        <w:t xml:space="preserve">VET </w:t>
      </w:r>
      <w:r w:rsidR="00FD6B75" w:rsidRPr="00FD6B75">
        <w:rPr>
          <w:rFonts w:eastAsia="Times New Roman" w:cs="Times New Roman"/>
          <w:sz w:val="20"/>
          <w:lang w:eastAsia="en-AU"/>
        </w:rPr>
        <w:t>and higher education</w:t>
      </w:r>
      <w:r>
        <w:rPr>
          <w:rFonts w:eastAsia="Times New Roman" w:cs="Times New Roman"/>
          <w:sz w:val="20"/>
          <w:lang w:eastAsia="en-AU"/>
        </w:rPr>
        <w:t xml:space="preserve"> (2019)</w:t>
      </w:r>
      <w:r w:rsidR="00FD6B75" w:rsidRPr="00FD6B75">
        <w:rPr>
          <w:rFonts w:eastAsia="Times New Roman" w:cs="Times New Roman"/>
          <w:sz w:val="20"/>
          <w:lang w:eastAsia="en-AU"/>
        </w:rPr>
        <w:t>. The authors argue that this structure is no longer fit for purpose in an era that demands lifelong learning and flexible skills acquisition. Rather than proposing a merger of the sectors, they advocate for a “joined-up” or integrated system, to be achieved through reforms to the Australian Qualifications Framework (AQF), alignment of funding and subsidy models, and the establishment of a single, outcomes-focused national regulator.</w:t>
      </w:r>
      <w:r w:rsidR="00901F77" w:rsidRPr="00D353D1">
        <w:rPr>
          <w:rFonts w:eastAsia="Times New Roman" w:cs="Times New Roman"/>
          <w:sz w:val="20"/>
          <w:lang w:eastAsia="en-AU"/>
        </w:rPr>
        <w:t xml:space="preserve"> </w:t>
      </w:r>
    </w:p>
    <w:p w14:paraId="599B60E5" w14:textId="3EB4F520" w:rsidR="000074A1" w:rsidRPr="009B4538" w:rsidRDefault="000074A1" w:rsidP="000074A1">
      <w:pPr>
        <w:rPr>
          <w:rFonts w:ascii="Arial" w:hAnsi="Arial"/>
          <w:color w:val="000000"/>
        </w:rPr>
      </w:pPr>
      <w:r w:rsidRPr="3B6CFB9E">
        <w:rPr>
          <w:rFonts w:ascii="Arial" w:hAnsi="Arial"/>
        </w:rPr>
        <w:t xml:space="preserve">The </w:t>
      </w:r>
      <w:r w:rsidRPr="3B6CFB9E">
        <w:rPr>
          <w:rFonts w:ascii="Arial" w:hAnsi="Arial"/>
          <w:i/>
          <w:iCs/>
        </w:rPr>
        <w:t>Looking to the future – Report of the review of senior secondary pathways into work, further education and training</w:t>
      </w:r>
      <w:r w:rsidRPr="3B6CFB9E">
        <w:rPr>
          <w:rFonts w:ascii="Arial" w:hAnsi="Arial"/>
        </w:rPr>
        <w:t xml:space="preserve"> (2020), chaired by Professor Peter Shergold AC, propose</w:t>
      </w:r>
      <w:r w:rsidR="1D97BF60" w:rsidRPr="3B6CFB9E">
        <w:rPr>
          <w:rFonts w:ascii="Arial" w:hAnsi="Arial"/>
        </w:rPr>
        <w:t>d</w:t>
      </w:r>
      <w:r w:rsidRPr="3B6CFB9E">
        <w:rPr>
          <w:rFonts w:ascii="Arial" w:hAnsi="Arial"/>
        </w:rPr>
        <w:t xml:space="preserve"> a coherent package of initiatives to move towards a national approach to </w:t>
      </w:r>
      <w:r w:rsidR="0074223B" w:rsidRPr="3B6CFB9E">
        <w:rPr>
          <w:rFonts w:ascii="Arial" w:hAnsi="Arial"/>
        </w:rPr>
        <w:t xml:space="preserve">post-school </w:t>
      </w:r>
      <w:r w:rsidRPr="3B6CFB9E">
        <w:rPr>
          <w:rFonts w:ascii="Arial" w:hAnsi="Arial"/>
        </w:rPr>
        <w:t xml:space="preserve">pathways. </w:t>
      </w:r>
      <w:r w:rsidR="00CD7D01" w:rsidRPr="3B6CFB9E">
        <w:rPr>
          <w:rFonts w:ascii="Arial" w:hAnsi="Arial"/>
        </w:rPr>
        <w:t xml:space="preserve">It called </w:t>
      </w:r>
      <w:r w:rsidRPr="3B6CFB9E">
        <w:rPr>
          <w:rFonts w:ascii="Arial" w:hAnsi="Arial"/>
        </w:rPr>
        <w:t>for better link</w:t>
      </w:r>
      <w:r w:rsidR="00CD7D01" w:rsidRPr="3B6CFB9E">
        <w:rPr>
          <w:rFonts w:ascii="Arial" w:hAnsi="Arial"/>
        </w:rPr>
        <w:t>s</w:t>
      </w:r>
      <w:r w:rsidRPr="3B6CFB9E">
        <w:rPr>
          <w:rFonts w:ascii="Arial" w:hAnsi="Arial"/>
        </w:rPr>
        <w:t xml:space="preserve"> between VET and higher education and advocate</w:t>
      </w:r>
      <w:r w:rsidR="00CD7D01" w:rsidRPr="3B6CFB9E">
        <w:rPr>
          <w:rFonts w:ascii="Arial" w:hAnsi="Arial"/>
        </w:rPr>
        <w:t>d</w:t>
      </w:r>
      <w:r w:rsidRPr="3B6CFB9E">
        <w:rPr>
          <w:rFonts w:ascii="Arial" w:hAnsi="Arial"/>
        </w:rPr>
        <w:t xml:space="preserve"> for integrated pathways and flexible transitions between the two sectors</w:t>
      </w:r>
      <w:r w:rsidR="007C46DF" w:rsidRPr="3B6CFB9E">
        <w:rPr>
          <w:rFonts w:ascii="Arial" w:hAnsi="Arial"/>
        </w:rPr>
        <w:t xml:space="preserve">, as well as </w:t>
      </w:r>
      <w:r w:rsidR="006A4813" w:rsidRPr="3B6CFB9E">
        <w:rPr>
          <w:rFonts w:ascii="Arial" w:hAnsi="Arial"/>
        </w:rPr>
        <w:t>better</w:t>
      </w:r>
      <w:r w:rsidRPr="3B6CFB9E">
        <w:rPr>
          <w:rFonts w:ascii="Arial" w:hAnsi="Arial"/>
        </w:rPr>
        <w:t xml:space="preserve"> </w:t>
      </w:r>
      <w:r w:rsidR="007C46DF" w:rsidRPr="3B6CFB9E">
        <w:rPr>
          <w:rFonts w:ascii="Arial" w:hAnsi="Arial"/>
        </w:rPr>
        <w:t xml:space="preserve">enabling school students to </w:t>
      </w:r>
      <w:r w:rsidR="00525782" w:rsidRPr="3B6CFB9E">
        <w:rPr>
          <w:rFonts w:ascii="Arial" w:hAnsi="Arial"/>
        </w:rPr>
        <w:t>make</w:t>
      </w:r>
      <w:r w:rsidR="007C46DF" w:rsidRPr="3B6CFB9E">
        <w:rPr>
          <w:rFonts w:ascii="Arial" w:hAnsi="Arial"/>
        </w:rPr>
        <w:t xml:space="preserve"> informed choices about their post-school </w:t>
      </w:r>
      <w:r w:rsidR="00905F23" w:rsidRPr="3B6CFB9E">
        <w:rPr>
          <w:rFonts w:ascii="Arial" w:hAnsi="Arial"/>
        </w:rPr>
        <w:t>options</w:t>
      </w:r>
      <w:r w:rsidR="007C46DF" w:rsidRPr="3B6CFB9E">
        <w:rPr>
          <w:rFonts w:ascii="Arial" w:hAnsi="Arial"/>
        </w:rPr>
        <w:t xml:space="preserve"> </w:t>
      </w:r>
      <w:r w:rsidRPr="3B6CFB9E">
        <w:rPr>
          <w:rFonts w:ascii="Arial" w:hAnsi="Arial"/>
        </w:rPr>
        <w:t xml:space="preserve">(Shergold et al. 2020).  </w:t>
      </w:r>
    </w:p>
    <w:p w14:paraId="38E1239C" w14:textId="75EE4F4A" w:rsidR="000074A1" w:rsidRDefault="000074A1" w:rsidP="00AC7E45">
      <w:pPr>
        <w:keepLines/>
        <w:rPr>
          <w:rFonts w:ascii="Arial" w:eastAsia="Arial" w:hAnsi="Arial"/>
          <w:color w:val="000000"/>
        </w:rPr>
      </w:pPr>
      <w:r w:rsidRPr="009B4538">
        <w:rPr>
          <w:rFonts w:ascii="Arial" w:hAnsi="Arial"/>
          <w:color w:val="000000"/>
        </w:rPr>
        <w:t xml:space="preserve">The </w:t>
      </w:r>
      <w:r w:rsidRPr="009B4538">
        <w:rPr>
          <w:rFonts w:ascii="Arial" w:hAnsi="Arial"/>
          <w:i/>
          <w:iCs/>
          <w:color w:val="000000"/>
        </w:rPr>
        <w:t>Australian Universities</w:t>
      </w:r>
      <w:r w:rsidRPr="009B4538">
        <w:rPr>
          <w:rFonts w:ascii="Arial" w:hAnsi="Arial"/>
          <w:color w:val="000000"/>
        </w:rPr>
        <w:t xml:space="preserve"> </w:t>
      </w:r>
      <w:r w:rsidRPr="009B4538">
        <w:rPr>
          <w:rFonts w:ascii="Arial" w:hAnsi="Arial"/>
          <w:i/>
          <w:color w:val="000000"/>
        </w:rPr>
        <w:t xml:space="preserve">Accord Final Report </w:t>
      </w:r>
      <w:r w:rsidRPr="009B4538">
        <w:rPr>
          <w:rFonts w:ascii="Arial" w:eastAsia="Arial" w:hAnsi="Arial"/>
          <w:color w:val="000000"/>
        </w:rPr>
        <w:t>supported a whole-of-tertiary attainment target and acknowledg</w:t>
      </w:r>
      <w:r w:rsidR="00B4743C">
        <w:rPr>
          <w:rFonts w:ascii="Arial" w:eastAsia="Arial" w:hAnsi="Arial"/>
          <w:color w:val="000000"/>
        </w:rPr>
        <w:t>ed</w:t>
      </w:r>
      <w:r w:rsidRPr="009B4538">
        <w:rPr>
          <w:rFonts w:ascii="Arial" w:eastAsia="Arial" w:hAnsi="Arial"/>
          <w:color w:val="000000"/>
        </w:rPr>
        <w:t xml:space="preserve"> the need for greater parity and improved pathways between VET and higher education (DoE 2024). This </w:t>
      </w:r>
      <w:r w:rsidRPr="00D353D1">
        <w:rPr>
          <w:rFonts w:ascii="Arial" w:eastAsia="Arial" w:hAnsi="Arial"/>
          <w:color w:val="000000"/>
        </w:rPr>
        <w:t xml:space="preserve">is essential to create a more </w:t>
      </w:r>
      <w:r w:rsidR="00B4743C">
        <w:rPr>
          <w:rFonts w:ascii="Arial" w:eastAsia="Arial" w:hAnsi="Arial"/>
          <w:color w:val="000000"/>
        </w:rPr>
        <w:t>joined-up</w:t>
      </w:r>
      <w:r w:rsidRPr="00D353D1">
        <w:rPr>
          <w:rFonts w:ascii="Arial" w:eastAsia="Arial" w:hAnsi="Arial"/>
          <w:color w:val="000000"/>
        </w:rPr>
        <w:t xml:space="preserve">, flexible, and fair tertiary education system that meets Australia’s skills needs, removes barriers for </w:t>
      </w:r>
      <w:r w:rsidR="00C10B2B">
        <w:rPr>
          <w:rFonts w:ascii="Arial" w:eastAsia="Arial" w:hAnsi="Arial"/>
          <w:color w:val="000000"/>
        </w:rPr>
        <w:t>learners</w:t>
      </w:r>
      <w:r w:rsidRPr="00D353D1">
        <w:rPr>
          <w:rFonts w:ascii="Arial" w:eastAsia="Arial" w:hAnsi="Arial"/>
          <w:color w:val="000000"/>
        </w:rPr>
        <w:t>, supports lifelong learning, promotes equity and social mobility, and ensures both sectors are valued and responsive to economic and social change.</w:t>
      </w:r>
    </w:p>
    <w:p w14:paraId="1246D8DA" w14:textId="4817C7CC" w:rsidR="00191E69" w:rsidRPr="00191E69" w:rsidRDefault="00191E69" w:rsidP="00191E69">
      <w:pPr>
        <w:keepLines/>
        <w:rPr>
          <w:rFonts w:ascii="Arial" w:hAnsi="Arial"/>
          <w:color w:val="000000"/>
        </w:rPr>
      </w:pPr>
      <w:r w:rsidRPr="00191E69">
        <w:rPr>
          <w:rFonts w:ascii="Arial" w:hAnsi="Arial"/>
          <w:color w:val="000000"/>
        </w:rPr>
        <w:t>Dawkins, Lilly and Pascoe’s</w:t>
      </w:r>
      <w:r w:rsidR="008E3D3F">
        <w:rPr>
          <w:rFonts w:ascii="Arial" w:hAnsi="Arial"/>
          <w:color w:val="000000"/>
        </w:rPr>
        <w:t xml:space="preserve"> </w:t>
      </w:r>
      <w:r w:rsidRPr="00E225EB">
        <w:rPr>
          <w:rFonts w:ascii="Arial" w:hAnsi="Arial"/>
          <w:i/>
          <w:iCs/>
          <w:color w:val="000000"/>
        </w:rPr>
        <w:t>Rethinking Tertiary Education: Building on the Work of Peter Noonan</w:t>
      </w:r>
      <w:r w:rsidRPr="00191E69">
        <w:rPr>
          <w:rFonts w:ascii="Arial" w:hAnsi="Arial"/>
          <w:color w:val="000000"/>
        </w:rPr>
        <w:t>, offers a comprehensive and practical vision for harmonising Australia’s tertiary education system</w:t>
      </w:r>
      <w:r w:rsidR="008E3D3F">
        <w:rPr>
          <w:rFonts w:ascii="Arial" w:hAnsi="Arial"/>
          <w:color w:val="000000"/>
        </w:rPr>
        <w:t xml:space="preserve"> (2023)</w:t>
      </w:r>
      <w:r w:rsidRPr="00191E69">
        <w:rPr>
          <w:rFonts w:ascii="Arial" w:hAnsi="Arial"/>
          <w:color w:val="000000"/>
        </w:rPr>
        <w:t>. The book advances the concept of “one system, two sectors”, arguing that while VET and higher education should retain their distinct missions, they must be strategically aligned through shared system architecture, clear and navigable pathways, and genuine parity of esteem.</w:t>
      </w:r>
    </w:p>
    <w:p w14:paraId="301FD929" w14:textId="16B4C9A0" w:rsidR="000074A1" w:rsidRPr="009B4538" w:rsidRDefault="000074A1" w:rsidP="000074A1">
      <w:pPr>
        <w:rPr>
          <w:rFonts w:ascii="Arial" w:eastAsia="Arial" w:hAnsi="Arial"/>
          <w:color w:val="000000"/>
        </w:rPr>
      </w:pPr>
      <w:r w:rsidRPr="009B4538">
        <w:rPr>
          <w:rFonts w:ascii="Arial" w:eastAsia="Arial" w:hAnsi="Arial"/>
          <w:color w:val="000000"/>
        </w:rPr>
        <w:t>The</w:t>
      </w:r>
      <w:r w:rsidRPr="009B4538" w:rsidDel="00C87D66">
        <w:rPr>
          <w:rFonts w:ascii="Arial" w:eastAsia="Arial" w:hAnsi="Arial"/>
          <w:color w:val="000000"/>
        </w:rPr>
        <w:t xml:space="preserve"> </w:t>
      </w:r>
      <w:r w:rsidRPr="009B4538">
        <w:rPr>
          <w:rFonts w:ascii="Arial" w:eastAsia="Arial" w:hAnsi="Arial"/>
          <w:color w:val="000000"/>
        </w:rPr>
        <w:t>Inquiry into the perceptions and status of vocational education and training</w:t>
      </w:r>
      <w:r w:rsidR="00C87B66">
        <w:rPr>
          <w:rFonts w:ascii="Arial" w:eastAsia="Arial" w:hAnsi="Arial"/>
          <w:color w:val="000000"/>
        </w:rPr>
        <w:t xml:space="preserve"> final report</w:t>
      </w:r>
      <w:r w:rsidRPr="009B4538">
        <w:rPr>
          <w:rFonts w:ascii="Arial" w:eastAsia="Arial" w:hAnsi="Arial"/>
          <w:color w:val="000000"/>
        </w:rPr>
        <w:t xml:space="preserve">, </w:t>
      </w:r>
      <w:r w:rsidRPr="009B4538">
        <w:rPr>
          <w:rFonts w:ascii="Arial" w:eastAsia="Arial" w:hAnsi="Arial"/>
          <w:i/>
          <w:iCs/>
          <w:color w:val="000000"/>
        </w:rPr>
        <w:t>Shared Vision, Equal Pathways</w:t>
      </w:r>
      <w:r w:rsidR="005F34B2">
        <w:rPr>
          <w:rFonts w:ascii="Arial" w:eastAsia="Arial" w:hAnsi="Arial"/>
          <w:i/>
          <w:iCs/>
          <w:color w:val="000000"/>
        </w:rPr>
        <w:t xml:space="preserve"> </w:t>
      </w:r>
      <w:r w:rsidR="005F34B2">
        <w:rPr>
          <w:rFonts w:ascii="Arial" w:eastAsia="Arial" w:hAnsi="Arial"/>
          <w:color w:val="000000"/>
        </w:rPr>
        <w:t>(</w:t>
      </w:r>
      <w:r w:rsidR="00643C66">
        <w:rPr>
          <w:rFonts w:ascii="Arial" w:eastAsia="Arial" w:hAnsi="Arial"/>
          <w:color w:val="000000"/>
        </w:rPr>
        <w:t>Parliament of Australia 2</w:t>
      </w:r>
      <w:r w:rsidR="005F34B2">
        <w:rPr>
          <w:rFonts w:ascii="Arial" w:eastAsia="Arial" w:hAnsi="Arial"/>
          <w:color w:val="000000"/>
        </w:rPr>
        <w:t>024)</w:t>
      </w:r>
      <w:r w:rsidRPr="009B4538">
        <w:rPr>
          <w:rFonts w:ascii="Arial" w:eastAsia="Arial" w:hAnsi="Arial"/>
          <w:i/>
          <w:iCs/>
          <w:color w:val="000000"/>
        </w:rPr>
        <w:t>,</w:t>
      </w:r>
      <w:r w:rsidRPr="009B4538">
        <w:rPr>
          <w:rFonts w:ascii="Arial" w:eastAsia="Arial" w:hAnsi="Arial"/>
          <w:color w:val="000000"/>
        </w:rPr>
        <w:t xml:space="preserve"> found that Australia’s future skills </w:t>
      </w:r>
      <w:proofErr w:type="gramStart"/>
      <w:r w:rsidRPr="009B4538">
        <w:rPr>
          <w:rFonts w:ascii="Arial" w:eastAsia="Arial" w:hAnsi="Arial"/>
          <w:color w:val="000000"/>
        </w:rPr>
        <w:t>needs</w:t>
      </w:r>
      <w:proofErr w:type="gramEnd"/>
      <w:r w:rsidRPr="009B4538">
        <w:rPr>
          <w:rFonts w:ascii="Arial" w:eastAsia="Arial" w:hAnsi="Arial"/>
          <w:color w:val="000000"/>
        </w:rPr>
        <w:t xml:space="preserve"> require improved collaboration between VET and higher education.</w:t>
      </w:r>
      <w:r w:rsidRPr="009B4538">
        <w:rPr>
          <w:rFonts w:ascii="Arial" w:eastAsia="Arial" w:hAnsi="Arial"/>
          <w:i/>
          <w:iCs/>
          <w:color w:val="000000"/>
          <w:vertAlign w:val="superscript"/>
        </w:rPr>
        <w:t xml:space="preserve"> </w:t>
      </w:r>
      <w:r w:rsidRPr="009B4538">
        <w:rPr>
          <w:rFonts w:ascii="Arial" w:eastAsia="Arial" w:hAnsi="Arial"/>
          <w:color w:val="000000"/>
        </w:rPr>
        <w:t xml:space="preserve">The current separation </w:t>
      </w:r>
      <w:r w:rsidRPr="009B4538" w:rsidDel="007A1E4A">
        <w:rPr>
          <w:rFonts w:ascii="Arial" w:eastAsia="Arial" w:hAnsi="Arial"/>
          <w:color w:val="000000"/>
        </w:rPr>
        <w:t xml:space="preserve">between the sectors </w:t>
      </w:r>
      <w:r w:rsidRPr="009B4538">
        <w:rPr>
          <w:rFonts w:ascii="Arial" w:eastAsia="Arial" w:hAnsi="Arial"/>
          <w:color w:val="000000"/>
        </w:rPr>
        <w:t xml:space="preserve">creates barriers for learners, limits lifelong learning, and fails to deliver the flexible, responsive education system needed for a dynamic labour market. The report </w:t>
      </w:r>
      <w:r w:rsidR="00F55179" w:rsidRPr="009B4538">
        <w:rPr>
          <w:rFonts w:ascii="Arial" w:eastAsia="Arial" w:hAnsi="Arial"/>
          <w:color w:val="000000"/>
        </w:rPr>
        <w:t xml:space="preserve">highlighted </w:t>
      </w:r>
      <w:r w:rsidR="00F55179">
        <w:rPr>
          <w:rFonts w:ascii="Arial" w:eastAsia="Arial" w:hAnsi="Arial"/>
          <w:color w:val="000000"/>
        </w:rPr>
        <w:t>the</w:t>
      </w:r>
      <w:r w:rsidRPr="009B4538" w:rsidDel="002F2796">
        <w:rPr>
          <w:rFonts w:ascii="Arial" w:eastAsia="Arial" w:hAnsi="Arial"/>
          <w:color w:val="000000"/>
        </w:rPr>
        <w:t xml:space="preserve"> </w:t>
      </w:r>
      <w:r w:rsidRPr="009B4538">
        <w:rPr>
          <w:rFonts w:ascii="Arial" w:eastAsia="Arial" w:hAnsi="Arial"/>
          <w:color w:val="000000"/>
        </w:rPr>
        <w:t xml:space="preserve">challenges </w:t>
      </w:r>
      <w:r w:rsidR="002F2796">
        <w:rPr>
          <w:rFonts w:ascii="Arial" w:eastAsia="Arial" w:hAnsi="Arial"/>
          <w:color w:val="000000"/>
        </w:rPr>
        <w:t xml:space="preserve">faced by </w:t>
      </w:r>
      <w:r w:rsidR="00C10B2B">
        <w:rPr>
          <w:rFonts w:ascii="Arial" w:eastAsia="Arial" w:hAnsi="Arial"/>
          <w:color w:val="000000"/>
        </w:rPr>
        <w:t>learners</w:t>
      </w:r>
      <w:r w:rsidR="002F2796">
        <w:rPr>
          <w:rFonts w:ascii="Arial" w:eastAsia="Arial" w:hAnsi="Arial"/>
          <w:color w:val="000000"/>
        </w:rPr>
        <w:t xml:space="preserve"> </w:t>
      </w:r>
      <w:r w:rsidRPr="009B4538">
        <w:rPr>
          <w:rFonts w:ascii="Arial" w:eastAsia="Arial" w:hAnsi="Arial"/>
          <w:color w:val="000000"/>
        </w:rPr>
        <w:t xml:space="preserve">moving between VET and higher education due to differences in funding, lack of credit transfer, and the perceived hierarchy between pathways. </w:t>
      </w:r>
      <w:r w:rsidR="002B1FC4">
        <w:rPr>
          <w:rFonts w:ascii="Arial" w:eastAsia="Arial" w:hAnsi="Arial"/>
          <w:color w:val="000000"/>
        </w:rPr>
        <w:t>It</w:t>
      </w:r>
      <w:r w:rsidRPr="009B4538">
        <w:rPr>
          <w:rFonts w:ascii="Arial" w:eastAsia="Arial" w:hAnsi="Arial"/>
          <w:color w:val="000000"/>
        </w:rPr>
        <w:t xml:space="preserve"> called for a harmonised tertiary system with clear, flexible pathways, dual qualifications, and funding models that support lifelong learning.</w:t>
      </w:r>
    </w:p>
    <w:p w14:paraId="50DACA4B" w14:textId="4291A375" w:rsidR="000074A1" w:rsidRPr="00DC06B5" w:rsidRDefault="00636D1F" w:rsidP="000074A1">
      <w:pPr>
        <w:rPr>
          <w:rFonts w:ascii="Arial" w:hAnsi="Arial"/>
          <w:color w:val="000000"/>
        </w:rPr>
      </w:pPr>
      <w:r w:rsidRPr="00D353D1">
        <w:rPr>
          <w:rFonts w:ascii="Arial" w:hAnsi="Arial"/>
          <w:color w:val="000000"/>
        </w:rPr>
        <w:t>JSA’s</w:t>
      </w:r>
      <w:r w:rsidR="000074A1" w:rsidRPr="00D353D1">
        <w:rPr>
          <w:rFonts w:ascii="Arial" w:hAnsi="Arial"/>
          <w:color w:val="000000"/>
        </w:rPr>
        <w:t xml:space="preserve"> report </w:t>
      </w:r>
      <w:r w:rsidR="000074A1" w:rsidRPr="00D353D1">
        <w:rPr>
          <w:rFonts w:ascii="Arial" w:hAnsi="Arial"/>
          <w:i/>
          <w:iCs/>
          <w:color w:val="000000"/>
        </w:rPr>
        <w:t>Opportunity and Productivity: Towards a Tertiary Harmonisation Roadmap</w:t>
      </w:r>
      <w:r w:rsidR="000074A1" w:rsidRPr="00D353D1">
        <w:rPr>
          <w:rFonts w:ascii="Arial" w:hAnsi="Arial"/>
          <w:color w:val="000000"/>
        </w:rPr>
        <w:t xml:space="preserve"> articulates the benefits of a more harmonised tertiary sector and provides </w:t>
      </w:r>
      <w:r w:rsidR="004477C8">
        <w:rPr>
          <w:rFonts w:ascii="Arial" w:hAnsi="Arial"/>
          <w:color w:val="000000"/>
        </w:rPr>
        <w:t xml:space="preserve">19 </w:t>
      </w:r>
      <w:r w:rsidR="000074A1" w:rsidRPr="00D353D1">
        <w:rPr>
          <w:rFonts w:ascii="Arial" w:hAnsi="Arial"/>
          <w:color w:val="000000"/>
        </w:rPr>
        <w:t xml:space="preserve">recommendations </w:t>
      </w:r>
      <w:r w:rsidR="00CA220C">
        <w:rPr>
          <w:rFonts w:ascii="Arial" w:hAnsi="Arial"/>
          <w:color w:val="000000"/>
        </w:rPr>
        <w:t xml:space="preserve">for </w:t>
      </w:r>
      <w:r w:rsidR="000074A1" w:rsidRPr="00D353D1">
        <w:rPr>
          <w:rFonts w:ascii="Arial" w:hAnsi="Arial"/>
          <w:color w:val="000000"/>
        </w:rPr>
        <w:t>creat</w:t>
      </w:r>
      <w:r w:rsidR="00CA220C">
        <w:rPr>
          <w:rFonts w:ascii="Arial" w:hAnsi="Arial"/>
          <w:color w:val="000000"/>
        </w:rPr>
        <w:t>ing</w:t>
      </w:r>
      <w:r w:rsidR="000074A1" w:rsidRPr="00D353D1">
        <w:rPr>
          <w:rFonts w:ascii="Arial" w:hAnsi="Arial"/>
          <w:color w:val="000000"/>
        </w:rPr>
        <w:t xml:space="preserve"> a sustainable pathway forward in collaboration with key stakeholders (JSA 2025</w:t>
      </w:r>
      <w:r w:rsidR="00CC099F">
        <w:rPr>
          <w:rFonts w:ascii="Arial" w:hAnsi="Arial"/>
          <w:color w:val="000000"/>
        </w:rPr>
        <w:t>d</w:t>
      </w:r>
      <w:r w:rsidR="000074A1" w:rsidRPr="00D353D1">
        <w:rPr>
          <w:rFonts w:ascii="Arial" w:hAnsi="Arial"/>
          <w:color w:val="000000"/>
        </w:rPr>
        <w:t>).</w:t>
      </w:r>
      <w:r w:rsidR="0099537F">
        <w:rPr>
          <w:rFonts w:ascii="Arial" w:hAnsi="Arial"/>
          <w:color w:val="000000"/>
        </w:rPr>
        <w:t xml:space="preserve"> </w:t>
      </w:r>
      <w:r w:rsidR="000074A1" w:rsidRPr="009B4538" w:rsidDel="0099537F">
        <w:rPr>
          <w:rFonts w:ascii="Arial" w:hAnsi="Arial"/>
          <w:color w:val="000000"/>
        </w:rPr>
        <w:t xml:space="preserve">The report </w:t>
      </w:r>
      <w:r w:rsidR="000074A1" w:rsidRPr="009B4538">
        <w:rPr>
          <w:rFonts w:ascii="Arial" w:hAnsi="Arial"/>
          <w:color w:val="000000"/>
        </w:rPr>
        <w:t xml:space="preserve">identifies benefits </w:t>
      </w:r>
      <w:r w:rsidR="00B255BE">
        <w:rPr>
          <w:rFonts w:ascii="Arial" w:hAnsi="Arial"/>
          <w:color w:val="000000"/>
        </w:rPr>
        <w:t xml:space="preserve">such as </w:t>
      </w:r>
      <w:r w:rsidR="000074A1" w:rsidRPr="009B4538">
        <w:rPr>
          <w:rFonts w:ascii="Arial" w:hAnsi="Arial"/>
          <w:color w:val="000000"/>
        </w:rPr>
        <w:t xml:space="preserve">improving system effectiveness and </w:t>
      </w:r>
      <w:r w:rsidR="00F71283">
        <w:rPr>
          <w:rFonts w:ascii="Arial" w:hAnsi="Arial"/>
          <w:color w:val="000000"/>
        </w:rPr>
        <w:t xml:space="preserve">expanding </w:t>
      </w:r>
      <w:r w:rsidR="000074A1" w:rsidRPr="009B4538">
        <w:rPr>
          <w:rFonts w:ascii="Arial" w:hAnsi="Arial"/>
          <w:color w:val="000000"/>
        </w:rPr>
        <w:t xml:space="preserve">access, particularly </w:t>
      </w:r>
      <w:r w:rsidR="00527FC1">
        <w:rPr>
          <w:rFonts w:ascii="Arial" w:hAnsi="Arial"/>
          <w:color w:val="000000"/>
        </w:rPr>
        <w:t>for</w:t>
      </w:r>
      <w:r w:rsidR="000074A1" w:rsidRPr="009B4538">
        <w:rPr>
          <w:rFonts w:ascii="Arial" w:hAnsi="Arial"/>
          <w:color w:val="000000"/>
        </w:rPr>
        <w:t xml:space="preserve"> people who have traditionally </w:t>
      </w:r>
      <w:r w:rsidR="00527FC1">
        <w:rPr>
          <w:rFonts w:ascii="Arial" w:hAnsi="Arial"/>
          <w:color w:val="000000"/>
        </w:rPr>
        <w:t>faced barriers</w:t>
      </w:r>
      <w:r w:rsidR="000074A1" w:rsidRPr="009B4538">
        <w:rPr>
          <w:rFonts w:ascii="Arial" w:hAnsi="Arial"/>
          <w:color w:val="000000"/>
        </w:rPr>
        <w:t xml:space="preserve">. A more harmonised system would also </w:t>
      </w:r>
      <w:r w:rsidR="00527FC1">
        <w:rPr>
          <w:rFonts w:ascii="Arial" w:hAnsi="Arial"/>
          <w:color w:val="000000"/>
        </w:rPr>
        <w:t>help address</w:t>
      </w:r>
      <w:r w:rsidR="000074A1" w:rsidRPr="009B4538">
        <w:rPr>
          <w:rFonts w:ascii="Arial" w:hAnsi="Arial"/>
          <w:color w:val="000000"/>
        </w:rPr>
        <w:t xml:space="preserve"> national challenges,</w:t>
      </w:r>
      <w:r w:rsidR="002434C7">
        <w:rPr>
          <w:rFonts w:ascii="Arial" w:hAnsi="Arial"/>
          <w:color w:val="000000"/>
        </w:rPr>
        <w:t xml:space="preserve"> including</w:t>
      </w:r>
      <w:r w:rsidR="000074A1" w:rsidRPr="009B4538" w:rsidDel="002434C7">
        <w:rPr>
          <w:rFonts w:ascii="Arial" w:hAnsi="Arial"/>
          <w:color w:val="000000"/>
        </w:rPr>
        <w:t xml:space="preserve"> </w:t>
      </w:r>
      <w:r w:rsidR="000074A1" w:rsidRPr="009B4538">
        <w:rPr>
          <w:rFonts w:ascii="Arial" w:hAnsi="Arial"/>
          <w:color w:val="000000"/>
        </w:rPr>
        <w:t>workforce shortages</w:t>
      </w:r>
      <w:r w:rsidR="00E71451">
        <w:rPr>
          <w:rFonts w:ascii="Arial" w:hAnsi="Arial"/>
          <w:color w:val="000000"/>
        </w:rPr>
        <w:t>,</w:t>
      </w:r>
      <w:r w:rsidR="000074A1" w:rsidRPr="009B4538">
        <w:rPr>
          <w:rFonts w:ascii="Arial" w:hAnsi="Arial"/>
          <w:color w:val="000000"/>
        </w:rPr>
        <w:t xml:space="preserve"> and improve productivity and labour market outcomes (JSA 2025</w:t>
      </w:r>
      <w:r w:rsidR="00CC099F">
        <w:rPr>
          <w:rFonts w:ascii="Arial" w:hAnsi="Arial"/>
          <w:color w:val="000000"/>
        </w:rPr>
        <w:t>d</w:t>
      </w:r>
      <w:r w:rsidR="00643C66">
        <w:rPr>
          <w:rFonts w:ascii="Arial" w:hAnsi="Arial"/>
          <w:color w:val="000000"/>
        </w:rPr>
        <w:t>)</w:t>
      </w:r>
      <w:r w:rsidR="000074A1" w:rsidRPr="009B4538">
        <w:rPr>
          <w:rFonts w:ascii="Arial" w:hAnsi="Arial"/>
          <w:color w:val="000000"/>
        </w:rPr>
        <w:t xml:space="preserve">. </w:t>
      </w:r>
    </w:p>
    <w:p w14:paraId="243581DD" w14:textId="62F21923" w:rsidR="007B7F7B" w:rsidRDefault="000074A1" w:rsidP="002914CE">
      <w:pPr>
        <w:rPr>
          <w:rFonts w:ascii="Arial" w:hAnsi="Arial"/>
        </w:rPr>
      </w:pPr>
      <w:r w:rsidRPr="000F44A8">
        <w:rPr>
          <w:rFonts w:ascii="Arial" w:hAnsi="Arial"/>
        </w:rPr>
        <w:t>The Productivity Commission’s ‘Building a Skilled and Adaptable Workforce’ inquiry is a major national review examining how Australia can better support lifelong learning and improve education and training systems</w:t>
      </w:r>
      <w:r w:rsidRPr="00DC06B5">
        <w:rPr>
          <w:rFonts w:ascii="Arial" w:hAnsi="Arial"/>
        </w:rPr>
        <w:t xml:space="preserve"> (PC 2025</w:t>
      </w:r>
      <w:r w:rsidR="00F55179">
        <w:rPr>
          <w:rFonts w:ascii="Arial" w:hAnsi="Arial"/>
        </w:rPr>
        <w:t>a, b</w:t>
      </w:r>
      <w:r w:rsidRPr="00DC06B5">
        <w:rPr>
          <w:rFonts w:ascii="Arial" w:hAnsi="Arial"/>
        </w:rPr>
        <w:t>)</w:t>
      </w:r>
      <w:r w:rsidRPr="000F44A8">
        <w:rPr>
          <w:rFonts w:ascii="Arial" w:hAnsi="Arial"/>
        </w:rPr>
        <w:t>.</w:t>
      </w:r>
      <w:r w:rsidRPr="00DC06B5">
        <w:rPr>
          <w:rFonts w:ascii="Arial" w:hAnsi="Arial"/>
        </w:rPr>
        <w:t xml:space="preserve"> </w:t>
      </w:r>
      <w:r w:rsidR="00E3666D">
        <w:rPr>
          <w:rFonts w:ascii="Arial" w:hAnsi="Arial"/>
        </w:rPr>
        <w:t>It</w:t>
      </w:r>
      <w:r w:rsidRPr="000F44A8">
        <w:rPr>
          <w:rFonts w:ascii="Arial" w:hAnsi="Arial"/>
        </w:rPr>
        <w:t xml:space="preserve"> addresses matters directly relevant to tertiary harmonisation, including credit transfer and </w:t>
      </w:r>
      <w:r w:rsidRPr="00DC06B5">
        <w:rPr>
          <w:rFonts w:ascii="Arial" w:hAnsi="Arial"/>
        </w:rPr>
        <w:t>RPL.</w:t>
      </w:r>
      <w:r w:rsidRPr="000F44A8">
        <w:rPr>
          <w:rFonts w:ascii="Arial" w:hAnsi="Arial"/>
        </w:rPr>
        <w:t xml:space="preserve"> The</w:t>
      </w:r>
      <w:r w:rsidRPr="000F44A8" w:rsidDel="003342BE">
        <w:rPr>
          <w:rFonts w:ascii="Arial" w:hAnsi="Arial"/>
        </w:rPr>
        <w:t xml:space="preserve"> </w:t>
      </w:r>
      <w:r w:rsidR="003342BE">
        <w:rPr>
          <w:rFonts w:ascii="Arial" w:hAnsi="Arial"/>
        </w:rPr>
        <w:t>final</w:t>
      </w:r>
      <w:r w:rsidR="003342BE" w:rsidRPr="000F44A8">
        <w:rPr>
          <w:rFonts w:ascii="Arial" w:hAnsi="Arial"/>
        </w:rPr>
        <w:t xml:space="preserve"> </w:t>
      </w:r>
      <w:r w:rsidRPr="000F44A8">
        <w:rPr>
          <w:rFonts w:ascii="Arial" w:hAnsi="Arial"/>
        </w:rPr>
        <w:t xml:space="preserve">report reinforces the case for a more </w:t>
      </w:r>
      <w:r w:rsidR="00A64DB8">
        <w:rPr>
          <w:rFonts w:ascii="Arial" w:hAnsi="Arial"/>
        </w:rPr>
        <w:t>joined-up</w:t>
      </w:r>
      <w:r w:rsidRPr="000F44A8">
        <w:rPr>
          <w:rFonts w:ascii="Arial" w:hAnsi="Arial"/>
        </w:rPr>
        <w:t xml:space="preserve"> tertiary system by identifying fragmented credit transfer and RPL processes as key barriers to lifelong learning and workforce mobility</w:t>
      </w:r>
      <w:r w:rsidR="003342BE">
        <w:rPr>
          <w:rFonts w:ascii="Arial" w:hAnsi="Arial"/>
        </w:rPr>
        <w:t xml:space="preserve"> (2025b)</w:t>
      </w:r>
      <w:r w:rsidRPr="000F44A8">
        <w:rPr>
          <w:rFonts w:ascii="Arial" w:hAnsi="Arial"/>
        </w:rPr>
        <w:t xml:space="preserve">. </w:t>
      </w:r>
    </w:p>
    <w:p w14:paraId="53A69C39" w14:textId="7BB23D94" w:rsidR="00D217ED" w:rsidRPr="008C4640" w:rsidRDefault="00D217ED" w:rsidP="00D217ED">
      <w:pPr>
        <w:pStyle w:val="Heading2"/>
        <w:numPr>
          <w:ilvl w:val="1"/>
          <w:numId w:val="14"/>
        </w:numPr>
        <w:spacing w:before="160" w:after="80" w:line="259" w:lineRule="auto"/>
        <w:ind w:left="851" w:hanging="851"/>
      </w:pPr>
      <w:bookmarkStart w:id="15" w:name="_Toc229643959"/>
      <w:r w:rsidRPr="008C4640">
        <w:t>Expected benefits</w:t>
      </w:r>
      <w:r w:rsidR="002914CE">
        <w:t xml:space="preserve"> of a joined-up tertiary syste</w:t>
      </w:r>
      <w:r w:rsidR="00577422">
        <w:t>m</w:t>
      </w:r>
      <w:bookmarkEnd w:id="15"/>
    </w:p>
    <w:p w14:paraId="1448AE78" w14:textId="04BBE0D1" w:rsidR="00D57A0A" w:rsidRDefault="00D217ED" w:rsidP="00D217ED">
      <w:r>
        <w:t xml:space="preserve">A more joined-up tertiary system </w:t>
      </w:r>
      <w:r w:rsidR="0019447A">
        <w:t>offers</w:t>
      </w:r>
      <w:r>
        <w:t xml:space="preserve"> benefits</w:t>
      </w:r>
      <w:r w:rsidR="00765970">
        <w:t xml:space="preserve"> for </w:t>
      </w:r>
      <w:r>
        <w:t>both individual learners</w:t>
      </w:r>
      <w:r w:rsidR="00765970">
        <w:t xml:space="preserve"> and </w:t>
      </w:r>
      <w:r>
        <w:t xml:space="preserve">the broader economy. For learners, better connections between the two sectors could support </w:t>
      </w:r>
      <w:r w:rsidR="007D517E">
        <w:t xml:space="preserve">greater </w:t>
      </w:r>
      <w:r>
        <w:t xml:space="preserve">access to tertiary education and enable wider participation and attainment. It could also </w:t>
      </w:r>
      <w:r w:rsidR="00AC0B56">
        <w:t xml:space="preserve">support lifelong learning by </w:t>
      </w:r>
      <w:r>
        <w:t>mak</w:t>
      </w:r>
      <w:r w:rsidR="00AC0B56">
        <w:t>ing</w:t>
      </w:r>
      <w:r>
        <w:t xml:space="preserve"> it </w:t>
      </w:r>
      <w:r w:rsidR="00D57A0A">
        <w:t>easier</w:t>
      </w:r>
      <w:r>
        <w:t xml:space="preserve"> for learners to engage and re-engage with the system, whether for initial study for their occupation, upskilling and reskilling for their career, or returning to study following partial completion of a qualification. </w:t>
      </w:r>
    </w:p>
    <w:p w14:paraId="39C40FCC" w14:textId="2A9E7BEF" w:rsidR="006930C6" w:rsidRPr="00C652F3" w:rsidRDefault="00D57A0A" w:rsidP="00D217ED">
      <w:r>
        <w:t xml:space="preserve">For the economy, </w:t>
      </w:r>
      <w:r w:rsidR="00D217ED">
        <w:t xml:space="preserve">a more joined-up tertiary system could </w:t>
      </w:r>
      <w:r w:rsidR="00C20B8C">
        <w:t xml:space="preserve">help </w:t>
      </w:r>
      <w:r w:rsidR="00D217ED">
        <w:t xml:space="preserve">better match skills with labour market </w:t>
      </w:r>
      <w:r w:rsidR="00632D7A">
        <w:t xml:space="preserve">needs </w:t>
      </w:r>
      <w:r w:rsidR="00C03F15">
        <w:t xml:space="preserve">and national </w:t>
      </w:r>
      <w:r w:rsidR="00F01949">
        <w:t>priorities and</w:t>
      </w:r>
      <w:r w:rsidR="00D217ED">
        <w:t xml:space="preserve"> contribute to productivity growth </w:t>
      </w:r>
      <w:r w:rsidR="00632D7A">
        <w:t xml:space="preserve">by </w:t>
      </w:r>
      <w:r w:rsidR="00D217ED">
        <w:t xml:space="preserve">building human capital. </w:t>
      </w:r>
      <w:r w:rsidR="00632D7A">
        <w:t>These benefits are</w:t>
      </w:r>
      <w:r w:rsidR="00D217ED">
        <w:t xml:space="preserve"> underpinned by greater collaboration between the VET and higher education sectors and industry. </w:t>
      </w:r>
    </w:p>
    <w:p w14:paraId="319EDDD3" w14:textId="33377618" w:rsidR="00D217ED" w:rsidRPr="008C4640" w:rsidRDefault="00D217ED" w:rsidP="00B53611">
      <w:pPr>
        <w:pStyle w:val="Heading3"/>
      </w:pPr>
      <w:bookmarkStart w:id="16" w:name="_Toc229643960"/>
      <w:r w:rsidRPr="008C4640">
        <w:t>Benefits for learners</w:t>
      </w:r>
      <w:bookmarkEnd w:id="16"/>
    </w:p>
    <w:p w14:paraId="36B0C3E4" w14:textId="77777777" w:rsidR="00D217ED" w:rsidRPr="008C4640" w:rsidRDefault="00D217ED" w:rsidP="00D217ED">
      <w:pPr>
        <w:pStyle w:val="Heading4"/>
        <w:spacing w:before="120"/>
      </w:pPr>
      <w:r w:rsidRPr="008C4640">
        <w:t>Equity participation and attainment</w:t>
      </w:r>
    </w:p>
    <w:p w14:paraId="3657CC4F" w14:textId="1D054C2E" w:rsidR="00D217ED" w:rsidRDefault="00D217ED" w:rsidP="00D217ED">
      <w:r>
        <w:t xml:space="preserve">A more joined-up tertiary system could help widen participation and </w:t>
      </w:r>
      <w:r w:rsidR="00877D7F">
        <w:t xml:space="preserve">improve </w:t>
      </w:r>
      <w:r w:rsidR="1CCE870B">
        <w:t xml:space="preserve">the </w:t>
      </w:r>
      <w:r>
        <w:t xml:space="preserve">success </w:t>
      </w:r>
      <w:r w:rsidR="2AF7E16E">
        <w:t>of</w:t>
      </w:r>
      <w:r>
        <w:t xml:space="preserve"> disadvantaged learners by better supporting pathways into higher</w:t>
      </w:r>
      <w:r w:rsidR="00877D7F">
        <w:t>-</w:t>
      </w:r>
      <w:r>
        <w:t>level qualifications (Ta et al. 2025). For </w:t>
      </w:r>
      <w:r w:rsidR="00E46C56">
        <w:t>example</w:t>
      </w:r>
      <w:r>
        <w:t xml:space="preserve">, 8% of </w:t>
      </w:r>
      <w:r w:rsidR="003A7D00">
        <w:t xml:space="preserve">all </w:t>
      </w:r>
      <w:r>
        <w:t xml:space="preserve">VET graduates pursued higher education </w:t>
      </w:r>
      <w:r w:rsidR="0060613D">
        <w:t xml:space="preserve">after </w:t>
      </w:r>
      <w:r>
        <w:t xml:space="preserve">completion and </w:t>
      </w:r>
      <w:r w:rsidR="00FA7BD4">
        <w:t>16</w:t>
      </w:r>
      <w:r>
        <w:t>% pursued higher-level VET qualifications (JSA 2024</w:t>
      </w:r>
      <w:r w:rsidR="006E4A99">
        <w:t>b</w:t>
      </w:r>
      <w:r>
        <w:t>).</w:t>
      </w:r>
      <w:r w:rsidR="00AB75B1">
        <w:t xml:space="preserve"> On the other side, </w:t>
      </w:r>
      <w:r w:rsidR="00F86206">
        <w:t xml:space="preserve">over 200,000 commencing program enrolments in VET </w:t>
      </w:r>
      <w:r w:rsidR="00DD4FF6">
        <w:t>are</w:t>
      </w:r>
      <w:r w:rsidR="00F86206">
        <w:t xml:space="preserve"> by students with a bachelor degree or higher qualification in 2024 (NCVER 2025</w:t>
      </w:r>
      <w:r w:rsidR="00F77A0F">
        <w:t>a</w:t>
      </w:r>
      <w:r w:rsidR="00F86206">
        <w:t xml:space="preserve">). </w:t>
      </w:r>
    </w:p>
    <w:p w14:paraId="76006CF2" w14:textId="0648824E" w:rsidR="009E0AB9" w:rsidRPr="008C4640" w:rsidRDefault="009E0AB9" w:rsidP="00D217ED">
      <w:r>
        <w:t>These figures highlight the importance of clear</w:t>
      </w:r>
      <w:r w:rsidR="00AB75B1">
        <w:t xml:space="preserve"> opportunities to receive credit as learners move between</w:t>
      </w:r>
      <w:r>
        <w:t xml:space="preserve"> </w:t>
      </w:r>
      <w:r w:rsidR="00C45617">
        <w:t>qualifications</w:t>
      </w:r>
      <w:r w:rsidR="00AB75B1">
        <w:t xml:space="preserve"> a</w:t>
      </w:r>
      <w:r w:rsidR="000210CD">
        <w:t>n</w:t>
      </w:r>
      <w:r w:rsidR="00AB75B1">
        <w:t>d sectors</w:t>
      </w:r>
      <w:r>
        <w:t xml:space="preserve">. National data shows younger VET graduates are even more likely to progress, and qualitative </w:t>
      </w:r>
      <w:r w:rsidR="008E2156">
        <w:t xml:space="preserve">studies confirm that VET often provides confidence and advanced standing for learners moving into university (O’Shea et al. 2012; </w:t>
      </w:r>
      <w:r w:rsidR="00852504">
        <w:t>Harris et al.</w:t>
      </w:r>
      <w:r w:rsidR="008E2156">
        <w:t xml:space="preserve"> 2006). </w:t>
      </w:r>
      <w:r w:rsidR="007378D8">
        <w:t>Strengthening</w:t>
      </w:r>
      <w:r w:rsidR="008E2156">
        <w:t xml:space="preserve"> these pathways can help disadvantaged </w:t>
      </w:r>
      <w:r w:rsidR="00B1511D">
        <w:t xml:space="preserve">learners build momentum and achieve higher level qualifications. </w:t>
      </w:r>
    </w:p>
    <w:p w14:paraId="6145BB4E" w14:textId="6F4837B5" w:rsidR="00D217ED" w:rsidRPr="008C4640" w:rsidRDefault="00D217ED" w:rsidP="00D217ED">
      <w:r w:rsidRPr="008C4640">
        <w:t>First Nations higher education graduates reported better employment outcomes than their non-Indigenous peers</w:t>
      </w:r>
      <w:r w:rsidRPr="008C4640" w:rsidDel="007366D0">
        <w:t xml:space="preserve"> </w:t>
      </w:r>
      <w:r w:rsidRPr="008C4640">
        <w:t xml:space="preserve">– with </w:t>
      </w:r>
      <w:r w:rsidR="00D002EC">
        <w:t>higher</w:t>
      </w:r>
      <w:r w:rsidRPr="008C4640">
        <w:t xml:space="preserve"> employment rates and slightly higher median salaries for full time workers (Tomaszewski et al. </w:t>
      </w:r>
      <w:r w:rsidR="002773C4">
        <w:t>2021</w:t>
      </w:r>
      <w:r w:rsidRPr="008C4640">
        <w:t>). For low-</w:t>
      </w:r>
      <w:r w:rsidR="001C485F">
        <w:t>socioeconomic status (S</w:t>
      </w:r>
      <w:r w:rsidRPr="008C4640">
        <w:t>ES</w:t>
      </w:r>
      <w:r w:rsidR="001C485F">
        <w:t>)</w:t>
      </w:r>
      <w:r w:rsidRPr="008C4640">
        <w:t xml:space="preserve"> graduates, </w:t>
      </w:r>
      <w:r w:rsidR="00D002EC">
        <w:t xml:space="preserve">while </w:t>
      </w:r>
      <w:r w:rsidR="00F62030">
        <w:t>their</w:t>
      </w:r>
      <w:r w:rsidRPr="008C4640" w:rsidDel="00D002EC">
        <w:t xml:space="preserve"> </w:t>
      </w:r>
      <w:r w:rsidRPr="008C4640">
        <w:t xml:space="preserve">immediate outcomes </w:t>
      </w:r>
      <w:r w:rsidR="00D002EC">
        <w:t xml:space="preserve">may differ from </w:t>
      </w:r>
      <w:r w:rsidRPr="008C4640">
        <w:t>high-SES graduates, long</w:t>
      </w:r>
      <w:r>
        <w:t>-term</w:t>
      </w:r>
      <w:r w:rsidRPr="008C4640">
        <w:t xml:space="preserve"> outcomes tend to be matched between cohorts. Low</w:t>
      </w:r>
      <w:r>
        <w:t>-</w:t>
      </w:r>
      <w:r w:rsidRPr="008C4640">
        <w:t xml:space="preserve">SES graduates also </w:t>
      </w:r>
      <w:r w:rsidR="0004118A">
        <w:t xml:space="preserve">experience </w:t>
      </w:r>
      <w:r w:rsidRPr="008C4640">
        <w:t>the highest relative gains compared to high</w:t>
      </w:r>
      <w:r w:rsidR="00712EB5">
        <w:t>-</w:t>
      </w:r>
      <w:r w:rsidRPr="008C4640">
        <w:t xml:space="preserve">SES graduates (Tomaszewski et al. 2021). Higher education completion has </w:t>
      </w:r>
      <w:r w:rsidR="00064713">
        <w:t>a</w:t>
      </w:r>
      <w:r w:rsidRPr="008C4640">
        <w:t xml:space="preserve"> levelling </w:t>
      </w:r>
      <w:r w:rsidR="00064713">
        <w:t>effect</w:t>
      </w:r>
      <w:r w:rsidRPr="008C4640">
        <w:t>, with comparable incomes, wages and mental health amongst low- and high-SES graduates (Tomaszewski et al. 20</w:t>
      </w:r>
      <w:r w:rsidR="002773C4">
        <w:t>21</w:t>
      </w:r>
      <w:r w:rsidRPr="008C4640">
        <w:t xml:space="preserve">). </w:t>
      </w:r>
      <w:r w:rsidR="0048721D">
        <w:t>Strengthening pathways and s</w:t>
      </w:r>
      <w:r w:rsidRPr="008C4640">
        <w:t>upporting completion of higher</w:t>
      </w:r>
      <w:r>
        <w:t>-</w:t>
      </w:r>
      <w:r w:rsidRPr="008C4640">
        <w:t>level qualifications through nested qualifications</w:t>
      </w:r>
      <w:r>
        <w:t xml:space="preserve"> </w:t>
      </w:r>
      <w:r w:rsidR="00DD48EE">
        <w:t xml:space="preserve">- qualifications that include articulated arrangements from a lower-level qualification into a higher-level qualification to enable multiple entry and exit points - </w:t>
      </w:r>
      <w:r w:rsidRPr="008C4640">
        <w:t xml:space="preserve">could </w:t>
      </w:r>
      <w:r w:rsidR="00DE4581">
        <w:t xml:space="preserve">help </w:t>
      </w:r>
      <w:r w:rsidRPr="008C4640">
        <w:t>underrepresented cohorts gain these benefits.</w:t>
      </w:r>
    </w:p>
    <w:p w14:paraId="73560E94" w14:textId="408E0108" w:rsidR="00F03515" w:rsidRPr="008C4640" w:rsidRDefault="00D217ED" w:rsidP="00D217ED">
      <w:r w:rsidRPr="008C4640">
        <w:t xml:space="preserve">Work towards a more </w:t>
      </w:r>
      <w:r>
        <w:t>joined-up</w:t>
      </w:r>
      <w:r w:rsidRPr="008C4640">
        <w:t xml:space="preserve"> tertiary system could </w:t>
      </w:r>
      <w:r w:rsidRPr="008C4640" w:rsidDel="0066356A">
        <w:t>help</w:t>
      </w:r>
      <w:r w:rsidRPr="008C4640">
        <w:t xml:space="preserve"> lift the esteem of VET and highlight its role as a high-quality pathway to work. JSA analysis found that</w:t>
      </w:r>
      <w:r>
        <w:t xml:space="preserve"> in the year following completion,</w:t>
      </w:r>
      <w:r w:rsidRPr="008C4640">
        <w:t xml:space="preserve"> </w:t>
      </w:r>
      <w:r w:rsidR="008057B5">
        <w:t xml:space="preserve">2020 VET </w:t>
      </w:r>
      <w:r w:rsidRPr="008C4640">
        <w:t>graduates had a median income uplift of $</w:t>
      </w:r>
      <w:r>
        <w:t>14,100</w:t>
      </w:r>
      <w:r w:rsidR="00A01715">
        <w:t>,</w:t>
      </w:r>
      <w:r w:rsidRPr="008C4640">
        <w:t xml:space="preserve"> and</w:t>
      </w:r>
      <w:r w:rsidRPr="008C4640" w:rsidDel="00A01715">
        <w:t xml:space="preserve"> </w:t>
      </w:r>
      <w:r w:rsidRPr="008C4640">
        <w:t>a median employee income of $</w:t>
      </w:r>
      <w:r>
        <w:t>51,1</w:t>
      </w:r>
      <w:r w:rsidRPr="008C4640">
        <w:t xml:space="preserve">00 (JSA </w:t>
      </w:r>
      <w:r w:rsidRPr="006E6B3B">
        <w:t>2025</w:t>
      </w:r>
      <w:r w:rsidR="001A07D3">
        <w:t>f</w:t>
      </w:r>
      <w:r w:rsidRPr="006E6B3B">
        <w:t>)</w:t>
      </w:r>
      <w:r w:rsidR="00900C29">
        <w:t>.</w:t>
      </w:r>
      <w:r>
        <w:t xml:space="preserve"> </w:t>
      </w:r>
      <w:r w:rsidRPr="006E6B3B">
        <w:t>First Nations graduates attained a median income uplift of $15,700 and earned a median income of $46,800 (JSA 2025</w:t>
      </w:r>
      <w:r w:rsidR="001A07D3">
        <w:t>f</w:t>
      </w:r>
      <w:r w:rsidRPr="006E6B3B">
        <w:t>).</w:t>
      </w:r>
      <w:r w:rsidRPr="008C4640">
        <w:t xml:space="preserve"> </w:t>
      </w:r>
      <w:r w:rsidR="004B4854">
        <w:t>Analysis also shows that learners who partially complete a VET qualification also had economic benefits from their studies, though less than those who completed a full qualification</w:t>
      </w:r>
      <w:r w:rsidR="006B51E7">
        <w:t>. These learners may find that partial completion often provided them with the skills needed for their chosen career, reflecting the modular nature of the VET sector</w:t>
      </w:r>
      <w:r w:rsidR="004B4854">
        <w:t xml:space="preserve">. </w:t>
      </w:r>
      <w:r w:rsidRPr="008C4640">
        <w:t>VET graduates also increased their employment rates, with 84% employed after completing their qualification – a 15% increase from pre-enrolment (JSA 2024</w:t>
      </w:r>
      <w:r w:rsidR="006E4A99">
        <w:t>b</w:t>
      </w:r>
      <w:r w:rsidRPr="008C4640">
        <w:t xml:space="preserve">). These results are </w:t>
      </w:r>
      <w:r w:rsidR="00402699">
        <w:t>even stronger</w:t>
      </w:r>
      <w:r w:rsidRPr="008C4640">
        <w:t xml:space="preserve"> for higher-level VET qualifications, </w:t>
      </w:r>
      <w:r w:rsidR="00F62030">
        <w:t xml:space="preserve">and </w:t>
      </w:r>
      <w:r w:rsidRPr="008C4640">
        <w:t xml:space="preserve">apprenticeships and traineeships. </w:t>
      </w:r>
    </w:p>
    <w:p w14:paraId="7756E45F" w14:textId="77777777" w:rsidR="00D217ED" w:rsidRPr="008C4640" w:rsidRDefault="00D217ED" w:rsidP="00D217ED">
      <w:pPr>
        <w:pStyle w:val="Heading4"/>
      </w:pPr>
      <w:r w:rsidRPr="008C4640">
        <w:t xml:space="preserve">Smoother, more efficient journeys for learners </w:t>
      </w:r>
    </w:p>
    <w:p w14:paraId="020B0B2A" w14:textId="354FD465" w:rsidR="004F1365" w:rsidRDefault="00D217ED" w:rsidP="00D217ED">
      <w:r>
        <w:t>Improved information on options across the whole tertiary system</w:t>
      </w:r>
      <w:r w:rsidR="00580681">
        <w:t xml:space="preserve"> – </w:t>
      </w:r>
      <w:r w:rsidR="3B908027">
        <w:t>both VET and higher education</w:t>
      </w:r>
      <w:r w:rsidR="00580681">
        <w:t xml:space="preserve"> –</w:t>
      </w:r>
      <w:r>
        <w:t xml:space="preserve"> could </w:t>
      </w:r>
      <w:r w:rsidR="00580681">
        <w:t xml:space="preserve">help </w:t>
      </w:r>
      <w:r w:rsidR="008E55E7">
        <w:t xml:space="preserve">learners </w:t>
      </w:r>
      <w:r>
        <w:t>reach their desired outcome</w:t>
      </w:r>
      <w:r w:rsidR="008E55E7">
        <w:t xml:space="preserve"> more quickly</w:t>
      </w:r>
      <w:r>
        <w:t xml:space="preserve">. In fields such as graphic design or childcare, an initial VET qualification </w:t>
      </w:r>
      <w:r w:rsidR="00F347A2">
        <w:t xml:space="preserve">may </w:t>
      </w:r>
      <w:r>
        <w:t>achieve a similar occupational outcome to a higher education qualification</w:t>
      </w:r>
      <w:r w:rsidR="00F62030">
        <w:t xml:space="preserve"> (Wibrow 2022). Those who take the VET pathway to the occupation can</w:t>
      </w:r>
      <w:r>
        <w:t xml:space="preserve"> build technical skills and </w:t>
      </w:r>
      <w:r w:rsidR="00F62030">
        <w:t xml:space="preserve">reduce </w:t>
      </w:r>
      <w:r w:rsidR="00276B07">
        <w:t>time spent</w:t>
      </w:r>
      <w:r>
        <w:t xml:space="preserve"> studying (Wibrow 2022)</w:t>
      </w:r>
      <w:r w:rsidR="00485105">
        <w:t>.</w:t>
      </w:r>
      <w:r>
        <w:t xml:space="preserve"> </w:t>
      </w:r>
      <w:r w:rsidR="00485105">
        <w:t xml:space="preserve">Learners may also </w:t>
      </w:r>
      <w:r w:rsidR="004F1365">
        <w:t>find</w:t>
      </w:r>
      <w:r>
        <w:t xml:space="preserve"> that the best option for upskilling or reskilling comes from the sector they are less familiar with. Many young people </w:t>
      </w:r>
      <w:r w:rsidR="004F1365">
        <w:t xml:space="preserve">aspire to </w:t>
      </w:r>
      <w:r>
        <w:t>occupation</w:t>
      </w:r>
      <w:r w:rsidR="004F1365">
        <w:t xml:space="preserve">s that </w:t>
      </w:r>
      <w:r>
        <w:t xml:space="preserve">require VET study but often do not plan to study VET initially (Shergold et al. 2020; Chowdhury, Edwards and Norton 2024). </w:t>
      </w:r>
    </w:p>
    <w:p w14:paraId="5B83FBA8" w14:textId="5CC84570" w:rsidR="00D217ED" w:rsidRPr="008C4640" w:rsidRDefault="00D217ED" w:rsidP="00D217ED">
      <w:r>
        <w:t>The 2024 Graduate Outcomes Survey found that 7.4%</w:t>
      </w:r>
      <w:r w:rsidRPr="008C4640">
        <w:t xml:space="preserve"> </w:t>
      </w:r>
      <w:r>
        <w:t>of</w:t>
      </w:r>
      <w:r w:rsidRPr="008C4640">
        <w:t xml:space="preserve"> higher education graduates </w:t>
      </w:r>
      <w:r w:rsidR="004F1365">
        <w:t>undertook</w:t>
      </w:r>
      <w:r w:rsidRPr="008C4640">
        <w:t xml:space="preserve"> VET qualifications soon after completin</w:t>
      </w:r>
      <w:r w:rsidR="004F1365">
        <w:t>g their degree</w:t>
      </w:r>
      <w:r>
        <w:t xml:space="preserve"> (QILT 2025)</w:t>
      </w:r>
      <w:r w:rsidR="004F1365">
        <w:t xml:space="preserve">. This </w:t>
      </w:r>
      <w:r w:rsidRPr="008C4640">
        <w:t>suggest</w:t>
      </w:r>
      <w:r w:rsidR="004F1365">
        <w:t>s</w:t>
      </w:r>
      <w:r w:rsidRPr="008C4640" w:rsidDel="004F1365">
        <w:t xml:space="preserve"> </w:t>
      </w:r>
      <w:r w:rsidRPr="008C4640">
        <w:t xml:space="preserve">learners see </w:t>
      </w:r>
      <w:r w:rsidR="004F1365">
        <w:t xml:space="preserve">value </w:t>
      </w:r>
      <w:r w:rsidRPr="008C4640">
        <w:t>in</w:t>
      </w:r>
      <w:r w:rsidRPr="008C4640" w:rsidDel="00055263">
        <w:t xml:space="preserve"> </w:t>
      </w:r>
      <w:r w:rsidRPr="008C4640">
        <w:t xml:space="preserve">VET and could be supported </w:t>
      </w:r>
      <w:r w:rsidRPr="00D353D1">
        <w:t xml:space="preserve">to </w:t>
      </w:r>
      <w:r w:rsidR="00055263">
        <w:t>access it</w:t>
      </w:r>
      <w:r w:rsidRPr="00D353D1">
        <w:t xml:space="preserve"> earlie</w:t>
      </w:r>
      <w:r>
        <w:t>r</w:t>
      </w:r>
      <w:r w:rsidRPr="00D353D1">
        <w:t xml:space="preserve">. </w:t>
      </w:r>
      <w:r w:rsidR="00FC17EC">
        <w:t>While the s</w:t>
      </w:r>
      <w:r>
        <w:t xml:space="preserve">urvey did not collect data on </w:t>
      </w:r>
      <w:r w:rsidR="00FC17EC">
        <w:t xml:space="preserve">specific </w:t>
      </w:r>
      <w:r>
        <w:t xml:space="preserve">qualifications, </w:t>
      </w:r>
      <w:r w:rsidR="00FC17EC">
        <w:t>it</w:t>
      </w:r>
      <w:r>
        <w:t xml:space="preserve"> found that further study was generally in the same broad field of education as their prior qualification (QILT 2025).</w:t>
      </w:r>
    </w:p>
    <w:p w14:paraId="31214C06" w14:textId="22147F9D" w:rsidR="00D217ED" w:rsidRDefault="00D217ED" w:rsidP="00D217ED">
      <w:r>
        <w:t xml:space="preserve">Better credit transfer and </w:t>
      </w:r>
      <w:r w:rsidR="009E7AB5">
        <w:t>RPL</w:t>
      </w:r>
      <w:r>
        <w:t xml:space="preserve"> processes</w:t>
      </w:r>
      <w:r w:rsidR="009E7AB5">
        <w:t xml:space="preserve"> </w:t>
      </w:r>
      <w:r>
        <w:t>could reduc</w:t>
      </w:r>
      <w:r w:rsidR="000B6465">
        <w:t>e</w:t>
      </w:r>
      <w:r>
        <w:t xml:space="preserve"> the time and cost </w:t>
      </w:r>
      <w:r w:rsidR="009C202B">
        <w:t>of</w:t>
      </w:r>
      <w:r w:rsidR="00757EE2">
        <w:t xml:space="preserve"> </w:t>
      </w:r>
      <w:r>
        <w:t>study where it duplicat</w:t>
      </w:r>
      <w:r w:rsidR="00757EE2">
        <w:t>es</w:t>
      </w:r>
      <w:r>
        <w:t xml:space="preserve"> prior learning. </w:t>
      </w:r>
      <w:r w:rsidRPr="008C4640">
        <w:t>Improving transparency of credit recognition is one way to support this</w:t>
      </w:r>
      <w:r w:rsidRPr="008C4640" w:rsidDel="00FE2704">
        <w:t xml:space="preserve">, ensuring </w:t>
      </w:r>
      <w:r w:rsidR="00106BE5">
        <w:t>that learners</w:t>
      </w:r>
      <w:r w:rsidRPr="008C4640">
        <w:t xml:space="preserve"> understand their right to be assessed for credit, the timelines </w:t>
      </w:r>
      <w:r w:rsidR="00552239">
        <w:t xml:space="preserve">for </w:t>
      </w:r>
      <w:r w:rsidRPr="008C4640">
        <w:t xml:space="preserve">assessment, and what the process </w:t>
      </w:r>
      <w:r w:rsidR="00552239">
        <w:t>involves</w:t>
      </w:r>
      <w:r w:rsidRPr="008C4640">
        <w:t>.</w:t>
      </w:r>
      <w:r>
        <w:t xml:space="preserve"> Transparent c</w:t>
      </w:r>
      <w:r w:rsidRPr="008C4640">
        <w:t xml:space="preserve">redit precedent </w:t>
      </w:r>
      <w:r>
        <w:t>lists</w:t>
      </w:r>
      <w:r w:rsidRPr="008C4640">
        <w:t xml:space="preserve"> can also help learners </w:t>
      </w:r>
      <w:r w:rsidR="007459E8">
        <w:t xml:space="preserve">estimate </w:t>
      </w:r>
      <w:r w:rsidRPr="008C4640">
        <w:t xml:space="preserve">how much credit they may be eligible for. </w:t>
      </w:r>
      <w:r w:rsidR="007459E8">
        <w:t>I</w:t>
      </w:r>
      <w:r w:rsidRPr="008C4640">
        <w:t>mprov</w:t>
      </w:r>
      <w:r w:rsidR="007459E8">
        <w:t>ing</w:t>
      </w:r>
      <w:r w:rsidRPr="008C4640">
        <w:t xml:space="preserve"> </w:t>
      </w:r>
      <w:r w:rsidRPr="00D353D1">
        <w:t>providers’</w:t>
      </w:r>
      <w:r w:rsidRPr="008C4640">
        <w:t xml:space="preserve"> internal processes</w:t>
      </w:r>
      <w:r w:rsidR="00105877">
        <w:t xml:space="preserve"> – </w:t>
      </w:r>
      <w:r w:rsidRPr="008C4640" w:rsidDel="00105877">
        <w:t xml:space="preserve">either through improving </w:t>
      </w:r>
      <w:r w:rsidRPr="008C4640">
        <w:t>reporting and assessment systems</w:t>
      </w:r>
      <w:r w:rsidR="00105877">
        <w:t xml:space="preserve"> –</w:t>
      </w:r>
      <w:r w:rsidRPr="008C4640">
        <w:t xml:space="preserve"> or</w:t>
      </w:r>
      <w:r w:rsidRPr="008C4640" w:rsidDel="00105877">
        <w:t xml:space="preserve"> </w:t>
      </w:r>
      <w:r w:rsidRPr="008C4640">
        <w:t>standardising credit for common pathways through articulation agreements could further reduc</w:t>
      </w:r>
      <w:r w:rsidR="00C710FE">
        <w:t>e</w:t>
      </w:r>
      <w:r w:rsidRPr="008C4640">
        <w:t xml:space="preserve"> the time and resource intensity</w:t>
      </w:r>
      <w:r w:rsidRPr="008C4640" w:rsidDel="006501C2">
        <w:t xml:space="preserve"> of credit assessments</w:t>
      </w:r>
      <w:r w:rsidRPr="008C4640">
        <w:t xml:space="preserve">, ensuring learners </w:t>
      </w:r>
      <w:r w:rsidR="006501C2">
        <w:t>do not</w:t>
      </w:r>
      <w:r w:rsidRPr="008C4640">
        <w:t xml:space="preserve"> miss out due to </w:t>
      </w:r>
      <w:r w:rsidR="00C34A65">
        <w:t>lack of information</w:t>
      </w:r>
      <w:r w:rsidRPr="008C4640">
        <w:t xml:space="preserve">. </w:t>
      </w:r>
    </w:p>
    <w:p w14:paraId="656E5220" w14:textId="752EA264" w:rsidR="00D217ED" w:rsidRDefault="00D217ED" w:rsidP="00D217ED">
      <w:r>
        <w:t xml:space="preserve">Credit agreements can </w:t>
      </w:r>
      <w:r w:rsidR="003D68AD">
        <w:t xml:space="preserve">also </w:t>
      </w:r>
      <w:r>
        <w:t xml:space="preserve">offer cost savings compared to </w:t>
      </w:r>
      <w:r w:rsidR="003D68AD">
        <w:t xml:space="preserve">completing </w:t>
      </w:r>
      <w:r>
        <w:t xml:space="preserve">a single qualification. </w:t>
      </w:r>
      <w:r w:rsidR="00B34EFF">
        <w:t>For</w:t>
      </w:r>
      <w:r>
        <w:t xml:space="preserve"> example</w:t>
      </w:r>
      <w:r w:rsidR="00163673">
        <w:t xml:space="preserve">, </w:t>
      </w:r>
      <w:r>
        <w:t xml:space="preserve">a learner undertaking a Diploma of </w:t>
      </w:r>
      <w:r w:rsidR="001C73F4">
        <w:t>Project Management</w:t>
      </w:r>
      <w:r>
        <w:t xml:space="preserve"> </w:t>
      </w:r>
      <w:r w:rsidR="00485F30">
        <w:t xml:space="preserve">that </w:t>
      </w:r>
      <w:r>
        <w:t>articulat</w:t>
      </w:r>
      <w:r w:rsidR="00485F30">
        <w:t>es</w:t>
      </w:r>
      <w:r>
        <w:t xml:space="preserve"> into a Bachelor of </w:t>
      </w:r>
      <w:r w:rsidR="001C73F4">
        <w:t>Business</w:t>
      </w:r>
      <w:r>
        <w:t xml:space="preserve">, could save the cost of the first year of higher education </w:t>
      </w:r>
      <w:r w:rsidR="00012693">
        <w:t>–</w:t>
      </w:r>
      <w:r>
        <w:t xml:space="preserve"> </w:t>
      </w:r>
      <w:r w:rsidR="00F55179">
        <w:t>a</w:t>
      </w:r>
      <w:r>
        <w:t xml:space="preserve"> $</w:t>
      </w:r>
      <w:r w:rsidR="003A659E">
        <w:t xml:space="preserve">9,690 </w:t>
      </w:r>
      <w:r>
        <w:t>saving in 2025</w:t>
      </w:r>
      <w:r w:rsidR="003A659E">
        <w:t>, based on a full fee VET qualification</w:t>
      </w:r>
      <w:r>
        <w:t xml:space="preserve">. </w:t>
      </w:r>
      <w:r w:rsidR="00F82DC1">
        <w:t xml:space="preserve">Savings could be even greater where a learner </w:t>
      </w:r>
      <w:r w:rsidR="00E41B06">
        <w:t>is able to access</w:t>
      </w:r>
      <w:r w:rsidR="00AD319F">
        <w:t xml:space="preserve"> subsidised VET courses under</w:t>
      </w:r>
      <w:r w:rsidR="00E41B06">
        <w:t xml:space="preserve"> Fee-Free TAFE</w:t>
      </w:r>
      <w:r w:rsidR="00AD319F">
        <w:t xml:space="preserve">. </w:t>
      </w:r>
      <w:r w:rsidR="00C31737">
        <w:t xml:space="preserve">Studying </w:t>
      </w:r>
      <w:r w:rsidR="003D7379">
        <w:t>a Diploma of Nursing</w:t>
      </w:r>
      <w:r w:rsidR="000812BF">
        <w:t xml:space="preserve"> then</w:t>
      </w:r>
      <w:r w:rsidR="003D7379">
        <w:t xml:space="preserve"> a Bachelor of Nursing</w:t>
      </w:r>
      <w:r w:rsidR="00AD319F">
        <w:t xml:space="preserve"> </w:t>
      </w:r>
      <w:r w:rsidR="000812BF">
        <w:t>could</w:t>
      </w:r>
      <w:r w:rsidR="00AD319F">
        <w:t xml:space="preserve"> save $4,627 in 2025</w:t>
      </w:r>
      <w:r w:rsidR="00496B47">
        <w:t xml:space="preserve"> where a </w:t>
      </w:r>
      <w:r w:rsidR="004634E2">
        <w:t>learner</w:t>
      </w:r>
      <w:r w:rsidR="00496B47">
        <w:t xml:space="preserve"> is eligible</w:t>
      </w:r>
      <w:r w:rsidR="003D7379">
        <w:t xml:space="preserve">. </w:t>
      </w:r>
      <w:r w:rsidR="00012693">
        <w:t xml:space="preserve">While </w:t>
      </w:r>
      <w:r>
        <w:t>this pathway spend</w:t>
      </w:r>
      <w:r w:rsidR="00260011">
        <w:t>s</w:t>
      </w:r>
      <w:r>
        <w:t xml:space="preserve"> an additional 6 months studying compared to a 3-year Bachelor of Nursing, the cost savings and </w:t>
      </w:r>
      <w:r w:rsidR="003B5141">
        <w:t xml:space="preserve">ability </w:t>
      </w:r>
      <w:r>
        <w:t xml:space="preserve">to work </w:t>
      </w:r>
      <w:r w:rsidR="003B5141">
        <w:t xml:space="preserve">as </w:t>
      </w:r>
      <w:r>
        <w:t xml:space="preserve">an enrolled nurse </w:t>
      </w:r>
      <w:r w:rsidR="003B5141">
        <w:t xml:space="preserve">after </w:t>
      </w:r>
      <w:r>
        <w:t>completi</w:t>
      </w:r>
      <w:r w:rsidR="003B5141">
        <w:t>ng</w:t>
      </w:r>
      <w:r>
        <w:t xml:space="preserve"> the diploma may </w:t>
      </w:r>
      <w:r w:rsidR="003B5141">
        <w:t xml:space="preserve">provide significant </w:t>
      </w:r>
      <w:r>
        <w:t xml:space="preserve">benefit to learners. </w:t>
      </w:r>
      <w:r w:rsidR="00F8278D">
        <w:t>Better s</w:t>
      </w:r>
      <w:r w:rsidR="00D67CB2">
        <w:t xml:space="preserve">upporting learners to receive credit </w:t>
      </w:r>
      <w:r w:rsidR="000C1765">
        <w:t xml:space="preserve">more consistently </w:t>
      </w:r>
      <w:r w:rsidR="00D67CB2">
        <w:t xml:space="preserve">when moving from higher education into VET could also </w:t>
      </w:r>
      <w:r w:rsidR="00F8278D">
        <w:t xml:space="preserve">lead to reductions in the time and cost of further study. </w:t>
      </w:r>
    </w:p>
    <w:p w14:paraId="54518E8F" w14:textId="1B4857E1" w:rsidR="00D217ED" w:rsidRPr="008C4640" w:rsidRDefault="00D217ED" w:rsidP="00D217ED">
      <w:pPr>
        <w:pStyle w:val="Heading4"/>
        <w:rPr>
          <w:rFonts w:eastAsia="Times New Roman"/>
        </w:rPr>
      </w:pPr>
      <w:r w:rsidRPr="008C4640">
        <w:rPr>
          <w:rFonts w:eastAsia="Times New Roman"/>
        </w:rPr>
        <w:t>Supporting learner re-engagement</w:t>
      </w:r>
      <w:r>
        <w:rPr>
          <w:rFonts w:eastAsia="Times New Roman"/>
        </w:rPr>
        <w:t xml:space="preserve"> in the tertiary system</w:t>
      </w:r>
    </w:p>
    <w:p w14:paraId="57D6E43B" w14:textId="0915ECC6" w:rsidR="00D217ED" w:rsidRPr="001B1B45" w:rsidRDefault="00D217ED" w:rsidP="00D217ED">
      <w:pPr>
        <w:rPr>
          <w:color w:val="auto"/>
        </w:rPr>
      </w:pPr>
      <w:r w:rsidRPr="00170B17">
        <w:rPr>
          <w:color w:val="auto"/>
        </w:rPr>
        <w:t xml:space="preserve">A more </w:t>
      </w:r>
      <w:r>
        <w:rPr>
          <w:color w:val="auto"/>
        </w:rPr>
        <w:t>joined-up</w:t>
      </w:r>
      <w:r w:rsidRPr="00170B17">
        <w:rPr>
          <w:color w:val="auto"/>
        </w:rPr>
        <w:t xml:space="preserve"> tertiary system </w:t>
      </w:r>
      <w:r w:rsidR="001511D2">
        <w:rPr>
          <w:color w:val="auto"/>
        </w:rPr>
        <w:t xml:space="preserve">could </w:t>
      </w:r>
      <w:r w:rsidRPr="00170B17">
        <w:rPr>
          <w:color w:val="auto"/>
        </w:rPr>
        <w:t>better support re-engagement with study</w:t>
      </w:r>
      <w:r w:rsidR="005F7110">
        <w:rPr>
          <w:color w:val="auto"/>
        </w:rPr>
        <w:t xml:space="preserve"> both as part of </w:t>
      </w:r>
      <w:r>
        <w:rPr>
          <w:color w:val="auto"/>
        </w:rPr>
        <w:t xml:space="preserve">lifelong learning and for </w:t>
      </w:r>
      <w:r w:rsidR="00167390">
        <w:rPr>
          <w:color w:val="auto"/>
        </w:rPr>
        <w:t xml:space="preserve">learners who </w:t>
      </w:r>
      <w:r>
        <w:rPr>
          <w:color w:val="auto"/>
        </w:rPr>
        <w:t>partial</w:t>
      </w:r>
      <w:r w:rsidR="00167390">
        <w:rPr>
          <w:color w:val="auto"/>
        </w:rPr>
        <w:t>ly complete a</w:t>
      </w:r>
      <w:r>
        <w:rPr>
          <w:color w:val="auto"/>
        </w:rPr>
        <w:t xml:space="preserve"> qualification. </w:t>
      </w:r>
    </w:p>
    <w:p w14:paraId="69FE94EE" w14:textId="21B8E05F" w:rsidR="00D217ED" w:rsidRPr="001B1B45" w:rsidRDefault="00D217ED" w:rsidP="00D217ED">
      <w:pPr>
        <w:rPr>
          <w:color w:val="auto"/>
        </w:rPr>
      </w:pPr>
      <w:r w:rsidRPr="3A7ED23E">
        <w:rPr>
          <w:color w:val="auto"/>
        </w:rPr>
        <w:t xml:space="preserve">As people change jobs and careers across their lifetimes, re-engagement with tertiary study </w:t>
      </w:r>
      <w:r w:rsidR="4E97EE9E" w:rsidRPr="3A7ED23E">
        <w:rPr>
          <w:color w:val="auto"/>
        </w:rPr>
        <w:t>can</w:t>
      </w:r>
      <w:r w:rsidRPr="3A7ED23E">
        <w:rPr>
          <w:color w:val="auto"/>
        </w:rPr>
        <w:t xml:space="preserve"> </w:t>
      </w:r>
      <w:r w:rsidR="00C3748B" w:rsidRPr="3A7ED23E">
        <w:rPr>
          <w:color w:val="auto"/>
        </w:rPr>
        <w:t xml:space="preserve">help </w:t>
      </w:r>
      <w:r w:rsidRPr="3A7ED23E">
        <w:rPr>
          <w:color w:val="auto"/>
        </w:rPr>
        <w:t>them adapt to changing roles and labour market needs. As noted</w:t>
      </w:r>
      <w:r w:rsidR="000E5F5A" w:rsidRPr="3A7ED23E">
        <w:rPr>
          <w:color w:val="auto"/>
        </w:rPr>
        <w:t xml:space="preserve"> earlier</w:t>
      </w:r>
      <w:r w:rsidRPr="3A7ED23E">
        <w:rPr>
          <w:color w:val="auto"/>
        </w:rPr>
        <w:t xml:space="preserve">, better credit and RPL processes, </w:t>
      </w:r>
      <w:r w:rsidR="00FC4783" w:rsidRPr="3A7ED23E">
        <w:rPr>
          <w:color w:val="auto"/>
        </w:rPr>
        <w:t xml:space="preserve">along with </w:t>
      </w:r>
      <w:r w:rsidRPr="3A7ED23E">
        <w:rPr>
          <w:color w:val="auto"/>
        </w:rPr>
        <w:t>improved information on study options, could make re-engagement much smoother for lifelong learners.</w:t>
      </w:r>
    </w:p>
    <w:p w14:paraId="64378730" w14:textId="7E6E14B3" w:rsidR="00061849" w:rsidRDefault="00D217ED" w:rsidP="00D217ED">
      <w:pPr>
        <w:rPr>
          <w:color w:val="auto"/>
        </w:rPr>
      </w:pPr>
      <w:r>
        <w:rPr>
          <w:color w:val="auto"/>
        </w:rPr>
        <w:t xml:space="preserve">Partial completers </w:t>
      </w:r>
      <w:r w:rsidRPr="00D353D1">
        <w:rPr>
          <w:color w:val="auto"/>
        </w:rPr>
        <w:t xml:space="preserve">could </w:t>
      </w:r>
      <w:r>
        <w:rPr>
          <w:color w:val="auto"/>
        </w:rPr>
        <w:t xml:space="preserve">also be supported to </w:t>
      </w:r>
      <w:r w:rsidR="002B3AD4">
        <w:rPr>
          <w:color w:val="auto"/>
        </w:rPr>
        <w:t xml:space="preserve">return to </w:t>
      </w:r>
      <w:r>
        <w:rPr>
          <w:color w:val="auto"/>
        </w:rPr>
        <w:t>education. Learners</w:t>
      </w:r>
      <w:r w:rsidRPr="00170B17">
        <w:rPr>
          <w:color w:val="auto"/>
        </w:rPr>
        <w:t xml:space="preserve"> exit </w:t>
      </w:r>
      <w:r w:rsidRPr="00D353D1">
        <w:rPr>
          <w:color w:val="auto"/>
        </w:rPr>
        <w:t xml:space="preserve">study </w:t>
      </w:r>
      <w:r w:rsidRPr="00170B17">
        <w:rPr>
          <w:color w:val="auto"/>
        </w:rPr>
        <w:t xml:space="preserve">early for a variety of reasons and </w:t>
      </w:r>
      <w:r w:rsidRPr="00D353D1">
        <w:rPr>
          <w:color w:val="auto"/>
        </w:rPr>
        <w:t xml:space="preserve">often </w:t>
      </w:r>
      <w:r w:rsidRPr="00170B17">
        <w:rPr>
          <w:color w:val="auto"/>
        </w:rPr>
        <w:t>seek to return later.</w:t>
      </w:r>
      <w:r w:rsidRPr="00170B17">
        <w:rPr>
          <w:b/>
          <w:bCs/>
          <w:color w:val="auto"/>
        </w:rPr>
        <w:t xml:space="preserve"> </w:t>
      </w:r>
      <w:r w:rsidRPr="00170B17">
        <w:rPr>
          <w:color w:val="auto"/>
        </w:rPr>
        <w:t xml:space="preserve">NCVER data on VET Student Outcomes (2024) </w:t>
      </w:r>
      <w:r w:rsidR="00977A40">
        <w:rPr>
          <w:color w:val="auto"/>
        </w:rPr>
        <w:t xml:space="preserve">shows </w:t>
      </w:r>
      <w:r w:rsidRPr="00170B17">
        <w:rPr>
          <w:color w:val="auto"/>
        </w:rPr>
        <w:t xml:space="preserve">the </w:t>
      </w:r>
      <w:r w:rsidR="002B1E8F">
        <w:rPr>
          <w:color w:val="auto"/>
        </w:rPr>
        <w:t xml:space="preserve">most common </w:t>
      </w:r>
      <w:r w:rsidRPr="00170B17">
        <w:rPr>
          <w:color w:val="auto"/>
        </w:rPr>
        <w:t xml:space="preserve">reason for non-completion was </w:t>
      </w:r>
      <w:r>
        <w:rPr>
          <w:color w:val="auto"/>
        </w:rPr>
        <w:t>“</w:t>
      </w:r>
      <w:r w:rsidRPr="00170B17">
        <w:rPr>
          <w:color w:val="auto"/>
        </w:rPr>
        <w:t>personal reasons</w:t>
      </w:r>
      <w:r>
        <w:rPr>
          <w:color w:val="auto"/>
        </w:rPr>
        <w:t>”</w:t>
      </w:r>
      <w:r w:rsidRPr="00170B17">
        <w:rPr>
          <w:color w:val="auto"/>
        </w:rPr>
        <w:t xml:space="preserve"> </w:t>
      </w:r>
      <w:r w:rsidR="00416D16">
        <w:rPr>
          <w:color w:val="auto"/>
        </w:rPr>
        <w:t>(</w:t>
      </w:r>
      <w:r w:rsidRPr="00170B17">
        <w:rPr>
          <w:color w:val="auto"/>
        </w:rPr>
        <w:t>21.9% of respondents</w:t>
      </w:r>
      <w:r w:rsidR="00416D16">
        <w:rPr>
          <w:color w:val="auto"/>
        </w:rPr>
        <w:t>)</w:t>
      </w:r>
      <w:r w:rsidRPr="00170B17">
        <w:rPr>
          <w:color w:val="auto"/>
        </w:rPr>
        <w:t xml:space="preserve">. </w:t>
      </w:r>
      <w:r w:rsidR="00416D16">
        <w:rPr>
          <w:color w:val="auto"/>
        </w:rPr>
        <w:t>Importantly</w:t>
      </w:r>
      <w:r w:rsidRPr="00170B17">
        <w:rPr>
          <w:color w:val="auto"/>
        </w:rPr>
        <w:t xml:space="preserve">, 22.4% of part-completers went on to further study later (NCVER 2024). Li and Carroll </w:t>
      </w:r>
      <w:r w:rsidR="009D767E">
        <w:rPr>
          <w:color w:val="auto"/>
        </w:rPr>
        <w:t xml:space="preserve">(2020) </w:t>
      </w:r>
      <w:r w:rsidRPr="00170B17">
        <w:rPr>
          <w:color w:val="auto"/>
        </w:rPr>
        <w:t xml:space="preserve">note that learners from equity </w:t>
      </w:r>
      <w:r w:rsidRPr="00A87D99">
        <w:rPr>
          <w:color w:val="auto"/>
        </w:rPr>
        <w:t xml:space="preserve">groups </w:t>
      </w:r>
      <w:r w:rsidR="00917006">
        <w:rPr>
          <w:color w:val="auto"/>
        </w:rPr>
        <w:t>are</w:t>
      </w:r>
      <w:r w:rsidRPr="00A87D99">
        <w:rPr>
          <w:color w:val="auto"/>
        </w:rPr>
        <w:t xml:space="preserve"> at higher risk of exiting early, often due to health and financial </w:t>
      </w:r>
      <w:r w:rsidR="00917006">
        <w:rPr>
          <w:color w:val="auto"/>
        </w:rPr>
        <w:t>pressures</w:t>
      </w:r>
      <w:r w:rsidRPr="00A87D99">
        <w:rPr>
          <w:color w:val="auto"/>
        </w:rPr>
        <w:t xml:space="preserve">. </w:t>
      </w:r>
      <w:r>
        <w:rPr>
          <w:color w:val="auto"/>
        </w:rPr>
        <w:t xml:space="preserve">Assisting these learners to re-engage and complete a qualification could help widen attainment. </w:t>
      </w:r>
      <w:r w:rsidR="00061849">
        <w:rPr>
          <w:color w:val="auto"/>
        </w:rPr>
        <w:t xml:space="preserve">The VET sector also plays an important role in re-engaging early school leavers in education, </w:t>
      </w:r>
      <w:r w:rsidR="00C31ECC">
        <w:rPr>
          <w:color w:val="auto"/>
        </w:rPr>
        <w:t xml:space="preserve">with 51% of early school leavers who re-engaged with education undertaking an apprenticeship or traineeship, and </w:t>
      </w:r>
      <w:r w:rsidR="005069B6">
        <w:rPr>
          <w:color w:val="auto"/>
        </w:rPr>
        <w:t xml:space="preserve">34% undertaking other VET </w:t>
      </w:r>
      <w:r w:rsidR="004C6123">
        <w:rPr>
          <w:color w:val="auto"/>
        </w:rPr>
        <w:t xml:space="preserve">qualifications (Lim 2022). </w:t>
      </w:r>
    </w:p>
    <w:p w14:paraId="4BC651FC" w14:textId="2D5F7CF6" w:rsidR="00D217ED" w:rsidRDefault="00D217ED" w:rsidP="00D217ED">
      <w:pPr>
        <w:rPr>
          <w:color w:val="auto"/>
        </w:rPr>
      </w:pPr>
      <w:r>
        <w:rPr>
          <w:color w:val="auto"/>
        </w:rPr>
        <w:t xml:space="preserve">The reasons for non-completion are not always permanent, </w:t>
      </w:r>
      <w:r w:rsidR="00B52E89">
        <w:rPr>
          <w:color w:val="auto"/>
        </w:rPr>
        <w:t>and</w:t>
      </w:r>
      <w:r>
        <w:rPr>
          <w:color w:val="auto"/>
        </w:rPr>
        <w:t xml:space="preserve"> re-engagement </w:t>
      </w:r>
      <w:r w:rsidR="00B52E89">
        <w:rPr>
          <w:color w:val="auto"/>
        </w:rPr>
        <w:t xml:space="preserve">is </w:t>
      </w:r>
      <w:r>
        <w:rPr>
          <w:color w:val="auto"/>
        </w:rPr>
        <w:t xml:space="preserve">common </w:t>
      </w:r>
      <w:r w:rsidR="00B52E89">
        <w:rPr>
          <w:color w:val="auto"/>
        </w:rPr>
        <w:t>among</w:t>
      </w:r>
      <w:r>
        <w:rPr>
          <w:color w:val="auto"/>
        </w:rPr>
        <w:t xml:space="preserve"> those who decide to discontinue study (Harvey et al. 2017). </w:t>
      </w:r>
      <w:r w:rsidRPr="00A87D99">
        <w:rPr>
          <w:color w:val="auto"/>
        </w:rPr>
        <w:t xml:space="preserve">Learners who partially completed higher education </w:t>
      </w:r>
      <w:r w:rsidR="00B52E89">
        <w:rPr>
          <w:color w:val="auto"/>
        </w:rPr>
        <w:t xml:space="preserve">often report </w:t>
      </w:r>
      <w:r w:rsidRPr="00A87D99">
        <w:rPr>
          <w:color w:val="auto"/>
        </w:rPr>
        <w:t xml:space="preserve">that </w:t>
      </w:r>
      <w:r w:rsidR="00D85D01">
        <w:rPr>
          <w:color w:val="auto"/>
        </w:rPr>
        <w:t>the</w:t>
      </w:r>
      <w:r w:rsidRPr="00A87D99">
        <w:rPr>
          <w:color w:val="auto"/>
        </w:rPr>
        <w:t xml:space="preserve"> experience helped them </w:t>
      </w:r>
      <w:r w:rsidR="00D85D01">
        <w:rPr>
          <w:color w:val="auto"/>
        </w:rPr>
        <w:t>succeed</w:t>
      </w:r>
      <w:r w:rsidRPr="00A87D99">
        <w:rPr>
          <w:color w:val="auto"/>
        </w:rPr>
        <w:t xml:space="preserve"> when re-attempting later</w:t>
      </w:r>
      <w:r>
        <w:rPr>
          <w:color w:val="auto"/>
        </w:rPr>
        <w:t xml:space="preserve">, </w:t>
      </w:r>
      <w:r w:rsidR="00D85D01">
        <w:rPr>
          <w:color w:val="auto"/>
        </w:rPr>
        <w:t xml:space="preserve">as they </w:t>
      </w:r>
      <w:r w:rsidRPr="00A87D99">
        <w:rPr>
          <w:color w:val="auto"/>
        </w:rPr>
        <w:t>better under</w:t>
      </w:r>
      <w:r w:rsidR="00D85D01">
        <w:rPr>
          <w:color w:val="auto"/>
        </w:rPr>
        <w:t>stood</w:t>
      </w:r>
      <w:r w:rsidRPr="00A87D99">
        <w:rPr>
          <w:color w:val="auto"/>
        </w:rPr>
        <w:t xml:space="preserve"> the time and effort require</w:t>
      </w:r>
      <w:r w:rsidR="00185090">
        <w:rPr>
          <w:color w:val="auto"/>
        </w:rPr>
        <w:t>d</w:t>
      </w:r>
      <w:r w:rsidRPr="00A87D99">
        <w:rPr>
          <w:color w:val="auto"/>
        </w:rPr>
        <w:t xml:space="preserve"> (Cunninghame and Pitman 2020). </w:t>
      </w:r>
    </w:p>
    <w:p w14:paraId="2BE30DFD" w14:textId="069A6A68" w:rsidR="001C1B9A" w:rsidRPr="00C55EC9" w:rsidRDefault="00D217ED" w:rsidP="00D217ED">
      <w:pPr>
        <w:rPr>
          <w:color w:val="auto"/>
        </w:rPr>
      </w:pPr>
      <w:r w:rsidRPr="00A87D99">
        <w:rPr>
          <w:color w:val="auto"/>
        </w:rPr>
        <w:t xml:space="preserve">Better credit and </w:t>
      </w:r>
      <w:r w:rsidRPr="00D353D1">
        <w:rPr>
          <w:color w:val="auto"/>
        </w:rPr>
        <w:t>RPL</w:t>
      </w:r>
      <w:r w:rsidRPr="00A87D99">
        <w:rPr>
          <w:color w:val="auto"/>
        </w:rPr>
        <w:t xml:space="preserve"> processes could support re-engagement and success</w:t>
      </w:r>
      <w:r w:rsidR="003F6DCC">
        <w:rPr>
          <w:color w:val="auto"/>
        </w:rPr>
        <w:t xml:space="preserve"> by </w:t>
      </w:r>
      <w:r w:rsidRPr="00A87D99">
        <w:rPr>
          <w:color w:val="auto"/>
        </w:rPr>
        <w:t xml:space="preserve">recognising </w:t>
      </w:r>
      <w:r>
        <w:rPr>
          <w:color w:val="auto"/>
        </w:rPr>
        <w:t xml:space="preserve">previous efforts where credit </w:t>
      </w:r>
      <w:r w:rsidR="003F6DCC">
        <w:rPr>
          <w:color w:val="auto"/>
        </w:rPr>
        <w:t>is</w:t>
      </w:r>
      <w:r>
        <w:rPr>
          <w:color w:val="auto"/>
        </w:rPr>
        <w:t xml:space="preserve"> appropriate (Harvey et al 2017). Nested qualifications, including cross-sector </w:t>
      </w:r>
      <w:r w:rsidR="003F6DCC">
        <w:rPr>
          <w:color w:val="auto"/>
        </w:rPr>
        <w:t>options</w:t>
      </w:r>
      <w:r>
        <w:rPr>
          <w:color w:val="auto"/>
        </w:rPr>
        <w:t xml:space="preserve">, could also </w:t>
      </w:r>
      <w:r w:rsidR="000A1FE9">
        <w:rPr>
          <w:color w:val="auto"/>
        </w:rPr>
        <w:t xml:space="preserve">help by providing </w:t>
      </w:r>
      <w:r w:rsidDel="00247580">
        <w:rPr>
          <w:color w:val="auto"/>
        </w:rPr>
        <w:t>recognition</w:t>
      </w:r>
      <w:r w:rsidR="000B7498">
        <w:rPr>
          <w:color w:val="auto"/>
        </w:rPr>
        <w:t xml:space="preserve"> of study</w:t>
      </w:r>
      <w:r w:rsidDel="00247580">
        <w:rPr>
          <w:color w:val="auto"/>
        </w:rPr>
        <w:t xml:space="preserve">, ensuring that those who do discontinue have </w:t>
      </w:r>
      <w:r>
        <w:rPr>
          <w:color w:val="auto"/>
        </w:rPr>
        <w:t>formal recognition of study</w:t>
      </w:r>
      <w:r w:rsidR="00A06877">
        <w:rPr>
          <w:color w:val="auto"/>
        </w:rPr>
        <w:t xml:space="preserve"> – even if incomplete</w:t>
      </w:r>
      <w:r>
        <w:rPr>
          <w:color w:val="auto"/>
        </w:rPr>
        <w:t xml:space="preserve">. This </w:t>
      </w:r>
      <w:r w:rsidR="00A06877">
        <w:rPr>
          <w:color w:val="auto"/>
        </w:rPr>
        <w:t xml:space="preserve">recognition can </w:t>
      </w:r>
      <w:r>
        <w:rPr>
          <w:color w:val="auto"/>
        </w:rPr>
        <w:t xml:space="preserve">assist with entry into new qualifications and </w:t>
      </w:r>
      <w:r w:rsidR="00C9670A">
        <w:rPr>
          <w:color w:val="auto"/>
        </w:rPr>
        <w:t xml:space="preserve">improve </w:t>
      </w:r>
      <w:r>
        <w:rPr>
          <w:color w:val="auto"/>
        </w:rPr>
        <w:t>employment</w:t>
      </w:r>
      <w:r w:rsidR="00C9670A">
        <w:rPr>
          <w:color w:val="auto"/>
        </w:rPr>
        <w:t xml:space="preserve"> </w:t>
      </w:r>
      <w:r w:rsidR="00104CE6">
        <w:rPr>
          <w:color w:val="auto"/>
        </w:rPr>
        <w:t>prospects</w:t>
      </w:r>
      <w:r w:rsidDel="00F83292">
        <w:rPr>
          <w:color w:val="auto"/>
        </w:rPr>
        <w:t>, with a recognised qualification better flagging the</w:t>
      </w:r>
      <w:r w:rsidR="00F83292">
        <w:rPr>
          <w:color w:val="auto"/>
        </w:rPr>
        <w:t xml:space="preserve"> </w:t>
      </w:r>
      <w:r>
        <w:rPr>
          <w:color w:val="auto"/>
        </w:rPr>
        <w:t xml:space="preserve">learning outcomes </w:t>
      </w:r>
      <w:r w:rsidR="00F83292">
        <w:rPr>
          <w:color w:val="auto"/>
        </w:rPr>
        <w:t>achieved</w:t>
      </w:r>
      <w:r w:rsidRPr="00D353D1">
        <w:rPr>
          <w:color w:val="auto"/>
        </w:rPr>
        <w:t>.</w:t>
      </w:r>
    </w:p>
    <w:p w14:paraId="55CE1AF7" w14:textId="77777777" w:rsidR="00D217ED" w:rsidRPr="008C4640" w:rsidRDefault="00D217ED" w:rsidP="00B53611">
      <w:pPr>
        <w:pStyle w:val="Heading3"/>
      </w:pPr>
      <w:bookmarkStart w:id="17" w:name="_Toc229643961"/>
      <w:r w:rsidRPr="008C4640">
        <w:t>Broader benefits</w:t>
      </w:r>
      <w:bookmarkEnd w:id="17"/>
      <w:r w:rsidRPr="008C4640">
        <w:t xml:space="preserve"> </w:t>
      </w:r>
    </w:p>
    <w:p w14:paraId="5EED5E41" w14:textId="77777777" w:rsidR="00D217ED" w:rsidRPr="008C4640" w:rsidRDefault="00D217ED" w:rsidP="00D217ED">
      <w:pPr>
        <w:pStyle w:val="Heading4"/>
        <w:spacing w:before="120"/>
      </w:pPr>
      <w:r w:rsidRPr="008C4640">
        <w:t>Alignment of skills with national priorities</w:t>
      </w:r>
    </w:p>
    <w:p w14:paraId="5345CC5D" w14:textId="26D35CE2" w:rsidR="00D217ED" w:rsidRDefault="00D217ED" w:rsidP="00D217ED">
      <w:r w:rsidRPr="008C4640">
        <w:t xml:space="preserve">A more </w:t>
      </w:r>
      <w:r>
        <w:t>joined-up</w:t>
      </w:r>
      <w:r w:rsidRPr="008C4640">
        <w:t xml:space="preserve"> tertiary system could support </w:t>
      </w:r>
      <w:r w:rsidR="00171399">
        <w:t xml:space="preserve">better </w:t>
      </w:r>
      <w:r w:rsidRPr="008C4640">
        <w:t>alignment of skills to industry need</w:t>
      </w:r>
      <w:r w:rsidR="00171399">
        <w:t>s</w:t>
      </w:r>
      <w:r w:rsidRPr="008C4640">
        <w:t xml:space="preserve"> and greater responsiveness and mobility to changing labour market demands</w:t>
      </w:r>
      <w:r>
        <w:t xml:space="preserve"> (JSA 2025d)</w:t>
      </w:r>
      <w:r w:rsidRPr="008C4640">
        <w:t xml:space="preserve">. Currently, </w:t>
      </w:r>
      <w:r w:rsidR="00AA1833">
        <w:t xml:space="preserve">139 occupations </w:t>
      </w:r>
      <w:r w:rsidR="00967B14">
        <w:t xml:space="preserve">are </w:t>
      </w:r>
      <w:r w:rsidR="00AA1833">
        <w:t>in persistent shortage from 2021 to 2025</w:t>
      </w:r>
      <w:r w:rsidR="001F1568">
        <w:t xml:space="preserve"> primarily </w:t>
      </w:r>
      <w:r w:rsidR="00425989">
        <w:t>in the</w:t>
      </w:r>
      <w:r w:rsidR="00967B14">
        <w:t xml:space="preserve"> Technicians and Trades Workers</w:t>
      </w:r>
      <w:r w:rsidRPr="008C4640">
        <w:t xml:space="preserve"> </w:t>
      </w:r>
      <w:r w:rsidR="00425989">
        <w:t xml:space="preserve">major </w:t>
      </w:r>
      <w:r w:rsidRPr="008C4640" w:rsidDel="00CE43A6">
        <w:t>grou</w:t>
      </w:r>
      <w:r w:rsidR="00425989">
        <w:t>p</w:t>
      </w:r>
      <w:r w:rsidRPr="008C4640">
        <w:t xml:space="preserve"> </w:t>
      </w:r>
      <w:r w:rsidR="00425989">
        <w:t xml:space="preserve">and </w:t>
      </w:r>
      <w:r w:rsidRPr="008C4640" w:rsidDel="00CE43A6">
        <w:t xml:space="preserve">the </w:t>
      </w:r>
      <w:r w:rsidR="00967B14">
        <w:t>P</w:t>
      </w:r>
      <w:r w:rsidRPr="008C4640">
        <w:t xml:space="preserve">rofessionals </w:t>
      </w:r>
      <w:r w:rsidR="00425989">
        <w:t>major</w:t>
      </w:r>
      <w:r w:rsidRPr="008C4640">
        <w:t xml:space="preserve"> </w:t>
      </w:r>
      <w:r w:rsidRPr="008C4640" w:rsidDel="00CE43A6">
        <w:t xml:space="preserve">group, with 51% and </w:t>
      </w:r>
      <w:r w:rsidRPr="008C4640">
        <w:t xml:space="preserve">37% </w:t>
      </w:r>
      <w:r w:rsidRPr="008C4640" w:rsidDel="00A07144">
        <w:t xml:space="preserve">of </w:t>
      </w:r>
      <w:r w:rsidR="00425989">
        <w:t xml:space="preserve">occupational shortages from </w:t>
      </w:r>
      <w:r w:rsidRPr="008C4640" w:rsidDel="00A07144">
        <w:t xml:space="preserve">those groups, respectively </w:t>
      </w:r>
      <w:r w:rsidRPr="008C4640">
        <w:t>(JSA 2025</w:t>
      </w:r>
      <w:r>
        <w:t>b</w:t>
      </w:r>
      <w:r w:rsidRPr="008C4640">
        <w:t xml:space="preserve">). </w:t>
      </w:r>
      <w:r w:rsidR="00CF4645">
        <w:t>D</w:t>
      </w:r>
      <w:r w:rsidRPr="008C4640">
        <w:t xml:space="preserve">rivers of </w:t>
      </w:r>
      <w:r w:rsidR="00CF4645">
        <w:t xml:space="preserve">these </w:t>
      </w:r>
      <w:r w:rsidRPr="008C4640">
        <w:t>shortages include training gaps – where more qualified applicants</w:t>
      </w:r>
      <w:r>
        <w:t xml:space="preserve"> </w:t>
      </w:r>
      <w:r w:rsidR="00CF4645">
        <w:t xml:space="preserve">are needed </w:t>
      </w:r>
      <w:r w:rsidRPr="00D353D1">
        <w:t>–</w:t>
      </w:r>
      <w:r w:rsidRPr="008C4640">
        <w:t xml:space="preserve"> and suitability gaps, where qualified workers lack employability skills or workforce experience.</w:t>
      </w:r>
    </w:p>
    <w:p w14:paraId="37BDE314" w14:textId="077068AE" w:rsidR="00D217ED" w:rsidRDefault="00D217ED" w:rsidP="00D217ED">
      <w:r w:rsidRPr="008C4640">
        <w:t xml:space="preserve">Providing better information </w:t>
      </w:r>
      <w:r w:rsidR="001C4257">
        <w:t xml:space="preserve">to help </w:t>
      </w:r>
      <w:r w:rsidRPr="008C4640">
        <w:t>learners access and complete relevant qualifications</w:t>
      </w:r>
      <w:r>
        <w:t xml:space="preserve"> can </w:t>
      </w:r>
      <w:r w:rsidR="002239F8">
        <w:t xml:space="preserve">address these gaps. This includes </w:t>
      </w:r>
      <w:r w:rsidRPr="008C4640">
        <w:t xml:space="preserve">growing </w:t>
      </w:r>
      <w:r>
        <w:t>learner</w:t>
      </w:r>
      <w:r w:rsidRPr="008C4640">
        <w:t xml:space="preserve"> understanding of the benefit of pathways </w:t>
      </w:r>
      <w:r w:rsidR="00DA3241">
        <w:t xml:space="preserve">to these occupations </w:t>
      </w:r>
      <w:r w:rsidRPr="008C4640">
        <w:t xml:space="preserve">– particularly for VET-related occupations – </w:t>
      </w:r>
      <w:r w:rsidR="00CA6089">
        <w:t xml:space="preserve">and </w:t>
      </w:r>
      <w:r w:rsidR="00497C2B">
        <w:t>enabling those with</w:t>
      </w:r>
      <w:r w:rsidRPr="008C4640">
        <w:t xml:space="preserve"> prior learning </w:t>
      </w:r>
      <w:r w:rsidR="00497C2B">
        <w:t xml:space="preserve">to </w:t>
      </w:r>
      <w:r w:rsidRPr="008C4640">
        <w:t xml:space="preserve">transition </w:t>
      </w:r>
      <w:r w:rsidRPr="008C4640" w:rsidDel="00497C2B">
        <w:t xml:space="preserve">to these roles </w:t>
      </w:r>
      <w:r w:rsidRPr="008C4640">
        <w:t xml:space="preserve">more quickly through credit and RPL. To meet suitability gaps, new qualification models could better </w:t>
      </w:r>
      <w:r w:rsidR="00497C2B">
        <w:t>embed</w:t>
      </w:r>
      <w:r w:rsidRPr="008C4640">
        <w:t xml:space="preserve"> employability skills, such as higher</w:t>
      </w:r>
      <w:r>
        <w:t xml:space="preserve">-level </w:t>
      </w:r>
      <w:r w:rsidRPr="008C4640">
        <w:t>apprenticeships</w:t>
      </w:r>
      <w:r>
        <w:t xml:space="preserve">. Emerging models, </w:t>
      </w:r>
      <w:r w:rsidR="006552AA">
        <w:t xml:space="preserve">including </w:t>
      </w:r>
      <w:r>
        <w:t xml:space="preserve">dual awards and pathways, </w:t>
      </w:r>
      <w:r w:rsidR="006552AA">
        <w:t xml:space="preserve">can </w:t>
      </w:r>
      <w:r w:rsidR="00CF46DB">
        <w:t xml:space="preserve">better </w:t>
      </w:r>
      <w:r w:rsidR="006552AA">
        <w:t>integrate</w:t>
      </w:r>
      <w:r>
        <w:t xml:space="preserve"> industry needs </w:t>
      </w:r>
      <w:r w:rsidR="006552AA">
        <w:t xml:space="preserve">into </w:t>
      </w:r>
      <w:r>
        <w:t>qualification</w:t>
      </w:r>
      <w:r w:rsidR="00E54463">
        <w:t xml:space="preserve"> </w:t>
      </w:r>
      <w:r w:rsidDel="00E54463">
        <w:t>design</w:t>
      </w:r>
      <w:r>
        <w:t xml:space="preserve">, supporting </w:t>
      </w:r>
      <w:r w:rsidR="00E82FA7">
        <w:t xml:space="preserve">stronger </w:t>
      </w:r>
      <w:r>
        <w:t>skills matching (JSA 2025b).</w:t>
      </w:r>
      <w:r w:rsidR="0078003F">
        <w:t xml:space="preserve"> </w:t>
      </w:r>
    </w:p>
    <w:p w14:paraId="6007978C" w14:textId="4511F0B6" w:rsidR="00E65C7D" w:rsidRDefault="00DA59F4" w:rsidP="00D217ED">
      <w:r>
        <w:t xml:space="preserve">The </w:t>
      </w:r>
      <w:r w:rsidR="00E82FA7">
        <w:t>rise</w:t>
      </w:r>
      <w:r>
        <w:t xml:space="preserve"> of generative artificial intelligence (AI) is</w:t>
      </w:r>
      <w:r w:rsidR="00066817">
        <w:t xml:space="preserve"> re-shaping work, </w:t>
      </w:r>
      <w:r w:rsidR="00756953">
        <w:t xml:space="preserve">highlighting </w:t>
      </w:r>
      <w:r w:rsidR="00066817">
        <w:t>the need for a responsive and adaptable workforce</w:t>
      </w:r>
      <w:r w:rsidR="00756953">
        <w:t>.</w:t>
      </w:r>
      <w:r w:rsidR="003830F4" w:rsidDel="00655056">
        <w:t xml:space="preserve"> </w:t>
      </w:r>
      <w:r w:rsidR="003830F4">
        <w:t xml:space="preserve">Jobs are being impacted </w:t>
      </w:r>
      <w:r w:rsidR="00425989">
        <w:t xml:space="preserve">primarily by </w:t>
      </w:r>
      <w:r w:rsidR="003830F4">
        <w:t>augmentation – where AI chang</w:t>
      </w:r>
      <w:r w:rsidR="002777E7">
        <w:t>es</w:t>
      </w:r>
      <w:r w:rsidR="003830F4">
        <w:t xml:space="preserve"> the nature of tasks – and </w:t>
      </w:r>
      <w:r w:rsidR="00425989">
        <w:t xml:space="preserve">to a lesser extent by </w:t>
      </w:r>
      <w:r w:rsidR="003830F4">
        <w:t xml:space="preserve">automation – where </w:t>
      </w:r>
      <w:r w:rsidR="00ED23EE" w:rsidDel="002058BB">
        <w:t xml:space="preserve">the use of generative </w:t>
      </w:r>
      <w:r w:rsidR="00ED23EE">
        <w:t xml:space="preserve">AI </w:t>
      </w:r>
      <w:r w:rsidR="00F001E4">
        <w:t xml:space="preserve">replaces </w:t>
      </w:r>
      <w:r w:rsidR="00F72155">
        <w:t xml:space="preserve">worker </w:t>
      </w:r>
      <w:r w:rsidR="00425989">
        <w:t>tasks and</w:t>
      </w:r>
      <w:r w:rsidR="00BD67DB">
        <w:t>, in some cases, their</w:t>
      </w:r>
      <w:r w:rsidR="00F72155">
        <w:t xml:space="preserve"> </w:t>
      </w:r>
      <w:r w:rsidR="00F001E4">
        <w:t>role</w:t>
      </w:r>
      <w:r w:rsidR="002058BB">
        <w:t>s</w:t>
      </w:r>
      <w:r w:rsidR="00F001E4" w:rsidDel="002058BB">
        <w:t xml:space="preserve"> </w:t>
      </w:r>
      <w:r w:rsidR="00F001E4">
        <w:t>(JSA 2025</w:t>
      </w:r>
      <w:r w:rsidR="001A07D3">
        <w:t>e</w:t>
      </w:r>
      <w:r w:rsidR="00F001E4">
        <w:t xml:space="preserve">). </w:t>
      </w:r>
      <w:r w:rsidR="000E455A">
        <w:t>W</w:t>
      </w:r>
      <w:r w:rsidR="00F001E4">
        <w:t xml:space="preserve">orkers </w:t>
      </w:r>
      <w:r w:rsidR="000E455A">
        <w:t xml:space="preserve">need </w:t>
      </w:r>
      <w:r w:rsidR="00F001E4">
        <w:t xml:space="preserve">the capability to manage these </w:t>
      </w:r>
      <w:r w:rsidR="000E455A">
        <w:t>changes</w:t>
      </w:r>
      <w:r w:rsidR="00B30B9F">
        <w:t>, supported by digital and AI literacy develop</w:t>
      </w:r>
      <w:r w:rsidR="00CE7606">
        <w:t>ed through education, training and workplace experience</w:t>
      </w:r>
      <w:r w:rsidR="00930801">
        <w:t xml:space="preserve"> (JSA 2025</w:t>
      </w:r>
      <w:r w:rsidR="001A07D3">
        <w:t>e</w:t>
      </w:r>
      <w:r w:rsidR="00930801">
        <w:t xml:space="preserve">). </w:t>
      </w:r>
      <w:r w:rsidR="001C6AAA">
        <w:t xml:space="preserve">A more joined-up tertiary system that supports </w:t>
      </w:r>
      <w:r w:rsidR="007D6429">
        <w:t xml:space="preserve">ongoing </w:t>
      </w:r>
      <w:r w:rsidR="006D40EA">
        <w:t xml:space="preserve">upskilling </w:t>
      </w:r>
      <w:r w:rsidR="00EE3FD7">
        <w:t xml:space="preserve">could </w:t>
      </w:r>
      <w:r w:rsidR="006D40EA">
        <w:t>improve digital literacy</w:t>
      </w:r>
      <w:r w:rsidR="005905ED">
        <w:t xml:space="preserve"> and help workers adapt</w:t>
      </w:r>
      <w:r w:rsidR="001F22A9">
        <w:t xml:space="preserve"> to the growth of AI</w:t>
      </w:r>
      <w:r w:rsidR="006D40EA">
        <w:t xml:space="preserve">. Similarly, </w:t>
      </w:r>
      <w:r w:rsidR="00591155">
        <w:t xml:space="preserve">a system </w:t>
      </w:r>
      <w:r w:rsidR="005905ED">
        <w:t xml:space="preserve">that enables </w:t>
      </w:r>
      <w:r w:rsidR="00591155">
        <w:t>re-engage</w:t>
      </w:r>
      <w:r w:rsidR="005905ED">
        <w:t>ment</w:t>
      </w:r>
      <w:r w:rsidR="0005443A">
        <w:t xml:space="preserve"> for</w:t>
      </w:r>
      <w:r w:rsidR="00591155">
        <w:t xml:space="preserve"> upskill</w:t>
      </w:r>
      <w:r w:rsidR="0005443A">
        <w:t>ing</w:t>
      </w:r>
      <w:r w:rsidR="00591155">
        <w:t xml:space="preserve"> or reskill</w:t>
      </w:r>
      <w:r w:rsidR="0005443A">
        <w:t>ing</w:t>
      </w:r>
      <w:r w:rsidR="00591155">
        <w:t xml:space="preserve"> </w:t>
      </w:r>
      <w:r w:rsidR="0005443A">
        <w:t xml:space="preserve">can </w:t>
      </w:r>
      <w:r w:rsidR="00074617">
        <w:t xml:space="preserve">ensure </w:t>
      </w:r>
      <w:r w:rsidR="00F55179">
        <w:t>workers better</w:t>
      </w:r>
      <w:r w:rsidR="00F72155">
        <w:t xml:space="preserve"> understand</w:t>
      </w:r>
      <w:r w:rsidR="005612C0">
        <w:t xml:space="preserve"> </w:t>
      </w:r>
      <w:r w:rsidR="00F55179">
        <w:t>the utility</w:t>
      </w:r>
      <w:r w:rsidR="005612C0" w:rsidDel="00226720">
        <w:t xml:space="preserve"> </w:t>
      </w:r>
      <w:r w:rsidR="00F72155">
        <w:t>of AI</w:t>
      </w:r>
      <w:r w:rsidR="00226720">
        <w:t xml:space="preserve"> and</w:t>
      </w:r>
      <w:r w:rsidR="000607EC">
        <w:t xml:space="preserve"> </w:t>
      </w:r>
      <w:r w:rsidR="00F72155">
        <w:t xml:space="preserve">its </w:t>
      </w:r>
      <w:r w:rsidR="00F55179">
        <w:t>limitations, such</w:t>
      </w:r>
      <w:r w:rsidR="0003764A">
        <w:t xml:space="preserve"> as </w:t>
      </w:r>
      <w:r w:rsidR="00910201">
        <w:t>gendered</w:t>
      </w:r>
      <w:r w:rsidR="006A6C9F">
        <w:t xml:space="preserve"> biases </w:t>
      </w:r>
      <w:r w:rsidR="00910201">
        <w:t>and</w:t>
      </w:r>
      <w:r w:rsidR="006A6C9F">
        <w:t xml:space="preserve"> poor representation </w:t>
      </w:r>
      <w:r w:rsidR="00910201">
        <w:t>of</w:t>
      </w:r>
      <w:r w:rsidR="006A6C9F">
        <w:t xml:space="preserve"> women </w:t>
      </w:r>
      <w:r w:rsidR="00910201">
        <w:t xml:space="preserve">and First Nations peoples </w:t>
      </w:r>
      <w:r w:rsidR="006A6C9F">
        <w:t xml:space="preserve">in </w:t>
      </w:r>
      <w:r w:rsidR="00FE1CB9">
        <w:t xml:space="preserve">AI </w:t>
      </w:r>
      <w:r w:rsidR="00910201">
        <w:t>development (JSA 202</w:t>
      </w:r>
      <w:r w:rsidR="001E1BE8">
        <w:t>5</w:t>
      </w:r>
      <w:r w:rsidR="001A07D3">
        <w:t>e</w:t>
      </w:r>
      <w:r w:rsidR="00910201">
        <w:t xml:space="preserve">). </w:t>
      </w:r>
    </w:p>
    <w:p w14:paraId="0ABD4133" w14:textId="58624586" w:rsidR="00D217ED" w:rsidRPr="008C4640" w:rsidRDefault="00D217ED" w:rsidP="00D217ED">
      <w:pPr>
        <w:pStyle w:val="Heading4"/>
      </w:pPr>
      <w:r w:rsidRPr="008C4640">
        <w:t>Productivity and labour market outcomes</w:t>
      </w:r>
    </w:p>
    <w:p w14:paraId="25DB37D4" w14:textId="7EC4558B" w:rsidR="00DB6DE0" w:rsidRDefault="00D217ED" w:rsidP="00D217ED">
      <w:pPr>
        <w:keepLines/>
      </w:pPr>
      <w:r w:rsidRPr="3A7ED23E">
        <w:rPr>
          <w:color w:val="auto"/>
        </w:rPr>
        <w:t>Productivity growth contribute</w:t>
      </w:r>
      <w:r w:rsidR="00CE2575" w:rsidRPr="3A7ED23E">
        <w:rPr>
          <w:color w:val="auto"/>
        </w:rPr>
        <w:t>s</w:t>
      </w:r>
      <w:r w:rsidRPr="3A7ED23E">
        <w:rPr>
          <w:color w:val="auto"/>
        </w:rPr>
        <w:t xml:space="preserve"> to broader prosperity </w:t>
      </w:r>
      <w:r w:rsidR="00CE2575" w:rsidRPr="3A7ED23E">
        <w:rPr>
          <w:color w:val="auto"/>
        </w:rPr>
        <w:t xml:space="preserve">by </w:t>
      </w:r>
      <w:r w:rsidRPr="3A7ED23E">
        <w:rPr>
          <w:color w:val="auto"/>
        </w:rPr>
        <w:t xml:space="preserve">lifting living standards and wages (PC 2022). </w:t>
      </w:r>
      <w:r w:rsidR="00CE2575">
        <w:t xml:space="preserve">A </w:t>
      </w:r>
      <w:r>
        <w:t xml:space="preserve">key component of productivity growth is labour productivity, as </w:t>
      </w:r>
      <w:r w:rsidR="00CE2575">
        <w:t xml:space="preserve">shown </w:t>
      </w:r>
      <w:r>
        <w:t xml:space="preserve">in figure 10 below, which </w:t>
      </w:r>
      <w:r w:rsidR="002D645A">
        <w:t>illustrates</w:t>
      </w:r>
      <w:r>
        <w:t xml:space="preserve"> the contribution of labour quality </w:t>
      </w:r>
      <w:r w:rsidR="0032794F">
        <w:t xml:space="preserve">over the past </w:t>
      </w:r>
      <w:r>
        <w:t xml:space="preserve">30 years. </w:t>
      </w:r>
      <w:r w:rsidR="00E33740">
        <w:t>Worker</w:t>
      </w:r>
      <w:r>
        <w:t xml:space="preserve"> skills are </w:t>
      </w:r>
      <w:r w:rsidR="00E33740">
        <w:t xml:space="preserve">a </w:t>
      </w:r>
      <w:r w:rsidR="00FB2BCC">
        <w:t xml:space="preserve">major driver of </w:t>
      </w:r>
      <w:r>
        <w:t xml:space="preserve">labour productivity, alongside technological change, management practices, and other inputs such as capital input (RBA 2025). These skills </w:t>
      </w:r>
      <w:r w:rsidR="00372B39">
        <w:t xml:space="preserve">– often referred to </w:t>
      </w:r>
      <w:r>
        <w:t>as human capital</w:t>
      </w:r>
      <w:r w:rsidR="00372B39">
        <w:t xml:space="preserve"> – represent</w:t>
      </w:r>
      <w:r>
        <w:t xml:space="preserve"> the stock of knowledge, skills and personal </w:t>
      </w:r>
      <w:r w:rsidR="00372B39">
        <w:t xml:space="preserve">attributes </w:t>
      </w:r>
      <w:r>
        <w:t xml:space="preserve">that </w:t>
      </w:r>
      <w:r w:rsidR="00C72C03">
        <w:t xml:space="preserve">enhance </w:t>
      </w:r>
      <w:r>
        <w:t>a person’s productive capacity (OECD/APO 2022)</w:t>
      </w:r>
      <w:r w:rsidR="00C72C03">
        <w:t>. Human capital</w:t>
      </w:r>
      <w:r>
        <w:t xml:space="preserve"> can be developed through education attainment</w:t>
      </w:r>
      <w:r w:rsidR="00626AEA">
        <w:t xml:space="preserve"> and</w:t>
      </w:r>
      <w:r>
        <w:t xml:space="preserve"> contributes to labour productivity by improving a person’s </w:t>
      </w:r>
      <w:r w:rsidR="00D5034A">
        <w:t xml:space="preserve">ability to </w:t>
      </w:r>
      <w:r>
        <w:t>us</w:t>
      </w:r>
      <w:r w:rsidR="00D5034A">
        <w:t>e</w:t>
      </w:r>
      <w:r>
        <w:t xml:space="preserve"> technology, adapt to </w:t>
      </w:r>
      <w:r w:rsidR="007A186F">
        <w:t xml:space="preserve">change </w:t>
      </w:r>
      <w:r>
        <w:t>and absorb new technologies (OECD/APO 2022; PC 2022). It also foster</w:t>
      </w:r>
      <w:r w:rsidR="00582899">
        <w:t>s</w:t>
      </w:r>
      <w:r>
        <w:t xml:space="preserve"> greater innovation (PC 2022).  </w:t>
      </w:r>
    </w:p>
    <w:p w14:paraId="672FACC9" w14:textId="71B8BDDC" w:rsidR="00D217ED" w:rsidRDefault="000D6C70" w:rsidP="0008218F">
      <w:pPr>
        <w:keepLines/>
      </w:pPr>
      <w:r>
        <w:t xml:space="preserve"> </w:t>
      </w:r>
    </w:p>
    <w:p w14:paraId="32AA224A" w14:textId="348A0422" w:rsidR="00F6714A" w:rsidRPr="00F6714A" w:rsidRDefault="009071B6" w:rsidP="00F6714A">
      <w:pPr>
        <w:spacing w:line="260" w:lineRule="atLeast"/>
      </w:pPr>
      <w:bookmarkStart w:id="18" w:name="_Toc214882458"/>
      <w:r>
        <w:rPr>
          <w:noProof/>
        </w:rPr>
        <w:drawing>
          <wp:inline distT="0" distB="0" distL="0" distR="0" wp14:anchorId="310E712D" wp14:editId="57B84833">
            <wp:extent cx="5840083" cy="2920344"/>
            <wp:effectExtent l="0" t="0" r="8890" b="0"/>
            <wp:docPr id="1738116410" name="Picture 3" descr="An area graph showing indexed productivity growth from 1994-5 to 2021-22, grouped by the contributions of multifactor productivity, captial depeening and labour quality. Growth in capital deepending is the largest contributor, followed by labour quality and multifactor productiv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116410" name="Picture 3" descr="An area graph showing indexed productivity growth from 1994-5 to 2021-22, grouped by the contributions of multifactor productivity, captial depeening and labour quality. Growth in capital deepending is the largest contributor, followed by labour quality and multifactor productivity.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44409" cy="2922507"/>
                    </a:xfrm>
                    <a:prstGeom prst="rect">
                      <a:avLst/>
                    </a:prstGeom>
                    <a:noFill/>
                  </pic:spPr>
                </pic:pic>
              </a:graphicData>
            </a:graphic>
          </wp:inline>
        </w:drawing>
      </w:r>
    </w:p>
    <w:p w14:paraId="43F23478" w14:textId="67D828CE" w:rsidR="00F6714A" w:rsidRPr="00F6714A" w:rsidRDefault="00F6714A" w:rsidP="004940A9">
      <w:pPr>
        <w:pStyle w:val="Caption"/>
      </w:pPr>
      <w:bookmarkStart w:id="19" w:name="_Toc228799277"/>
      <w:r w:rsidRPr="00F6714A">
        <w:t xml:space="preserve">Figure </w:t>
      </w:r>
      <w:r w:rsidRPr="00F6714A">
        <w:fldChar w:fldCharType="begin"/>
      </w:r>
      <w:r w:rsidRPr="00F6714A">
        <w:instrText xml:space="preserve"> SEQ Figure \* ARABIC </w:instrText>
      </w:r>
      <w:r w:rsidRPr="00F6714A">
        <w:fldChar w:fldCharType="separate"/>
      </w:r>
      <w:r w:rsidR="008645D3">
        <w:rPr>
          <w:noProof/>
        </w:rPr>
        <w:t>3</w:t>
      </w:r>
      <w:r w:rsidRPr="00F6714A">
        <w:fldChar w:fldCharType="end"/>
      </w:r>
      <w:r w:rsidRPr="00F6714A">
        <w:t>: Human capital contribution to productivity growth over 30 years</w:t>
      </w:r>
      <w:bookmarkEnd w:id="19"/>
    </w:p>
    <w:p w14:paraId="62AA9C26" w14:textId="5BF9AAF6" w:rsidR="00641F01" w:rsidRPr="00F6714A" w:rsidRDefault="00F6714A" w:rsidP="00641F01">
      <w:pPr>
        <w:numPr>
          <w:ilvl w:val="0"/>
          <w:numId w:val="4"/>
        </w:numPr>
        <w:spacing w:line="260" w:lineRule="atLeast"/>
      </w:pPr>
      <w:r w:rsidRPr="00F6714A">
        <w:t>Productivity Commission 2022</w:t>
      </w:r>
      <w:r w:rsidR="0074474E">
        <w:t xml:space="preserve">, </w:t>
      </w:r>
      <w:r w:rsidR="0074474E" w:rsidRPr="0074474E">
        <w:rPr>
          <w:i/>
          <w:iCs/>
          <w:lang w:val="en-US"/>
        </w:rPr>
        <w:t>5-Year Productivity Inquiry</w:t>
      </w:r>
      <w:r w:rsidR="0074474E" w:rsidRPr="0074474E">
        <w:rPr>
          <w:lang w:val="en-US"/>
        </w:rPr>
        <w:t>, Inquiry Report Volume 8, ‘From Learning to Growth’, Figure 1.1</w:t>
      </w:r>
    </w:p>
    <w:p w14:paraId="6BC0FACC" w14:textId="77777777" w:rsidR="00641F01" w:rsidRDefault="00641F01" w:rsidP="00641F01">
      <w:pPr>
        <w:pStyle w:val="BodyText"/>
      </w:pPr>
    </w:p>
    <w:p w14:paraId="205C4217" w14:textId="731445A7" w:rsidR="00641F01" w:rsidRPr="000C160A" w:rsidRDefault="00641F01" w:rsidP="00641F01">
      <w:pPr>
        <w:pStyle w:val="BodyText"/>
        <w:rPr>
          <w:sz w:val="20"/>
          <w:szCs w:val="18"/>
        </w:rPr>
      </w:pPr>
      <w:r w:rsidRPr="000C160A">
        <w:rPr>
          <w:sz w:val="20"/>
          <w:szCs w:val="18"/>
        </w:rPr>
        <w:t xml:space="preserve">A more joined-up tertiary system could optimise human capital by supporting learners to study the qualification suited to their preferences, circumstances, and aptitude (JSA 2025d). A better-connected system could contribute to productivity gains by enabling more learners to gain tertiary qualifications and making it easier to return to study for upskilling and reskilling (PC 2022). JSA argues that this can be achieved through making VET and higher education simultaneously accessible to learners to obtain the skills they need more readily, while enabling industry to build the workforce skills it requires (2025d). </w:t>
      </w:r>
    </w:p>
    <w:p w14:paraId="0E6032A4" w14:textId="77777777" w:rsidR="00641F01" w:rsidRPr="000C160A" w:rsidRDefault="00641F01" w:rsidP="00641F01">
      <w:pPr>
        <w:pStyle w:val="BodyText"/>
        <w:rPr>
          <w:sz w:val="20"/>
          <w:szCs w:val="18"/>
        </w:rPr>
      </w:pPr>
      <w:r w:rsidRPr="000C160A">
        <w:rPr>
          <w:sz w:val="20"/>
          <w:szCs w:val="18"/>
        </w:rPr>
        <w:t>A system that is better connected to industry needs and encourages prospective learners to engage in both sectors equally could also support greater skills matching, which contributes to productivity growth by ensuring that the skills of a worker are being fully utilised in the role they are in (Adelet McGowan and Andrews 2017). The opportunities for productivity growth can stagnate where workers are overqualified for their role and are not being sufficiently challenged. If these workers remain immobile, other firms may not be able to fill better matched opportunities which could lead to gains in productivity (Adelet McGowan and Andrews 2017).</w:t>
      </w:r>
    </w:p>
    <w:p w14:paraId="4D8FA11C" w14:textId="52EE4ED0" w:rsidR="00641F01" w:rsidRPr="000C160A" w:rsidRDefault="00641F01" w:rsidP="00641F01">
      <w:pPr>
        <w:pStyle w:val="BodyText"/>
        <w:rPr>
          <w:sz w:val="20"/>
          <w:szCs w:val="18"/>
        </w:rPr>
      </w:pPr>
      <w:r w:rsidRPr="000C160A">
        <w:rPr>
          <w:sz w:val="20"/>
          <w:szCs w:val="18"/>
        </w:rPr>
        <w:t>There is also a link between workforce diversity and productivity. Diverse teams bring in a more comprehensive perspective, a wider range of ideas and support better decision making (OECD/APO 2022). Widening tertiary participation can support workplace diversity, with educational attainment strongly associated with higher employment levels (Tomaszewski et al. 2019; Leigh 2025).</w:t>
      </w:r>
    </w:p>
    <w:p w14:paraId="1B52551C" w14:textId="77777777" w:rsidR="00641F01" w:rsidRDefault="00641F01">
      <w:pPr>
        <w:spacing w:line="260" w:lineRule="atLeast"/>
        <w:rPr>
          <w:rFonts w:ascii="Arial" w:eastAsiaTheme="minorHAnsi" w:hAnsi="Arial" w:cstheme="minorBidi"/>
          <w:color w:val="auto"/>
          <w:sz w:val="22"/>
          <w:lang w:eastAsia="en-US"/>
        </w:rPr>
      </w:pPr>
      <w:r>
        <w:br w:type="page"/>
      </w:r>
    </w:p>
    <w:p w14:paraId="1442C4CD" w14:textId="20771A60" w:rsidR="000074A1" w:rsidRPr="00D217ED" w:rsidRDefault="000074A1" w:rsidP="00F6716F">
      <w:pPr>
        <w:pStyle w:val="Heading1"/>
        <w:numPr>
          <w:ilvl w:val="0"/>
          <w:numId w:val="14"/>
        </w:numPr>
      </w:pPr>
      <w:bookmarkStart w:id="20" w:name="_Toc228798812"/>
      <w:bookmarkStart w:id="21" w:name="_Toc228799193"/>
      <w:bookmarkStart w:id="22" w:name="_Toc229643962"/>
      <w:bookmarkEnd w:id="20"/>
      <w:bookmarkEnd w:id="21"/>
      <w:r w:rsidRPr="00D217ED">
        <w:t>Work underway: building the foundations</w:t>
      </w:r>
      <w:bookmarkEnd w:id="18"/>
      <w:bookmarkEnd w:id="22"/>
    </w:p>
    <w:p w14:paraId="6084AE8F" w14:textId="4D08221D" w:rsidR="000074A1" w:rsidRPr="005E3B5C" w:rsidRDefault="000074A1" w:rsidP="00C00327">
      <w:r w:rsidRPr="005E3B5C">
        <w:t xml:space="preserve">While progress was slow in earlier years, recent </w:t>
      </w:r>
      <w:r w:rsidR="008005B1">
        <w:t>i</w:t>
      </w:r>
      <w:r w:rsidRPr="005E3B5C">
        <w:t xml:space="preserve">nitiatives such as the AQF Review, the Universities Accord, and the National Skills Agreement </w:t>
      </w:r>
      <w:r w:rsidR="004A0871">
        <w:t xml:space="preserve">have </w:t>
      </w:r>
      <w:r w:rsidRPr="005E3B5C">
        <w:t>set a strong foundation for harmonisation.</w:t>
      </w:r>
      <w:r>
        <w:t xml:space="preserve"> Work is underway across Australia by the Commonwealth and state and territory governments, as well as providers and peak bodies, to support a more </w:t>
      </w:r>
      <w:r w:rsidR="005A4B7C">
        <w:t>joined-up</w:t>
      </w:r>
      <w:r>
        <w:t xml:space="preserve"> tertiary system.</w:t>
      </w:r>
    </w:p>
    <w:p w14:paraId="5D2985BB" w14:textId="38001C1A" w:rsidR="000074A1" w:rsidRDefault="001B259C" w:rsidP="00F55179">
      <w:pPr>
        <w:pStyle w:val="Heading2"/>
        <w:numPr>
          <w:ilvl w:val="1"/>
          <w:numId w:val="14"/>
        </w:numPr>
        <w:ind w:left="709"/>
      </w:pPr>
      <w:bookmarkStart w:id="23" w:name="_Toc229643963"/>
      <w:r>
        <w:t>Commonwealth Government initiatives</w:t>
      </w:r>
      <w:bookmarkEnd w:id="23"/>
    </w:p>
    <w:p w14:paraId="15C8AE4D" w14:textId="34505D3A" w:rsidR="001B259C" w:rsidRPr="001B259C" w:rsidRDefault="001B259C" w:rsidP="00C55EC9">
      <w:pPr>
        <w:pStyle w:val="Heading3"/>
      </w:pPr>
      <w:bookmarkStart w:id="24" w:name="_Toc229643964"/>
      <w:r>
        <w:t>Tertiary Harmonisation Measures</w:t>
      </w:r>
      <w:bookmarkEnd w:id="24"/>
    </w:p>
    <w:p w14:paraId="61B74B1B" w14:textId="4BF72592" w:rsidR="00387C60" w:rsidRDefault="000074A1" w:rsidP="000074A1">
      <w:pPr>
        <w:rPr>
          <w:rFonts w:ascii="Arial" w:eastAsia="Aptos" w:hAnsi="Arial"/>
          <w:color w:val="000000"/>
        </w:rPr>
      </w:pPr>
      <w:r w:rsidRPr="009B4538">
        <w:rPr>
          <w:rFonts w:ascii="Arial" w:hAnsi="Arial"/>
          <w:color w:val="000000"/>
        </w:rPr>
        <w:t xml:space="preserve">In response to the Australian Universities Accord, $27.7 million was allocated </w:t>
      </w:r>
      <w:r w:rsidR="003305A8">
        <w:rPr>
          <w:rFonts w:ascii="Arial" w:hAnsi="Arial"/>
          <w:color w:val="000000"/>
        </w:rPr>
        <w:t xml:space="preserve">in </w:t>
      </w:r>
      <w:r w:rsidRPr="009B4538">
        <w:rPr>
          <w:rFonts w:ascii="Arial" w:hAnsi="Arial"/>
          <w:color w:val="000000"/>
        </w:rPr>
        <w:t xml:space="preserve">the 2024-25 Budget to drive harmonisation between the higher education and VET sectors. </w:t>
      </w:r>
      <w:r w:rsidRPr="00D353D1">
        <w:rPr>
          <w:rFonts w:ascii="Arial" w:eastAsia="Aptos" w:hAnsi="Arial"/>
          <w:color w:val="000000"/>
        </w:rPr>
        <w:t>Initiatives include</w:t>
      </w:r>
      <w:r w:rsidR="00387C60">
        <w:rPr>
          <w:rFonts w:ascii="Arial" w:eastAsia="Aptos" w:hAnsi="Arial"/>
          <w:color w:val="000000"/>
        </w:rPr>
        <w:t>:</w:t>
      </w:r>
    </w:p>
    <w:p w14:paraId="08F84173" w14:textId="4C11A134" w:rsidR="00387C60" w:rsidRPr="007F1CF7" w:rsidRDefault="000074A1" w:rsidP="00A40841">
      <w:pPr>
        <w:pStyle w:val="ListParagraph"/>
        <w:numPr>
          <w:ilvl w:val="0"/>
          <w:numId w:val="92"/>
        </w:numPr>
        <w:rPr>
          <w:rFonts w:ascii="Arial" w:hAnsi="Arial"/>
          <w:color w:val="000000"/>
          <w:sz w:val="20"/>
          <w:szCs w:val="20"/>
        </w:rPr>
      </w:pPr>
      <w:r w:rsidRPr="007F1CF7">
        <w:rPr>
          <w:rFonts w:ascii="Arial" w:eastAsia="Aptos" w:hAnsi="Arial"/>
          <w:color w:val="000000"/>
          <w:sz w:val="20"/>
          <w:szCs w:val="20"/>
        </w:rPr>
        <w:t xml:space="preserve">supporting better </w:t>
      </w:r>
      <w:r w:rsidR="004634E2">
        <w:rPr>
          <w:rFonts w:ascii="Arial" w:eastAsia="Aptos" w:hAnsi="Arial"/>
          <w:color w:val="000000"/>
          <w:sz w:val="20"/>
          <w:szCs w:val="20"/>
        </w:rPr>
        <w:t>learner</w:t>
      </w:r>
      <w:r w:rsidR="004634E2" w:rsidRPr="007F1CF7">
        <w:rPr>
          <w:rFonts w:ascii="Arial" w:eastAsia="Aptos" w:hAnsi="Arial"/>
          <w:color w:val="000000"/>
          <w:sz w:val="20"/>
          <w:szCs w:val="20"/>
        </w:rPr>
        <w:t xml:space="preserve"> </w:t>
      </w:r>
      <w:r w:rsidRPr="007F1CF7">
        <w:rPr>
          <w:rFonts w:ascii="Arial" w:eastAsia="Aptos" w:hAnsi="Arial"/>
          <w:color w:val="000000"/>
          <w:sz w:val="20"/>
          <w:szCs w:val="20"/>
        </w:rPr>
        <w:t>pathways between VET and higher education</w:t>
      </w:r>
    </w:p>
    <w:p w14:paraId="2089FC28" w14:textId="77777777" w:rsidR="00387C60" w:rsidRPr="007F1CF7" w:rsidRDefault="000074A1" w:rsidP="00A40841">
      <w:pPr>
        <w:pStyle w:val="ListParagraph"/>
        <w:numPr>
          <w:ilvl w:val="0"/>
          <w:numId w:val="92"/>
        </w:numPr>
        <w:rPr>
          <w:rFonts w:ascii="Arial" w:hAnsi="Arial"/>
          <w:color w:val="000000"/>
          <w:sz w:val="20"/>
          <w:szCs w:val="20"/>
        </w:rPr>
      </w:pPr>
      <w:r w:rsidRPr="007F1CF7">
        <w:rPr>
          <w:rFonts w:ascii="Arial" w:eastAsia="Aptos" w:hAnsi="Arial"/>
          <w:color w:val="000000"/>
          <w:sz w:val="20"/>
          <w:szCs w:val="20"/>
        </w:rPr>
        <w:t>improving regulatory approaches for dual sector providers (including TAFEs)</w:t>
      </w:r>
    </w:p>
    <w:p w14:paraId="2F4578EC" w14:textId="73D6D3FF" w:rsidR="00387C60" w:rsidRDefault="000074A1" w:rsidP="00A40841">
      <w:pPr>
        <w:pStyle w:val="ListParagraph"/>
        <w:numPr>
          <w:ilvl w:val="0"/>
          <w:numId w:val="92"/>
        </w:numPr>
        <w:rPr>
          <w:rFonts w:ascii="Arial" w:hAnsi="Arial"/>
          <w:color w:val="000000"/>
          <w:sz w:val="20"/>
          <w:szCs w:val="20"/>
        </w:rPr>
      </w:pPr>
      <w:r w:rsidRPr="007F1CF7">
        <w:rPr>
          <w:rFonts w:ascii="Arial" w:eastAsia="Aptos" w:hAnsi="Arial"/>
          <w:color w:val="000000"/>
          <w:sz w:val="20"/>
          <w:szCs w:val="20"/>
        </w:rPr>
        <w:t>enhancing tertiary data.</w:t>
      </w:r>
      <w:r w:rsidRPr="007F1CF7">
        <w:rPr>
          <w:rFonts w:ascii="Arial" w:hAnsi="Arial"/>
          <w:color w:val="000000"/>
          <w:sz w:val="20"/>
          <w:szCs w:val="20"/>
        </w:rPr>
        <w:t xml:space="preserve"> </w:t>
      </w:r>
    </w:p>
    <w:p w14:paraId="1CFC3259" w14:textId="410A434F" w:rsidR="000074A1" w:rsidRPr="008F38B1" w:rsidRDefault="000074A1" w:rsidP="00387C60">
      <w:pPr>
        <w:rPr>
          <w:rFonts w:ascii="Arial" w:hAnsi="Arial"/>
          <w:color w:val="000000"/>
        </w:rPr>
      </w:pPr>
      <w:r w:rsidRPr="008F38B1">
        <w:rPr>
          <w:rFonts w:ascii="Arial" w:hAnsi="Arial"/>
          <w:color w:val="000000"/>
        </w:rPr>
        <w:t xml:space="preserve">Implementation is </w:t>
      </w:r>
      <w:r w:rsidR="00671C97">
        <w:rPr>
          <w:rFonts w:ascii="Arial" w:hAnsi="Arial"/>
          <w:color w:val="000000"/>
        </w:rPr>
        <w:t xml:space="preserve">split </w:t>
      </w:r>
      <w:r w:rsidR="00424D40">
        <w:rPr>
          <w:rFonts w:ascii="Arial" w:hAnsi="Arial"/>
          <w:color w:val="000000"/>
        </w:rPr>
        <w:t xml:space="preserve">between </w:t>
      </w:r>
      <w:r w:rsidR="00443987">
        <w:rPr>
          <w:rFonts w:ascii="Arial" w:hAnsi="Arial"/>
          <w:color w:val="000000"/>
        </w:rPr>
        <w:t xml:space="preserve">ATEC, </w:t>
      </w:r>
      <w:r w:rsidRPr="008F38B1">
        <w:rPr>
          <w:rFonts w:ascii="Arial" w:hAnsi="Arial"/>
          <w:color w:val="000000"/>
        </w:rPr>
        <w:t>the Department of Education, the Department of Employment and Workplace Relations (DEWR), TEQSA, ASQA and JSA</w:t>
      </w:r>
      <w:r w:rsidR="004E6CA9" w:rsidRPr="008F38B1">
        <w:rPr>
          <w:rFonts w:ascii="Arial" w:hAnsi="Arial"/>
          <w:color w:val="000000"/>
        </w:rPr>
        <w:t>.</w:t>
      </w:r>
      <w:r w:rsidRPr="008F38B1">
        <w:rPr>
          <w:rFonts w:ascii="Arial" w:hAnsi="Arial"/>
          <w:color w:val="000000"/>
        </w:rPr>
        <w:t xml:space="preserve"> </w:t>
      </w:r>
    </w:p>
    <w:p w14:paraId="12244AE4" w14:textId="60157F41" w:rsidR="000074A1" w:rsidRPr="00D353D1" w:rsidRDefault="000074A1" w:rsidP="000074A1">
      <w:pPr>
        <w:rPr>
          <w:rFonts w:ascii="Arial" w:hAnsi="Arial"/>
          <w:color w:val="000000"/>
        </w:rPr>
      </w:pPr>
      <w:r w:rsidRPr="00D353D1">
        <w:rPr>
          <w:rFonts w:ascii="Arial" w:hAnsi="Arial"/>
          <w:color w:val="000000"/>
        </w:rPr>
        <w:t xml:space="preserve">These measures are </w:t>
      </w:r>
      <w:r w:rsidR="008A33CD">
        <w:rPr>
          <w:rFonts w:ascii="Arial" w:hAnsi="Arial"/>
          <w:color w:val="000000"/>
        </w:rPr>
        <w:t>laying</w:t>
      </w:r>
      <w:r w:rsidRPr="00D353D1">
        <w:rPr>
          <w:rFonts w:ascii="Arial" w:hAnsi="Arial"/>
          <w:color w:val="000000"/>
        </w:rPr>
        <w:t xml:space="preserve"> the foundations for further reform</w:t>
      </w:r>
      <w:r w:rsidR="008A33CD">
        <w:rPr>
          <w:rFonts w:ascii="Arial" w:hAnsi="Arial"/>
          <w:color w:val="000000"/>
        </w:rPr>
        <w:t xml:space="preserve"> by</w:t>
      </w:r>
      <w:r w:rsidRPr="00D353D1">
        <w:rPr>
          <w:rFonts w:ascii="Arial" w:hAnsi="Arial"/>
          <w:color w:val="000000"/>
        </w:rPr>
        <w:t xml:space="preserve"> ensuring regulatory settings and underpinning data are in place to better support learners through a more </w:t>
      </w:r>
      <w:r w:rsidR="005A4B7C">
        <w:rPr>
          <w:rFonts w:ascii="Arial" w:hAnsi="Arial"/>
          <w:color w:val="000000"/>
        </w:rPr>
        <w:t>joined-up</w:t>
      </w:r>
      <w:r w:rsidRPr="00D353D1">
        <w:rPr>
          <w:rFonts w:ascii="Arial" w:hAnsi="Arial"/>
          <w:color w:val="000000"/>
        </w:rPr>
        <w:t xml:space="preserve"> tertiary system. </w:t>
      </w:r>
      <w:r w:rsidR="008A33CD">
        <w:rPr>
          <w:rFonts w:ascii="Arial" w:hAnsi="Arial"/>
          <w:color w:val="000000"/>
        </w:rPr>
        <w:t>S</w:t>
      </w:r>
      <w:r w:rsidRPr="00D353D1">
        <w:rPr>
          <w:rFonts w:ascii="Arial" w:hAnsi="Arial"/>
          <w:color w:val="000000"/>
        </w:rPr>
        <w:t xml:space="preserve">trong foundations will enable further reform to create a connected, smoother and </w:t>
      </w:r>
      <w:r w:rsidR="008A33CD">
        <w:rPr>
          <w:rFonts w:ascii="Arial" w:hAnsi="Arial"/>
          <w:color w:val="000000"/>
        </w:rPr>
        <w:t xml:space="preserve">more </w:t>
      </w:r>
      <w:r w:rsidRPr="00D353D1">
        <w:rPr>
          <w:rFonts w:ascii="Arial" w:hAnsi="Arial"/>
          <w:color w:val="000000"/>
        </w:rPr>
        <w:t xml:space="preserve">effective tertiary system for learners. </w:t>
      </w:r>
    </w:p>
    <w:p w14:paraId="2DA973BA" w14:textId="14FE11E0" w:rsidR="000074A1" w:rsidRPr="009B4538" w:rsidRDefault="000074A1" w:rsidP="000C160A">
      <w:pPr>
        <w:pStyle w:val="Heading4"/>
      </w:pPr>
      <w:r w:rsidRPr="009B4538">
        <w:t xml:space="preserve">Supporting </w:t>
      </w:r>
      <w:r w:rsidR="00EA68D9">
        <w:t>learner</w:t>
      </w:r>
      <w:r w:rsidRPr="009B4538">
        <w:t xml:space="preserve"> pathways</w:t>
      </w:r>
    </w:p>
    <w:p w14:paraId="58C97518" w14:textId="183255B8" w:rsidR="000074A1" w:rsidRPr="008761DF" w:rsidRDefault="000074A1" w:rsidP="00AC7E45">
      <w:pPr>
        <w:keepNext/>
        <w:rPr>
          <w:rFonts w:ascii="Arial" w:hAnsi="Arial"/>
          <w:b/>
          <w:bCs/>
          <w:color w:val="000000"/>
        </w:rPr>
      </w:pPr>
      <w:r w:rsidRPr="008761DF">
        <w:rPr>
          <w:rFonts w:ascii="Arial" w:hAnsi="Arial"/>
          <w:b/>
          <w:bCs/>
          <w:color w:val="000000"/>
        </w:rPr>
        <w:t xml:space="preserve">Updating the </w:t>
      </w:r>
      <w:r w:rsidR="001A6553" w:rsidRPr="008761DF">
        <w:rPr>
          <w:rFonts w:ascii="Arial" w:hAnsi="Arial"/>
          <w:b/>
          <w:bCs/>
          <w:color w:val="000000"/>
        </w:rPr>
        <w:t>AQF</w:t>
      </w:r>
      <w:r w:rsidRPr="008761DF">
        <w:rPr>
          <w:rFonts w:ascii="Arial" w:hAnsi="Arial"/>
          <w:b/>
          <w:bCs/>
          <w:color w:val="000000"/>
        </w:rPr>
        <w:t xml:space="preserve"> Qualifications Pathways Policy</w:t>
      </w:r>
    </w:p>
    <w:p w14:paraId="7448BEB3" w14:textId="559A100F" w:rsidR="00F10541" w:rsidRPr="008761DF" w:rsidRDefault="000074A1" w:rsidP="000074A1">
      <w:pPr>
        <w:rPr>
          <w:rFonts w:ascii="Arial" w:hAnsi="Arial"/>
          <w:color w:val="000000"/>
        </w:rPr>
      </w:pPr>
      <w:r w:rsidRPr="008761DF">
        <w:rPr>
          <w:rFonts w:ascii="Arial" w:hAnsi="Arial"/>
          <w:color w:val="000000"/>
        </w:rPr>
        <w:t>The</w:t>
      </w:r>
      <w:r w:rsidRPr="008761DF">
        <w:rPr>
          <w:rFonts w:ascii="Arial" w:eastAsia="MS Mincho" w:hAnsi="Arial"/>
          <w:color w:val="000000"/>
        </w:rPr>
        <w:t xml:space="preserve"> Australian Government stated its intention to bring forward an updated </w:t>
      </w:r>
      <w:r w:rsidRPr="008761DF">
        <w:rPr>
          <w:rFonts w:ascii="Arial" w:hAnsi="Arial"/>
          <w:color w:val="000000"/>
        </w:rPr>
        <w:t>AQF</w:t>
      </w:r>
      <w:r w:rsidRPr="008761DF">
        <w:rPr>
          <w:rFonts w:ascii="Arial" w:eastAsia="MS Mincho" w:hAnsi="Arial"/>
          <w:color w:val="000000"/>
        </w:rPr>
        <w:t xml:space="preserve"> Pathways Policy for consideration by Commonwealth, state and territory Education and Skills Ministers.</w:t>
      </w:r>
      <w:r w:rsidRPr="008761DF">
        <w:rPr>
          <w:rFonts w:ascii="Arial" w:hAnsi="Arial"/>
          <w:color w:val="000000"/>
        </w:rPr>
        <w:t xml:space="preserve"> </w:t>
      </w:r>
      <w:r w:rsidR="00CB40E3" w:rsidRPr="008761DF">
        <w:rPr>
          <w:rFonts w:ascii="Arial" w:hAnsi="Arial"/>
          <w:color w:val="000000"/>
        </w:rPr>
        <w:t>The</w:t>
      </w:r>
      <w:r w:rsidR="00362D29" w:rsidRPr="008761DF">
        <w:rPr>
          <w:rFonts w:ascii="Arial" w:hAnsi="Arial"/>
          <w:color w:val="000000"/>
        </w:rPr>
        <w:t xml:space="preserve"> update seeks to address recommendations 9, 11 and 13 of the AQF Review, which </w:t>
      </w:r>
      <w:r w:rsidR="00F10541" w:rsidRPr="008761DF">
        <w:rPr>
          <w:rFonts w:ascii="Arial" w:hAnsi="Arial"/>
          <w:color w:val="000000"/>
        </w:rPr>
        <w:t>includes:</w:t>
      </w:r>
    </w:p>
    <w:p w14:paraId="3D4FD931" w14:textId="77777777" w:rsidR="000C6559" w:rsidRPr="00F6716F" w:rsidRDefault="000C6559" w:rsidP="00FF16C8">
      <w:pPr>
        <w:pStyle w:val="ListParagraph"/>
        <w:numPr>
          <w:ilvl w:val="0"/>
          <w:numId w:val="78"/>
        </w:numPr>
        <w:rPr>
          <w:sz w:val="20"/>
          <w:szCs w:val="20"/>
        </w:rPr>
      </w:pPr>
      <w:r w:rsidRPr="00F6716F">
        <w:rPr>
          <w:sz w:val="20"/>
          <w:szCs w:val="20"/>
          <w:lang w:val="en-GB"/>
        </w:rPr>
        <w:t>Recommendation 9 – Develop guidelines in the AQF Qualifications Pathways Policy to facilitate the recognition of shorter form credentials, including microcredentials, for credit.</w:t>
      </w:r>
    </w:p>
    <w:p w14:paraId="3B4C0CB6" w14:textId="77777777" w:rsidR="000C6559" w:rsidRPr="00F6716F" w:rsidRDefault="000C6559" w:rsidP="00FF16C8">
      <w:pPr>
        <w:pStyle w:val="ListParagraph"/>
        <w:numPr>
          <w:ilvl w:val="0"/>
          <w:numId w:val="78"/>
        </w:numPr>
        <w:rPr>
          <w:sz w:val="20"/>
          <w:szCs w:val="20"/>
        </w:rPr>
      </w:pPr>
      <w:r w:rsidRPr="00F6716F">
        <w:rPr>
          <w:sz w:val="20"/>
          <w:szCs w:val="20"/>
          <w:lang w:val="en-GB"/>
        </w:rPr>
        <w:t>Recommendation 11 – Revise and rename the AQF Qualifications Pathways Policy to better recognise and encourage broader credit recognition, both within and between sectors.</w:t>
      </w:r>
    </w:p>
    <w:p w14:paraId="6FF55D38" w14:textId="7EAE89EB" w:rsidR="00F10541" w:rsidRPr="00F6716F" w:rsidRDefault="000C6559" w:rsidP="00FF16C8">
      <w:pPr>
        <w:pStyle w:val="ListParagraph"/>
        <w:numPr>
          <w:ilvl w:val="0"/>
          <w:numId w:val="78"/>
        </w:numPr>
        <w:rPr>
          <w:sz w:val="20"/>
          <w:szCs w:val="20"/>
        </w:rPr>
      </w:pPr>
      <w:r w:rsidRPr="00F6716F">
        <w:rPr>
          <w:sz w:val="20"/>
          <w:szCs w:val="20"/>
          <w:lang w:val="en-GB"/>
        </w:rPr>
        <w:t>Recommendation 13 – Provide more detailed guidance on recognition of prior learning in the AQF Pathways Policy.</w:t>
      </w:r>
    </w:p>
    <w:p w14:paraId="1FA66ED4" w14:textId="7200688F" w:rsidR="000074A1" w:rsidRPr="008761DF" w:rsidRDefault="000074A1" w:rsidP="000074A1">
      <w:pPr>
        <w:rPr>
          <w:rFonts w:ascii="Arial" w:hAnsi="Arial"/>
        </w:rPr>
      </w:pPr>
      <w:r w:rsidRPr="008761DF">
        <w:rPr>
          <w:rFonts w:ascii="Arial" w:hAnsi="Arial"/>
        </w:rPr>
        <w:t>An updated A</w:t>
      </w:r>
      <w:r w:rsidR="00CB40E3" w:rsidRPr="008761DF">
        <w:rPr>
          <w:rFonts w:ascii="Arial" w:hAnsi="Arial"/>
        </w:rPr>
        <w:t>QF</w:t>
      </w:r>
      <w:r w:rsidRPr="008761DF">
        <w:rPr>
          <w:rFonts w:ascii="Arial" w:hAnsi="Arial"/>
        </w:rPr>
        <w:t xml:space="preserve"> Pathways Policy will emphasise multidirectional pathways and provide improved guidance on credit transfer and recognition of prior learning to facilitate better </w:t>
      </w:r>
      <w:r w:rsidR="00EA68D9">
        <w:rPr>
          <w:rFonts w:ascii="Arial" w:hAnsi="Arial"/>
        </w:rPr>
        <w:t>learner</w:t>
      </w:r>
      <w:r w:rsidR="00EA68D9" w:rsidRPr="008761DF">
        <w:rPr>
          <w:rFonts w:ascii="Arial" w:hAnsi="Arial"/>
        </w:rPr>
        <w:t xml:space="preserve"> </w:t>
      </w:r>
      <w:r w:rsidRPr="008761DF">
        <w:rPr>
          <w:rFonts w:ascii="Arial" w:hAnsi="Arial"/>
        </w:rPr>
        <w:t xml:space="preserve">pathways across the tertiary education system. </w:t>
      </w:r>
      <w:r w:rsidR="000C6559" w:rsidRPr="008761DF">
        <w:rPr>
          <w:rFonts w:ascii="Arial" w:hAnsi="Arial"/>
        </w:rPr>
        <w:t>This includes:</w:t>
      </w:r>
    </w:p>
    <w:p w14:paraId="66B380DA" w14:textId="14B819E8" w:rsidR="00A96E07" w:rsidRPr="00734F97" w:rsidRDefault="00A96E07" w:rsidP="00FF16C8">
      <w:pPr>
        <w:pStyle w:val="ListParagraph"/>
        <w:numPr>
          <w:ilvl w:val="0"/>
          <w:numId w:val="79"/>
        </w:numPr>
        <w:rPr>
          <w:sz w:val="20"/>
          <w:szCs w:val="20"/>
        </w:rPr>
      </w:pPr>
      <w:r w:rsidRPr="00734F97">
        <w:rPr>
          <w:sz w:val="20"/>
          <w:szCs w:val="20"/>
        </w:rPr>
        <w:t xml:space="preserve">clarifying the requirements and responsibilities surrounding credit for providers, including emphasising the </w:t>
      </w:r>
      <w:r w:rsidR="002434CC">
        <w:rPr>
          <w:sz w:val="20"/>
          <w:szCs w:val="20"/>
        </w:rPr>
        <w:t>learner’s</w:t>
      </w:r>
      <w:r w:rsidRPr="00734F97">
        <w:rPr>
          <w:sz w:val="20"/>
          <w:szCs w:val="20"/>
        </w:rPr>
        <w:t xml:space="preserve"> right to credit provided it does not undermine the integrity of the qualification</w:t>
      </w:r>
    </w:p>
    <w:p w14:paraId="0F630A22" w14:textId="77777777" w:rsidR="00A96E07" w:rsidRPr="00734F97" w:rsidRDefault="00A96E07" w:rsidP="00FF16C8">
      <w:pPr>
        <w:pStyle w:val="ListParagraph"/>
        <w:numPr>
          <w:ilvl w:val="0"/>
          <w:numId w:val="79"/>
        </w:numPr>
        <w:rPr>
          <w:sz w:val="20"/>
          <w:szCs w:val="20"/>
        </w:rPr>
      </w:pPr>
      <w:r w:rsidRPr="00734F97">
        <w:rPr>
          <w:sz w:val="20"/>
          <w:szCs w:val="20"/>
        </w:rPr>
        <w:t>specifying guidance on RPL, as the main method of cross-sector and professional credit recognition, and emphasising the core principles of fairness and consistency</w:t>
      </w:r>
    </w:p>
    <w:p w14:paraId="65887325" w14:textId="75C698BE" w:rsidR="00A96E07" w:rsidRPr="00734F97" w:rsidRDefault="00A96E07" w:rsidP="00FF16C8">
      <w:pPr>
        <w:pStyle w:val="ListParagraph"/>
        <w:numPr>
          <w:ilvl w:val="0"/>
          <w:numId w:val="79"/>
        </w:numPr>
        <w:rPr>
          <w:sz w:val="20"/>
          <w:szCs w:val="20"/>
        </w:rPr>
      </w:pPr>
      <w:r w:rsidRPr="00734F97">
        <w:rPr>
          <w:sz w:val="20"/>
          <w:szCs w:val="20"/>
        </w:rPr>
        <w:t xml:space="preserve">highlighting the multi-directional and non-hierarchical pathways available to </w:t>
      </w:r>
      <w:r w:rsidR="002434CC">
        <w:rPr>
          <w:sz w:val="20"/>
          <w:szCs w:val="20"/>
        </w:rPr>
        <w:t>learners</w:t>
      </w:r>
      <w:r w:rsidRPr="00734F97">
        <w:rPr>
          <w:sz w:val="20"/>
          <w:szCs w:val="20"/>
        </w:rPr>
        <w:t xml:space="preserve"> between the VET and higher education sectors</w:t>
      </w:r>
    </w:p>
    <w:p w14:paraId="3EB64681" w14:textId="0CAD8863" w:rsidR="00A96E07" w:rsidRPr="00734F97" w:rsidRDefault="00A96E07" w:rsidP="00FF16C8">
      <w:pPr>
        <w:pStyle w:val="ListParagraph"/>
        <w:numPr>
          <w:ilvl w:val="0"/>
          <w:numId w:val="79"/>
        </w:numPr>
        <w:rPr>
          <w:sz w:val="20"/>
          <w:szCs w:val="20"/>
        </w:rPr>
      </w:pPr>
      <w:r w:rsidRPr="00734F97">
        <w:rPr>
          <w:sz w:val="20"/>
          <w:szCs w:val="20"/>
        </w:rPr>
        <w:t>inserting guidance on giving credit for microcredentials towards AQF qualifications,</w:t>
      </w:r>
    </w:p>
    <w:p w14:paraId="15D867D6" w14:textId="6A4CDA85" w:rsidR="00A96E07" w:rsidRPr="00734F97" w:rsidRDefault="00A96E07" w:rsidP="00FF16C8">
      <w:pPr>
        <w:pStyle w:val="ListParagraph"/>
        <w:numPr>
          <w:ilvl w:val="0"/>
          <w:numId w:val="79"/>
        </w:numPr>
        <w:rPr>
          <w:sz w:val="20"/>
          <w:szCs w:val="20"/>
        </w:rPr>
      </w:pPr>
      <w:r w:rsidRPr="00734F97">
        <w:rPr>
          <w:sz w:val="20"/>
          <w:szCs w:val="20"/>
        </w:rPr>
        <w:t>updating the Policy to include new qualification types: the Vocational Degree and the Undergraduate Certificate.</w:t>
      </w:r>
    </w:p>
    <w:p w14:paraId="4EF67708" w14:textId="6A328A7F" w:rsidR="000074A1" w:rsidRPr="008761DF" w:rsidRDefault="000074A1" w:rsidP="000074A1">
      <w:pPr>
        <w:rPr>
          <w:rFonts w:ascii="Arial" w:hAnsi="Arial"/>
          <w:color w:val="000000"/>
        </w:rPr>
      </w:pPr>
      <w:r w:rsidRPr="008761DF">
        <w:rPr>
          <w:rFonts w:ascii="Arial" w:eastAsia="MS Mincho" w:hAnsi="Arial"/>
          <w:color w:val="000000"/>
        </w:rPr>
        <w:t>It is intended that the Pathways Policy and Guidance will be brought forward for consideration by Education and Skills Ministers in 2026.</w:t>
      </w:r>
    </w:p>
    <w:p w14:paraId="60415AB3" w14:textId="77777777" w:rsidR="000074A1" w:rsidRPr="009B4538" w:rsidRDefault="000074A1" w:rsidP="000C160A">
      <w:pPr>
        <w:pStyle w:val="Heading4"/>
      </w:pPr>
      <w:r w:rsidRPr="008761DF">
        <w:t>Reducing red tape for providers</w:t>
      </w:r>
    </w:p>
    <w:p w14:paraId="46417B57" w14:textId="77777777" w:rsidR="000074A1" w:rsidRPr="009B4538" w:rsidRDefault="000074A1" w:rsidP="000074A1">
      <w:pPr>
        <w:rPr>
          <w:rFonts w:ascii="Arial" w:hAnsi="Arial"/>
          <w:b/>
          <w:bCs/>
          <w:color w:val="000000"/>
        </w:rPr>
      </w:pPr>
      <w:r w:rsidRPr="009B4538">
        <w:rPr>
          <w:rFonts w:ascii="Arial" w:hAnsi="Arial"/>
          <w:b/>
          <w:bCs/>
          <w:color w:val="000000"/>
        </w:rPr>
        <w:t xml:space="preserve">Dual Sector regulatory strategy </w:t>
      </w:r>
    </w:p>
    <w:p w14:paraId="59258B2D" w14:textId="77777777" w:rsidR="000074A1" w:rsidRPr="009B4538" w:rsidRDefault="000074A1" w:rsidP="000074A1">
      <w:pPr>
        <w:rPr>
          <w:rFonts w:ascii="Arial" w:hAnsi="Arial"/>
          <w:color w:val="000000"/>
        </w:rPr>
      </w:pPr>
      <w:r w:rsidRPr="009B4538">
        <w:rPr>
          <w:rFonts w:ascii="Arial" w:hAnsi="Arial"/>
          <w:color w:val="000000"/>
        </w:rPr>
        <w:t>ASQA and TEQSA’s Dual Sector Regulatory Strategy, published in September 2025, identifies opportunities to streamline regulation and reduce administrative burden while maintaining quality assurance</w:t>
      </w:r>
      <w:r>
        <w:rPr>
          <w:rFonts w:ascii="Arial" w:hAnsi="Arial"/>
          <w:color w:val="000000"/>
        </w:rPr>
        <w:t xml:space="preserve"> (ASQA and TEQSA 2025).</w:t>
      </w:r>
      <w:r w:rsidRPr="009B4538">
        <w:rPr>
          <w:rFonts w:ascii="Arial" w:hAnsi="Arial"/>
          <w:color w:val="000000"/>
        </w:rPr>
        <w:t xml:space="preserve"> Three key opportunities under the Strategy have been identified as able to be implemented within the next three years:</w:t>
      </w:r>
    </w:p>
    <w:p w14:paraId="10591DA2" w14:textId="77777777" w:rsidR="000074A1" w:rsidRPr="00734F97" w:rsidRDefault="000074A1" w:rsidP="00FF16C8">
      <w:pPr>
        <w:pStyle w:val="ListParagraph"/>
        <w:numPr>
          <w:ilvl w:val="0"/>
          <w:numId w:val="80"/>
        </w:numPr>
        <w:rPr>
          <w:sz w:val="20"/>
          <w:szCs w:val="20"/>
        </w:rPr>
      </w:pPr>
      <w:r w:rsidRPr="00734F97">
        <w:rPr>
          <w:b/>
          <w:bCs/>
          <w:sz w:val="20"/>
          <w:szCs w:val="20"/>
        </w:rPr>
        <w:t xml:space="preserve">Opportunity 1: </w:t>
      </w:r>
      <w:r w:rsidRPr="00734F97">
        <w:rPr>
          <w:sz w:val="20"/>
          <w:szCs w:val="20"/>
        </w:rPr>
        <w:t>better facilitate information sharing and collaboration in key areas</w:t>
      </w:r>
    </w:p>
    <w:p w14:paraId="45D292FD" w14:textId="77777777" w:rsidR="000074A1" w:rsidRPr="00734F97" w:rsidRDefault="000074A1" w:rsidP="00FF16C8">
      <w:pPr>
        <w:pStyle w:val="ListParagraph"/>
        <w:numPr>
          <w:ilvl w:val="0"/>
          <w:numId w:val="80"/>
        </w:numPr>
        <w:rPr>
          <w:sz w:val="20"/>
          <w:szCs w:val="20"/>
        </w:rPr>
      </w:pPr>
      <w:r w:rsidRPr="00734F97">
        <w:rPr>
          <w:b/>
          <w:sz w:val="20"/>
          <w:szCs w:val="20"/>
        </w:rPr>
        <w:t>Opportunity 2:</w:t>
      </w:r>
      <w:r w:rsidRPr="00734F97">
        <w:rPr>
          <w:sz w:val="20"/>
          <w:szCs w:val="20"/>
        </w:rPr>
        <w:t xml:space="preserve"> where practical, optimise the alignment of evidence requirements for similar assessments while maintaining regulatory effectiveness</w:t>
      </w:r>
    </w:p>
    <w:p w14:paraId="57662D2D" w14:textId="77777777" w:rsidR="005E005C" w:rsidRPr="00734F97" w:rsidRDefault="000074A1" w:rsidP="00FF16C8">
      <w:pPr>
        <w:pStyle w:val="ListParagraph"/>
        <w:numPr>
          <w:ilvl w:val="0"/>
          <w:numId w:val="80"/>
        </w:numPr>
        <w:rPr>
          <w:sz w:val="20"/>
          <w:szCs w:val="20"/>
        </w:rPr>
      </w:pPr>
      <w:r w:rsidRPr="00734F97">
        <w:rPr>
          <w:b/>
          <w:sz w:val="20"/>
          <w:szCs w:val="20"/>
        </w:rPr>
        <w:t>Opportunity 3:</w:t>
      </w:r>
      <w:r w:rsidRPr="00734F97">
        <w:rPr>
          <w:sz w:val="20"/>
          <w:szCs w:val="20"/>
        </w:rPr>
        <w:t xml:space="preserve"> support dual sector providers to mature corporate and academic governance.</w:t>
      </w:r>
    </w:p>
    <w:p w14:paraId="3A5DC429" w14:textId="7DFE1813" w:rsidR="000074A1" w:rsidRPr="009B4538" w:rsidRDefault="005E005C" w:rsidP="00F6716F">
      <w:pPr>
        <w:rPr>
          <w:rFonts w:ascii="Arial" w:hAnsi="Arial"/>
          <w:color w:val="000000"/>
        </w:rPr>
      </w:pPr>
      <w:r w:rsidRPr="005E005C">
        <w:rPr>
          <w:rFonts w:ascii="Arial" w:hAnsi="Arial"/>
          <w:color w:val="000000"/>
        </w:rPr>
        <w:t>Implementation of the strategy is now underway</w:t>
      </w:r>
      <w:r>
        <w:rPr>
          <w:rFonts w:ascii="Arial" w:hAnsi="Arial"/>
          <w:color w:val="000000"/>
        </w:rPr>
        <w:t xml:space="preserve">. </w:t>
      </w:r>
      <w:r w:rsidRPr="005E005C">
        <w:rPr>
          <w:rFonts w:ascii="Arial" w:hAnsi="Arial"/>
          <w:color w:val="000000"/>
        </w:rPr>
        <w:t>TEQSA and ASQA will commence by reviewing current methods of information sharing and collaboration and establishing cross-agency working groups in key priority areas.</w:t>
      </w:r>
      <w:r w:rsidR="00336165" w:rsidRPr="005E005C">
        <w:rPr>
          <w:rFonts w:ascii="Arial" w:hAnsi="Arial"/>
          <w:color w:val="000000"/>
        </w:rPr>
        <w:br/>
      </w:r>
    </w:p>
    <w:p w14:paraId="3A3B20FA" w14:textId="77777777" w:rsidR="000074A1" w:rsidRPr="009B4538" w:rsidRDefault="000074A1" w:rsidP="000074A1">
      <w:pPr>
        <w:rPr>
          <w:rFonts w:ascii="Arial" w:hAnsi="Arial"/>
          <w:b/>
          <w:bCs/>
          <w:color w:val="000000"/>
        </w:rPr>
      </w:pPr>
      <w:r w:rsidRPr="009B4538">
        <w:rPr>
          <w:rFonts w:ascii="Arial" w:hAnsi="Arial"/>
          <w:b/>
          <w:bCs/>
          <w:color w:val="000000"/>
        </w:rPr>
        <w:t>Course accreditation delegation in VET and self-accrediting authority in higher education</w:t>
      </w:r>
    </w:p>
    <w:p w14:paraId="096CE69F" w14:textId="77777777" w:rsidR="000074A1" w:rsidRPr="009B4538" w:rsidRDefault="000074A1" w:rsidP="000074A1">
      <w:pPr>
        <w:rPr>
          <w:rFonts w:ascii="Arial" w:hAnsi="Arial"/>
          <w:color w:val="000000"/>
        </w:rPr>
      </w:pPr>
      <w:r w:rsidRPr="009B4538">
        <w:rPr>
          <w:rFonts w:ascii="Arial" w:hAnsi="Arial"/>
          <w:color w:val="000000"/>
        </w:rPr>
        <w:t>ASQA</w:t>
      </w:r>
      <w:r>
        <w:rPr>
          <w:rFonts w:ascii="Arial" w:hAnsi="Arial"/>
          <w:color w:val="000000"/>
        </w:rPr>
        <w:t xml:space="preserve"> recently</w:t>
      </w:r>
      <w:r w:rsidRPr="009B4538">
        <w:rPr>
          <w:rFonts w:ascii="Arial" w:hAnsi="Arial"/>
          <w:color w:val="000000"/>
        </w:rPr>
        <w:t xml:space="preserve"> completed a pilot of the delegation of its course accreditation function to identified TAFEs to create, approve and deliver accredited VET courses to market more quickly and respond to emerging needs. Three </w:t>
      </w:r>
      <w:r>
        <w:rPr>
          <w:rFonts w:ascii="Arial" w:hAnsi="Arial"/>
          <w:color w:val="000000"/>
        </w:rPr>
        <w:t xml:space="preserve">TAFEs </w:t>
      </w:r>
      <w:r w:rsidRPr="009B4538">
        <w:rPr>
          <w:rFonts w:ascii="Arial" w:hAnsi="Arial"/>
          <w:color w:val="000000"/>
        </w:rPr>
        <w:t>were selected to participate and successfully developed and accredited a VET course under the pilot, which concluded in June 2025. These included:</w:t>
      </w:r>
    </w:p>
    <w:p w14:paraId="31D82666" w14:textId="77777777" w:rsidR="000074A1" w:rsidRPr="00F6716F" w:rsidRDefault="000074A1" w:rsidP="00FF16C8">
      <w:pPr>
        <w:pStyle w:val="ListParagraph"/>
        <w:numPr>
          <w:ilvl w:val="0"/>
          <w:numId w:val="81"/>
        </w:numPr>
        <w:rPr>
          <w:sz w:val="20"/>
          <w:szCs w:val="20"/>
        </w:rPr>
      </w:pPr>
      <w:r w:rsidRPr="00F6716F">
        <w:rPr>
          <w:sz w:val="20"/>
          <w:szCs w:val="20"/>
        </w:rPr>
        <w:t>Diploma of Renewable, Sustainable and Circular Manufacturing Management (TAFE NSW)</w:t>
      </w:r>
    </w:p>
    <w:p w14:paraId="4C45D937" w14:textId="77777777" w:rsidR="000074A1" w:rsidRPr="00F6716F" w:rsidRDefault="000074A1" w:rsidP="00FF16C8">
      <w:pPr>
        <w:pStyle w:val="ListParagraph"/>
        <w:numPr>
          <w:ilvl w:val="0"/>
          <w:numId w:val="81"/>
        </w:numPr>
        <w:rPr>
          <w:sz w:val="20"/>
          <w:szCs w:val="20"/>
        </w:rPr>
      </w:pPr>
      <w:r w:rsidRPr="00F6716F">
        <w:rPr>
          <w:sz w:val="20"/>
          <w:szCs w:val="20"/>
        </w:rPr>
        <w:t>Advanced Diploma of Digital Innovation (Bendigo Kangan)</w:t>
      </w:r>
    </w:p>
    <w:p w14:paraId="2EAAFBBB" w14:textId="77777777" w:rsidR="000074A1" w:rsidRPr="00F6716F" w:rsidRDefault="000074A1" w:rsidP="00FF16C8">
      <w:pPr>
        <w:pStyle w:val="ListParagraph"/>
        <w:numPr>
          <w:ilvl w:val="0"/>
          <w:numId w:val="81"/>
        </w:numPr>
        <w:rPr>
          <w:sz w:val="20"/>
          <w:szCs w:val="20"/>
        </w:rPr>
      </w:pPr>
      <w:r w:rsidRPr="00F6716F">
        <w:rPr>
          <w:sz w:val="20"/>
          <w:szCs w:val="20"/>
        </w:rPr>
        <w:t>Diploma of Renewable Energy Management (CQU)</w:t>
      </w:r>
    </w:p>
    <w:p w14:paraId="70880C39" w14:textId="77777777" w:rsidR="000074A1" w:rsidRPr="009B4538" w:rsidRDefault="000074A1" w:rsidP="000074A1">
      <w:pPr>
        <w:rPr>
          <w:rFonts w:ascii="Arial" w:hAnsi="Arial"/>
          <w:color w:val="000000"/>
        </w:rPr>
      </w:pPr>
      <w:r w:rsidRPr="009B4538">
        <w:rPr>
          <w:rFonts w:ascii="Arial" w:hAnsi="Arial"/>
          <w:color w:val="000000"/>
        </w:rPr>
        <w:t>ASQA is currently reviewing its future approach to delegating the course accreditation function, with careful consideration being given to sector readiness, resource implications, and mechanisms to uphold the integrity and quality of accredited courses.  </w:t>
      </w:r>
    </w:p>
    <w:p w14:paraId="2E49D800" w14:textId="7A4F822F" w:rsidR="000074A1" w:rsidRPr="009B4538" w:rsidRDefault="000074A1" w:rsidP="000074A1">
      <w:pPr>
        <w:rPr>
          <w:rFonts w:ascii="Arial" w:hAnsi="Arial"/>
          <w:color w:val="000000"/>
        </w:rPr>
      </w:pPr>
      <w:r w:rsidRPr="009B4538">
        <w:rPr>
          <w:rFonts w:ascii="Arial" w:hAnsi="Arial"/>
          <w:color w:val="000000"/>
        </w:rPr>
        <w:t xml:space="preserve">TEQSA has also been supporting TAFEs in their applications to gain self-accrediting authority in higher education, with </w:t>
      </w:r>
      <w:r w:rsidR="00443987">
        <w:rPr>
          <w:rFonts w:ascii="Arial" w:hAnsi="Arial"/>
          <w:color w:val="000000"/>
        </w:rPr>
        <w:t>four</w:t>
      </w:r>
      <w:r w:rsidR="00443987" w:rsidRPr="009B4538">
        <w:rPr>
          <w:rFonts w:ascii="Arial" w:hAnsi="Arial"/>
          <w:color w:val="000000"/>
        </w:rPr>
        <w:t xml:space="preserve"> </w:t>
      </w:r>
      <w:r w:rsidRPr="009B4538">
        <w:rPr>
          <w:rFonts w:ascii="Arial" w:hAnsi="Arial"/>
          <w:color w:val="000000"/>
        </w:rPr>
        <w:t xml:space="preserve">TAFEs having gained limited self-accrediting authority </w:t>
      </w:r>
      <w:r w:rsidR="00322EEC">
        <w:rPr>
          <w:rFonts w:ascii="Arial" w:hAnsi="Arial"/>
          <w:color w:val="000000"/>
        </w:rPr>
        <w:t>since 2024.</w:t>
      </w:r>
      <w:r w:rsidRPr="009B4538">
        <w:rPr>
          <w:rFonts w:ascii="Arial" w:hAnsi="Arial"/>
          <w:color w:val="000000"/>
        </w:rPr>
        <w:t xml:space="preserve"> </w:t>
      </w:r>
      <w:r w:rsidR="00FC4020">
        <w:rPr>
          <w:rFonts w:ascii="Arial" w:hAnsi="Arial"/>
          <w:color w:val="000000"/>
        </w:rPr>
        <w:t xml:space="preserve">This includes TAFE Queensland, TAFE NSW, </w:t>
      </w:r>
      <w:r w:rsidR="00486410">
        <w:rPr>
          <w:rFonts w:ascii="Arial" w:hAnsi="Arial"/>
          <w:color w:val="000000"/>
        </w:rPr>
        <w:t>William A</w:t>
      </w:r>
      <w:r w:rsidR="00266938">
        <w:rPr>
          <w:rFonts w:ascii="Arial" w:hAnsi="Arial"/>
          <w:color w:val="000000"/>
        </w:rPr>
        <w:t>n</w:t>
      </w:r>
      <w:r w:rsidR="00486410">
        <w:rPr>
          <w:rFonts w:ascii="Arial" w:hAnsi="Arial"/>
          <w:color w:val="000000"/>
        </w:rPr>
        <w:t xml:space="preserve">gliss Institute of TAFE and </w:t>
      </w:r>
      <w:r w:rsidR="00322EEC">
        <w:rPr>
          <w:rFonts w:ascii="Arial" w:hAnsi="Arial"/>
          <w:color w:val="000000"/>
        </w:rPr>
        <w:t xml:space="preserve">Holmesglen Institute. </w:t>
      </w:r>
      <w:r w:rsidR="00336165" w:rsidRPr="00D353D1">
        <w:rPr>
          <w:rFonts w:ascii="Arial" w:hAnsi="Arial"/>
          <w:color w:val="000000"/>
        </w:rPr>
        <w:br/>
      </w:r>
    </w:p>
    <w:p w14:paraId="61F0440D" w14:textId="4ACCAE77" w:rsidR="000074A1" w:rsidRPr="009B4538" w:rsidRDefault="000074A1" w:rsidP="000074A1">
      <w:pPr>
        <w:rPr>
          <w:rFonts w:ascii="Arial" w:hAnsi="Arial"/>
          <w:b/>
          <w:bCs/>
          <w:color w:val="000000"/>
        </w:rPr>
      </w:pPr>
      <w:r w:rsidRPr="009B4538">
        <w:rPr>
          <w:rFonts w:ascii="Arial" w:hAnsi="Arial"/>
          <w:b/>
          <w:bCs/>
          <w:color w:val="000000"/>
        </w:rPr>
        <w:t>Tertiary sandbox scoping study</w:t>
      </w:r>
    </w:p>
    <w:p w14:paraId="0095BFB4" w14:textId="77777777" w:rsidR="00AE26F1" w:rsidRPr="00AE26F1" w:rsidRDefault="00F74BF6" w:rsidP="00AE26F1">
      <w:pPr>
        <w:rPr>
          <w:rFonts w:ascii="Arial" w:hAnsi="Arial"/>
        </w:rPr>
      </w:pPr>
      <w:r w:rsidRPr="088FAFE2">
        <w:rPr>
          <w:rFonts w:ascii="Arial" w:hAnsi="Arial"/>
        </w:rPr>
        <w:t>DEWR</w:t>
      </w:r>
      <w:r w:rsidR="000074A1" w:rsidRPr="088FAFE2">
        <w:rPr>
          <w:rFonts w:ascii="Arial" w:hAnsi="Arial"/>
        </w:rPr>
        <w:t xml:space="preserve">, in consultation with the Department of Education, has been leading a Tertiary Sandbox Scoping Study. </w:t>
      </w:r>
      <w:r w:rsidR="00AE26F1" w:rsidRPr="00AE26F1">
        <w:rPr>
          <w:rFonts w:ascii="Arial" w:hAnsi="Arial"/>
        </w:rPr>
        <w:t>The study seeks to establish an evidence base on the barriers and challenges providers face in designing and delivering innovative tertiary qualifications that span VET and higher education. The Study also looks to lay out the benefits and viability of creating a Tertiary Sandbox within the current policy environment and provide insights for further consideration by the Australian Government and ATEC.</w:t>
      </w:r>
    </w:p>
    <w:p w14:paraId="292A277E" w14:textId="77777777" w:rsidR="000074A1" w:rsidRPr="009B4538" w:rsidRDefault="000074A1" w:rsidP="000C160A">
      <w:pPr>
        <w:pStyle w:val="Heading4"/>
      </w:pPr>
      <w:r w:rsidRPr="009B4538">
        <w:t>Building better tertiary data</w:t>
      </w:r>
    </w:p>
    <w:p w14:paraId="5139D454" w14:textId="77777777" w:rsidR="000074A1" w:rsidRPr="009B4538" w:rsidRDefault="000074A1" w:rsidP="00AC7E45">
      <w:pPr>
        <w:keepNext/>
        <w:rPr>
          <w:rFonts w:ascii="Arial" w:hAnsi="Arial"/>
          <w:b/>
          <w:bCs/>
          <w:color w:val="000000"/>
        </w:rPr>
      </w:pPr>
      <w:r w:rsidRPr="009B4538">
        <w:rPr>
          <w:rFonts w:ascii="Arial" w:hAnsi="Arial"/>
          <w:b/>
          <w:bCs/>
          <w:color w:val="000000"/>
        </w:rPr>
        <w:t>A national skills taxonomy</w:t>
      </w:r>
    </w:p>
    <w:p w14:paraId="32938643" w14:textId="09FC1D15" w:rsidR="000074A1" w:rsidRDefault="000074A1" w:rsidP="000074A1">
      <w:pPr>
        <w:rPr>
          <w:rFonts w:ascii="Arial" w:hAnsi="Arial"/>
          <w:color w:val="000000"/>
        </w:rPr>
      </w:pPr>
      <w:r w:rsidRPr="009B4538">
        <w:rPr>
          <w:rFonts w:ascii="Arial" w:hAnsi="Arial"/>
          <w:color w:val="000000"/>
        </w:rPr>
        <w:t>JSA is leading the development of a National Skills Taxonomy</w:t>
      </w:r>
      <w:r w:rsidRPr="00D353D1">
        <w:rPr>
          <w:rFonts w:ascii="Arial" w:hAnsi="Arial"/>
          <w:color w:val="000000"/>
        </w:rPr>
        <w:t>,</w:t>
      </w:r>
      <w:r w:rsidRPr="009B4538">
        <w:rPr>
          <w:rFonts w:ascii="Arial" w:hAnsi="Arial"/>
          <w:color w:val="000000"/>
        </w:rPr>
        <w:t xml:space="preserve"> a new, evidence-based framework that provides a common language for describing the skills Australians gain, develop, and use across education and employment.</w:t>
      </w:r>
    </w:p>
    <w:p w14:paraId="609299D2" w14:textId="41A22C5C" w:rsidR="000074A1" w:rsidRPr="00B944BE" w:rsidRDefault="000074A1" w:rsidP="000074A1">
      <w:pPr>
        <w:rPr>
          <w:rFonts w:ascii="Arial" w:hAnsi="Arial"/>
          <w:color w:val="000000"/>
        </w:rPr>
      </w:pPr>
      <w:r w:rsidRPr="088FAFE2">
        <w:rPr>
          <w:rFonts w:ascii="Arial" w:hAnsi="Arial"/>
        </w:rPr>
        <w:t>In October 2025, JSA released a</w:t>
      </w:r>
      <w:r w:rsidRPr="088FAFE2" w:rsidDel="00AB658C">
        <w:rPr>
          <w:rFonts w:ascii="Arial" w:hAnsi="Arial"/>
        </w:rPr>
        <w:t xml:space="preserve"> </w:t>
      </w:r>
      <w:r w:rsidR="00AB658C" w:rsidRPr="088FAFE2">
        <w:rPr>
          <w:rFonts w:ascii="Arial" w:hAnsi="Arial"/>
          <w:i/>
        </w:rPr>
        <w:t>National Skills Taxonomy</w:t>
      </w:r>
      <w:r w:rsidRPr="088FAFE2">
        <w:rPr>
          <w:rFonts w:ascii="Arial" w:hAnsi="Arial"/>
          <w:i/>
        </w:rPr>
        <w:t xml:space="preserve"> Update: Building a System that puts People and Skills First. </w:t>
      </w:r>
      <w:r w:rsidRPr="088FAFE2">
        <w:rPr>
          <w:rFonts w:ascii="Arial" w:hAnsi="Arial"/>
        </w:rPr>
        <w:t xml:space="preserve">The update describes the long-discussed need to reform Australia’s complex and disjointed tertiary system, which is ‘characterised by overlapping qualifications, inconsistent recognition processes, and varied interpretations of skills across sectors. This creates ‘barriers to mobility, hinder efficient skill utilisation, and complicate decision-making for learners, employers and policymakers’ (JSA </w:t>
      </w:r>
      <w:r w:rsidR="00CC099F" w:rsidRPr="088FAFE2">
        <w:rPr>
          <w:rFonts w:ascii="Arial" w:hAnsi="Arial"/>
        </w:rPr>
        <w:t>2025</w:t>
      </w:r>
      <w:r w:rsidR="00F079AC">
        <w:rPr>
          <w:rFonts w:ascii="Arial" w:hAnsi="Arial"/>
        </w:rPr>
        <w:t>c</w:t>
      </w:r>
      <w:r w:rsidRPr="088FAFE2">
        <w:rPr>
          <w:rFonts w:ascii="Arial" w:hAnsi="Arial"/>
        </w:rPr>
        <w:t>).</w:t>
      </w:r>
    </w:p>
    <w:p w14:paraId="435BAF95" w14:textId="3B0A83B8" w:rsidR="00F80F0A" w:rsidRPr="00F80F0A" w:rsidRDefault="00F80F0A" w:rsidP="00F80F0A">
      <w:pPr>
        <w:rPr>
          <w:rFonts w:ascii="Arial" w:hAnsi="Arial"/>
          <w:color w:val="000000"/>
        </w:rPr>
      </w:pPr>
      <w:r w:rsidRPr="088FAFE2">
        <w:rPr>
          <w:rFonts w:ascii="Arial" w:hAnsi="Arial"/>
        </w:rPr>
        <w:t>The paper also discusses the value of a skills-first system. This is a conceptual and structural shift from qualifications and job titles to a ‘</w:t>
      </w:r>
      <w:r w:rsidRPr="088FAFE2">
        <w:rPr>
          <w:rFonts w:ascii="Arial" w:hAnsi="Arial"/>
          <w:lang w:val="en-GB"/>
        </w:rPr>
        <w:t xml:space="preserve">skills-first culture, policies and mindset’ that enable employers and industries to </w:t>
      </w:r>
      <w:r w:rsidR="00815AA3">
        <w:rPr>
          <w:rFonts w:ascii="Arial" w:hAnsi="Arial"/>
          <w:lang w:val="en-GB"/>
        </w:rPr>
        <w:t>better identify individuals with</w:t>
      </w:r>
      <w:r w:rsidR="0022735F">
        <w:rPr>
          <w:rFonts w:ascii="Arial" w:hAnsi="Arial"/>
          <w:lang w:val="en-GB"/>
        </w:rPr>
        <w:t xml:space="preserve"> </w:t>
      </w:r>
      <w:r w:rsidRPr="088FAFE2">
        <w:rPr>
          <w:rFonts w:ascii="Arial" w:hAnsi="Arial"/>
          <w:lang w:val="en-GB"/>
        </w:rPr>
        <w:t>skills that have been gained via multiple pathways (including workplaces and non-accredited training</w:t>
      </w:r>
      <w:r w:rsidRPr="00F80F0A">
        <w:rPr>
          <w:rFonts w:ascii="Arial" w:hAnsi="Arial"/>
          <w:lang w:val="en-GB"/>
        </w:rPr>
        <w:t>)</w:t>
      </w:r>
      <w:r w:rsidR="007F1230">
        <w:rPr>
          <w:rFonts w:ascii="Arial" w:hAnsi="Arial"/>
          <w:lang w:val="en-GB"/>
        </w:rPr>
        <w:t xml:space="preserve"> (JSA 2025</w:t>
      </w:r>
      <w:r w:rsidR="00BF62C7">
        <w:rPr>
          <w:rFonts w:ascii="Arial" w:hAnsi="Arial"/>
          <w:lang w:val="en-GB"/>
        </w:rPr>
        <w:t>c</w:t>
      </w:r>
      <w:r w:rsidR="007F1230">
        <w:rPr>
          <w:rFonts w:ascii="Arial" w:hAnsi="Arial"/>
          <w:lang w:val="en-GB"/>
        </w:rPr>
        <w:t>)</w:t>
      </w:r>
      <w:r w:rsidRPr="00F80F0A">
        <w:rPr>
          <w:rFonts w:ascii="Arial" w:hAnsi="Arial"/>
          <w:lang w:val="en-GB"/>
        </w:rPr>
        <w:t>.</w:t>
      </w:r>
      <w:r w:rsidRPr="088FAFE2">
        <w:rPr>
          <w:rFonts w:ascii="Arial" w:hAnsi="Arial"/>
          <w:lang w:val="en-GB"/>
        </w:rPr>
        <w:t xml:space="preserve"> This has the potential to boost productivity by enabling better skills-matching in the labour market.</w:t>
      </w:r>
    </w:p>
    <w:p w14:paraId="7B3CD2BC" w14:textId="0169F924" w:rsidR="00F80F0A" w:rsidRPr="00B944BE" w:rsidRDefault="009F3E1E" w:rsidP="000074A1">
      <w:pPr>
        <w:rPr>
          <w:rFonts w:ascii="Arial" w:hAnsi="Arial"/>
          <w:color w:val="000000"/>
        </w:rPr>
      </w:pPr>
      <w:r w:rsidRPr="088FAFE2">
        <w:rPr>
          <w:rFonts w:ascii="Arial" w:hAnsi="Arial"/>
        </w:rPr>
        <w:t xml:space="preserve">The National Skills Taxonomy will </w:t>
      </w:r>
      <w:r w:rsidR="001A1A3D">
        <w:rPr>
          <w:rFonts w:ascii="Arial" w:hAnsi="Arial"/>
        </w:rPr>
        <w:t>support</w:t>
      </w:r>
      <w:r w:rsidRPr="009F3E1E">
        <w:rPr>
          <w:rFonts w:ascii="Arial" w:hAnsi="Arial"/>
        </w:rPr>
        <w:t xml:space="preserve"> </w:t>
      </w:r>
      <w:r w:rsidRPr="088FAFE2">
        <w:rPr>
          <w:rFonts w:ascii="Arial" w:hAnsi="Arial"/>
        </w:rPr>
        <w:t xml:space="preserve">tertiary harmonisation </w:t>
      </w:r>
      <w:r w:rsidR="001A1A3D">
        <w:rPr>
          <w:rFonts w:ascii="Arial" w:hAnsi="Arial"/>
        </w:rPr>
        <w:t>by</w:t>
      </w:r>
      <w:r w:rsidRPr="009F3E1E">
        <w:rPr>
          <w:rFonts w:ascii="Arial" w:hAnsi="Arial"/>
        </w:rPr>
        <w:t xml:space="preserve"> establish</w:t>
      </w:r>
      <w:r w:rsidR="001A1A3D">
        <w:rPr>
          <w:rFonts w:ascii="Arial" w:hAnsi="Arial"/>
        </w:rPr>
        <w:t>ing</w:t>
      </w:r>
      <w:r w:rsidRPr="088FAFE2">
        <w:rPr>
          <w:rFonts w:ascii="Arial" w:hAnsi="Arial"/>
        </w:rPr>
        <w:t xml:space="preserve"> a common language for skills, underpinning credit transfer, and provide the infrastructure for identifying complementary coursework across the tertiary system. It </w:t>
      </w:r>
      <w:r w:rsidR="001D3B2F">
        <w:rPr>
          <w:rFonts w:ascii="Arial" w:hAnsi="Arial"/>
        </w:rPr>
        <w:t>could</w:t>
      </w:r>
      <w:r w:rsidRPr="088FAFE2">
        <w:rPr>
          <w:rFonts w:ascii="Arial" w:hAnsi="Arial"/>
        </w:rPr>
        <w:t xml:space="preserve"> also support the development of national standards for RPL, enabling wider recognition of skills gained in informal and non-formal settings.</w:t>
      </w:r>
      <w:r w:rsidR="00704ECA">
        <w:rPr>
          <w:rFonts w:ascii="Arial" w:hAnsi="Arial"/>
          <w:color w:val="000000"/>
        </w:rPr>
        <w:t xml:space="preserve"> </w:t>
      </w:r>
      <w:r w:rsidRPr="088FAFE2">
        <w:rPr>
          <w:rFonts w:ascii="Arial" w:hAnsi="Arial"/>
        </w:rPr>
        <w:t>The next step will be to pilot skills language in specific sectors and/or regions.</w:t>
      </w:r>
    </w:p>
    <w:p w14:paraId="63A29F68" w14:textId="77777777" w:rsidR="00996C45" w:rsidRDefault="00996C45" w:rsidP="00996C45">
      <w:pPr>
        <w:rPr>
          <w:rFonts w:ascii="Arial" w:hAnsi="Arial"/>
          <w:b/>
        </w:rPr>
      </w:pPr>
      <w:r w:rsidRPr="00996C45">
        <w:rPr>
          <w:rFonts w:ascii="Arial" w:hAnsi="Arial"/>
          <w:b/>
          <w:bCs/>
        </w:rPr>
        <w:t>Improving cross sector tertiary data</w:t>
      </w:r>
    </w:p>
    <w:p w14:paraId="3A8ED65E" w14:textId="70184729" w:rsidR="00996C45" w:rsidRDefault="00996C45" w:rsidP="00996C45">
      <w:pPr>
        <w:rPr>
          <w:rFonts w:ascii="Arial" w:hAnsi="Arial"/>
          <w:bCs/>
        </w:rPr>
      </w:pPr>
      <w:r w:rsidRPr="00F6716F">
        <w:rPr>
          <w:rFonts w:ascii="Arial" w:hAnsi="Arial"/>
          <w:bCs/>
        </w:rPr>
        <w:t>J</w:t>
      </w:r>
      <w:r>
        <w:rPr>
          <w:rFonts w:ascii="Arial" w:hAnsi="Arial"/>
          <w:bCs/>
        </w:rPr>
        <w:t xml:space="preserve">SA </w:t>
      </w:r>
      <w:r w:rsidRPr="00F6716F">
        <w:rPr>
          <w:rFonts w:ascii="Arial" w:hAnsi="Arial"/>
          <w:bCs/>
        </w:rPr>
        <w:t xml:space="preserve">and the Department of Education are working to align core VET and higher education datasets. This will help to better understand </w:t>
      </w:r>
      <w:r w:rsidR="002434CC">
        <w:rPr>
          <w:rFonts w:ascii="Arial" w:hAnsi="Arial"/>
          <w:bCs/>
        </w:rPr>
        <w:t>learner</w:t>
      </w:r>
      <w:r w:rsidRPr="00F6716F">
        <w:rPr>
          <w:rFonts w:ascii="Arial" w:hAnsi="Arial"/>
          <w:bCs/>
        </w:rPr>
        <w:t xml:space="preserve"> pathways between the sectors and inform future measures to continue to address the invisible barriers between VET and higher education. This alignment is expected to support making it easier for learners to choose, move between </w:t>
      </w:r>
      <w:r w:rsidR="002D69E7">
        <w:rPr>
          <w:rFonts w:ascii="Arial" w:hAnsi="Arial"/>
          <w:bCs/>
        </w:rPr>
        <w:t>VET and higher education</w:t>
      </w:r>
      <w:r w:rsidRPr="00F6716F">
        <w:rPr>
          <w:rFonts w:ascii="Arial" w:hAnsi="Arial"/>
          <w:bCs/>
        </w:rPr>
        <w:t>, and complete qualifications matched to skills needs.</w:t>
      </w:r>
    </w:p>
    <w:p w14:paraId="0715D56F" w14:textId="21EB03A0" w:rsidR="001C0697" w:rsidRDefault="00C045D2" w:rsidP="00C55EC9">
      <w:pPr>
        <w:pStyle w:val="Heading3"/>
      </w:pPr>
      <w:bookmarkStart w:id="25" w:name="_Toc229643965"/>
      <w:r>
        <w:t>N</w:t>
      </w:r>
      <w:r w:rsidR="001C0697">
        <w:t xml:space="preserve">ational </w:t>
      </w:r>
      <w:r w:rsidR="001B259C">
        <w:t>Credit Recognition Framework</w:t>
      </w:r>
      <w:bookmarkEnd w:id="25"/>
    </w:p>
    <w:p w14:paraId="2287B697" w14:textId="4400225A" w:rsidR="001B259C" w:rsidRDefault="005C66F7" w:rsidP="001B259C">
      <w:r>
        <w:t>In</w:t>
      </w:r>
      <w:r w:rsidR="00746750" w:rsidRPr="00746750">
        <w:t xml:space="preserve"> March 2026, </w:t>
      </w:r>
      <w:r>
        <w:t>the Australian Government</w:t>
      </w:r>
      <w:r w:rsidR="00746750" w:rsidRPr="00746750">
        <w:t xml:space="preserve"> announced that the ATEC will be developing a National Credit Recognition Framework. </w:t>
      </w:r>
      <w:r w:rsidR="00E21469">
        <w:t xml:space="preserve">The </w:t>
      </w:r>
      <w:r w:rsidR="00480E1E">
        <w:t>Framework</w:t>
      </w:r>
      <w:r w:rsidR="00197105">
        <w:t xml:space="preserve"> </w:t>
      </w:r>
      <w:r>
        <w:t>aims to</w:t>
      </w:r>
      <w:r w:rsidR="00197105">
        <w:t xml:space="preserve"> improve the consistency of credit transfer arrangements</w:t>
      </w:r>
      <w:r w:rsidR="00B33602">
        <w:t>, reduce unnecessary repetition, and save students time and money</w:t>
      </w:r>
      <w:r w:rsidR="00480E1E">
        <w:t>.</w:t>
      </w:r>
      <w:r>
        <w:t xml:space="preserve"> </w:t>
      </w:r>
      <w:r w:rsidR="00480E1E">
        <w:t xml:space="preserve">The Framework will be developed in </w:t>
      </w:r>
      <w:r w:rsidR="00480E1E" w:rsidRPr="00480E1E">
        <w:t>consultation with the Department of Education, the Department of Employment and Workplace Relations and Jobs and Skills Australia and in close collaboration with state and territory governments. </w:t>
      </w:r>
    </w:p>
    <w:p w14:paraId="3EF01343" w14:textId="19D41111" w:rsidR="006658BA" w:rsidRPr="001B259C" w:rsidRDefault="00641BF3" w:rsidP="001B259C">
      <w:r>
        <w:t xml:space="preserve">The Framework will initially focus on credit universities provide to learners with VET qualifications, prioritising areas of national skills priority. It </w:t>
      </w:r>
      <w:r w:rsidR="006658BA" w:rsidRPr="006658BA">
        <w:t>will build on the work some TAFEs and universities are already doing to reduce the length of a degree for students who have a VET qualification in the same field of education, such as nursing and teaching. </w:t>
      </w:r>
      <w:r w:rsidR="006658BA">
        <w:t>U</w:t>
      </w:r>
      <w:r w:rsidR="006658BA" w:rsidRPr="006658BA">
        <w:t>niversities that adopt the Framework, and optimise credit, offering clear pathways from VET to higher education could receive additional Commonwealth supported places in future allocation processes. </w:t>
      </w:r>
    </w:p>
    <w:p w14:paraId="2F8FFB42" w14:textId="1D6BF560" w:rsidR="000074A1" w:rsidRPr="009B4538" w:rsidRDefault="000074A1" w:rsidP="00F55179">
      <w:pPr>
        <w:pStyle w:val="Heading2"/>
        <w:numPr>
          <w:ilvl w:val="1"/>
          <w:numId w:val="14"/>
        </w:numPr>
        <w:ind w:left="709"/>
      </w:pPr>
      <w:bookmarkStart w:id="26" w:name="_Toc214882460"/>
      <w:bookmarkStart w:id="27" w:name="_Toc229643966"/>
      <w:r>
        <w:t>State and Territory Government</w:t>
      </w:r>
      <w:r w:rsidR="001B259C">
        <w:t xml:space="preserve"> Initiatives</w:t>
      </w:r>
      <w:bookmarkEnd w:id="26"/>
      <w:bookmarkEnd w:id="27"/>
    </w:p>
    <w:p w14:paraId="488A812A" w14:textId="6E6EE4EE" w:rsidR="00DB06CA" w:rsidRPr="006027A5" w:rsidRDefault="00DB06CA" w:rsidP="000074A1">
      <w:pPr>
        <w:rPr>
          <w:rFonts w:ascii="Arial" w:hAnsi="Arial"/>
          <w:color w:val="000000"/>
        </w:rPr>
      </w:pPr>
      <w:r w:rsidRPr="3A7ED23E">
        <w:rPr>
          <w:rFonts w:ascii="Arial" w:hAnsi="Arial"/>
        </w:rPr>
        <w:t>The Australian Government and states and territories share responsibility for the VET system and operate a model of shared stewardship. The Australian Government provides funding to states and</w:t>
      </w:r>
      <w:r w:rsidRPr="3A7ED23E" w:rsidDel="00DB06CA">
        <w:rPr>
          <w:rFonts w:ascii="Arial" w:hAnsi="Arial"/>
        </w:rPr>
        <w:t xml:space="preserve"> </w:t>
      </w:r>
      <w:r w:rsidRPr="3A7ED23E">
        <w:rPr>
          <w:rFonts w:ascii="Arial" w:hAnsi="Arial"/>
        </w:rPr>
        <w:t>territories to manage their training systems and invest in a range of its own programs and support for the VET sector. These include employer incentives for Australian Apprenticeships, the VET Student Loans program, industry engagement and foundation skills. States and territories are responsible for the delivery of VET within their jurisdictions, including decisions relating to the funding of </w:t>
      </w:r>
      <w:r w:rsidR="00D0563D" w:rsidRPr="3A7ED23E">
        <w:rPr>
          <w:rFonts w:ascii="Arial" w:hAnsi="Arial"/>
        </w:rPr>
        <w:t xml:space="preserve">learner </w:t>
      </w:r>
      <w:r w:rsidRPr="3A7ED23E">
        <w:rPr>
          <w:rFonts w:ascii="Arial" w:hAnsi="Arial"/>
        </w:rPr>
        <w:t>subsidies and training providers, such as TAFEs.  </w:t>
      </w:r>
    </w:p>
    <w:p w14:paraId="4D035464" w14:textId="77777777" w:rsidR="00B628E9" w:rsidRDefault="000074A1" w:rsidP="000074A1">
      <w:pPr>
        <w:rPr>
          <w:rFonts w:ascii="Arial" w:eastAsia="Arial" w:hAnsi="Arial"/>
          <w:color w:val="000000"/>
        </w:rPr>
      </w:pPr>
      <w:r w:rsidRPr="009B4538">
        <w:rPr>
          <w:rFonts w:ascii="Arial" w:hAnsi="Arial"/>
          <w:color w:val="000000"/>
        </w:rPr>
        <w:t xml:space="preserve">Tertiary harmonisation is increasingly reflected in skills policy frameworks across Australian states and territories. </w:t>
      </w:r>
      <w:r w:rsidRPr="009B4538">
        <w:rPr>
          <w:rFonts w:ascii="Arial" w:eastAsia="Arial" w:hAnsi="Arial"/>
          <w:color w:val="000000"/>
        </w:rPr>
        <w:t>Most jurisdictions have recent skills plans or strategic frameworks highlighting the connection between VET and higher education to address workforce and economic requirements, with a shared focus on aligning training with growth in priority sectors.</w:t>
      </w:r>
      <w:r w:rsidR="00E80D65">
        <w:rPr>
          <w:rFonts w:ascii="Arial" w:eastAsia="Arial" w:hAnsi="Arial"/>
          <w:color w:val="000000"/>
        </w:rPr>
        <w:t xml:space="preserve"> </w:t>
      </w:r>
    </w:p>
    <w:p w14:paraId="7319EF04" w14:textId="4E7D11D2" w:rsidR="00E96960" w:rsidRDefault="00C932FE" w:rsidP="000074A1">
      <w:pPr>
        <w:rPr>
          <w:rFonts w:ascii="Arial" w:eastAsia="Arial" w:hAnsi="Arial"/>
          <w:color w:val="000000"/>
        </w:rPr>
      </w:pPr>
      <w:r>
        <w:rPr>
          <w:rFonts w:ascii="Arial" w:eastAsia="Arial" w:hAnsi="Arial"/>
          <w:color w:val="000000"/>
        </w:rPr>
        <w:t xml:space="preserve">For instance, the </w:t>
      </w:r>
      <w:r w:rsidR="001C302F">
        <w:rPr>
          <w:rFonts w:ascii="Arial" w:eastAsia="Arial" w:hAnsi="Arial"/>
          <w:color w:val="000000"/>
        </w:rPr>
        <w:t>New South Wales Government Higher Education Strategy and Skills Plan include initiatives to better connect the VET and higher education sectors, such as establishing consistent credit transfer arrangements in key occupations, leading development of integrated t</w:t>
      </w:r>
      <w:r w:rsidR="001C302F" w:rsidRPr="00F22D7C">
        <w:rPr>
          <w:rFonts w:ascii="Arial" w:eastAsia="Arial" w:hAnsi="Arial"/>
          <w:color w:val="000000"/>
        </w:rPr>
        <w:t>ertiary sector models, and supporting TAFE self-accreditation, among others (NSW Department of Education</w:t>
      </w:r>
      <w:r w:rsidR="008733B0" w:rsidRPr="00F22D7C">
        <w:rPr>
          <w:rFonts w:ascii="Arial" w:eastAsia="Arial" w:hAnsi="Arial"/>
          <w:color w:val="000000"/>
        </w:rPr>
        <w:t xml:space="preserve"> 2024, 2025)</w:t>
      </w:r>
      <w:r w:rsidR="00C74804" w:rsidRPr="00F22D7C">
        <w:rPr>
          <w:rFonts w:ascii="Arial" w:eastAsia="Arial" w:hAnsi="Arial"/>
          <w:color w:val="000000"/>
        </w:rPr>
        <w:t>.</w:t>
      </w:r>
      <w:r w:rsidR="00A02BB0" w:rsidRPr="00F22D7C">
        <w:rPr>
          <w:rFonts w:ascii="Arial" w:eastAsia="Arial" w:hAnsi="Arial"/>
          <w:color w:val="000000"/>
        </w:rPr>
        <w:t xml:space="preserve"> This builds on work to develop the Institute of Applied Technology, </w:t>
      </w:r>
      <w:r w:rsidR="003C0958" w:rsidRPr="00F22D7C">
        <w:rPr>
          <w:rFonts w:ascii="Arial" w:eastAsia="Arial" w:hAnsi="Arial"/>
          <w:color w:val="000000"/>
        </w:rPr>
        <w:t>a program by the NSW Governmen</w:t>
      </w:r>
      <w:r w:rsidR="00B37E9D" w:rsidRPr="00F22D7C">
        <w:rPr>
          <w:rFonts w:ascii="Arial" w:eastAsia="Arial" w:hAnsi="Arial"/>
          <w:color w:val="000000"/>
        </w:rPr>
        <w:t xml:space="preserve">t involving </w:t>
      </w:r>
      <w:r w:rsidR="003C0958" w:rsidRPr="00F22D7C">
        <w:rPr>
          <w:rFonts w:ascii="Arial" w:eastAsia="Arial" w:hAnsi="Arial"/>
          <w:color w:val="000000"/>
        </w:rPr>
        <w:t>TAFE NSW, University of Technology Sydney, Macquarie University, Microsoft, Western Sydney University and CPB Contractors collaborating to design and deliver microcredentials</w:t>
      </w:r>
      <w:r w:rsidR="00B37E9D" w:rsidRPr="00F22D7C">
        <w:rPr>
          <w:rFonts w:ascii="Arial" w:eastAsia="Arial" w:hAnsi="Arial"/>
          <w:color w:val="000000"/>
        </w:rPr>
        <w:t xml:space="preserve"> (</w:t>
      </w:r>
      <w:r w:rsidR="00F22D7C" w:rsidRPr="00E225EB">
        <w:rPr>
          <w:rFonts w:ascii="Arial" w:eastAsia="Arial" w:hAnsi="Arial"/>
          <w:color w:val="000000"/>
        </w:rPr>
        <w:t>Institute of Applied Technology 2025)</w:t>
      </w:r>
      <w:r w:rsidR="00FB55D6" w:rsidRPr="00F22D7C">
        <w:rPr>
          <w:rFonts w:ascii="Arial" w:eastAsia="Arial" w:hAnsi="Arial"/>
          <w:color w:val="000000"/>
        </w:rPr>
        <w:t xml:space="preserve">. </w:t>
      </w:r>
      <w:r w:rsidR="0064648D" w:rsidRPr="00F22D7C">
        <w:rPr>
          <w:rFonts w:ascii="Arial" w:eastAsia="Arial" w:hAnsi="Arial"/>
          <w:color w:val="000000"/>
        </w:rPr>
        <w:t>S</w:t>
      </w:r>
      <w:r w:rsidR="0064648D">
        <w:rPr>
          <w:rFonts w:ascii="Arial" w:eastAsia="Arial" w:hAnsi="Arial"/>
          <w:color w:val="000000"/>
        </w:rPr>
        <w:t>imilar</w:t>
      </w:r>
      <w:r w:rsidR="00DC2590">
        <w:rPr>
          <w:rFonts w:ascii="Arial" w:eastAsia="Arial" w:hAnsi="Arial"/>
          <w:color w:val="000000"/>
        </w:rPr>
        <w:t xml:space="preserve"> work is </w:t>
      </w:r>
      <w:r>
        <w:rPr>
          <w:rFonts w:ascii="Arial" w:eastAsia="Arial" w:hAnsi="Arial"/>
          <w:color w:val="000000"/>
        </w:rPr>
        <w:t xml:space="preserve">also </w:t>
      </w:r>
      <w:r w:rsidR="00DC2590">
        <w:rPr>
          <w:rFonts w:ascii="Arial" w:eastAsia="Arial" w:hAnsi="Arial"/>
          <w:color w:val="000000"/>
        </w:rPr>
        <w:t xml:space="preserve">underway in Victoria to support </w:t>
      </w:r>
      <w:r w:rsidR="00D87A16">
        <w:rPr>
          <w:rFonts w:ascii="Arial" w:eastAsia="Arial" w:hAnsi="Arial"/>
          <w:color w:val="000000"/>
        </w:rPr>
        <w:t>seamless pathways between VET and higher education</w:t>
      </w:r>
      <w:r w:rsidR="0088181E">
        <w:rPr>
          <w:rFonts w:ascii="Arial" w:eastAsia="Arial" w:hAnsi="Arial"/>
          <w:color w:val="000000"/>
        </w:rPr>
        <w:t xml:space="preserve"> (Victorian Skills Authority 2026). </w:t>
      </w:r>
      <w:r w:rsidR="00B628E9">
        <w:rPr>
          <w:rFonts w:ascii="Arial" w:eastAsia="Arial" w:hAnsi="Arial"/>
          <w:color w:val="000000"/>
        </w:rPr>
        <w:t xml:space="preserve">The South Australian Government has been working to </w:t>
      </w:r>
      <w:r w:rsidR="00043268">
        <w:rPr>
          <w:rFonts w:ascii="Arial" w:eastAsia="Arial" w:hAnsi="Arial"/>
          <w:color w:val="000000"/>
        </w:rPr>
        <w:t xml:space="preserve">expand apprenticeship and traineeships to higher education degree apprenticeships, opening up formal recognition to beyond the VET sector (South Australian Skills Commission 2025). </w:t>
      </w:r>
    </w:p>
    <w:p w14:paraId="38CC5402" w14:textId="2F51742D" w:rsidR="005171B9" w:rsidRPr="00D353D1" w:rsidRDefault="00C932FE">
      <w:pPr>
        <w:rPr>
          <w:color w:val="FF0000"/>
          <w:highlight w:val="yellow"/>
        </w:rPr>
        <w:sectPr w:rsidR="005171B9" w:rsidRPr="00D353D1" w:rsidSect="00ED7249">
          <w:pgSz w:w="11907" w:h="16839" w:code="9"/>
          <w:pgMar w:top="1077" w:right="1134" w:bottom="1134" w:left="1134" w:header="567" w:footer="805" w:gutter="0"/>
          <w:cols w:space="708"/>
          <w:docGrid w:linePitch="360"/>
        </w:sectPr>
      </w:pPr>
      <w:r>
        <w:rPr>
          <w:rFonts w:ascii="Arial" w:eastAsia="Arial" w:hAnsi="Arial"/>
        </w:rPr>
        <w:t>T</w:t>
      </w:r>
      <w:r w:rsidR="00DC6FFC" w:rsidRPr="3A7ED23E">
        <w:rPr>
          <w:rFonts w:ascii="Arial" w:eastAsia="Arial" w:hAnsi="Arial"/>
        </w:rPr>
        <w:t xml:space="preserve">he Skills and Workforce Ministerial Council published its updated National Skills Plan for 2025-2026 which identifies tertiary harmonisation as an area of focus. </w:t>
      </w:r>
      <w:r w:rsidR="067F6718" w:rsidRPr="3A7ED23E">
        <w:rPr>
          <w:rFonts w:ascii="Arial" w:eastAsia="Arial" w:hAnsi="Arial"/>
        </w:rPr>
        <w:t>In</w:t>
      </w:r>
      <w:r w:rsidR="00313FE7" w:rsidRPr="3A7ED23E">
        <w:rPr>
          <w:rFonts w:ascii="Arial" w:eastAsia="Arial" w:hAnsi="Arial"/>
        </w:rPr>
        <w:t xml:space="preserve"> December 2025, Skills Ministers agreed the need for the Tertiary Roadmap being led by the ATEC to incorporate significant reform to enable a joined-up approach that places VET and higher education on an equal footing and </w:t>
      </w:r>
      <w:r w:rsidR="12F3061C" w:rsidRPr="3A7ED23E">
        <w:rPr>
          <w:rFonts w:ascii="Arial" w:eastAsia="Arial" w:hAnsi="Arial"/>
        </w:rPr>
        <w:t>provide</w:t>
      </w:r>
      <w:r w:rsidR="00313FE7" w:rsidRPr="3A7ED23E">
        <w:rPr>
          <w:rFonts w:ascii="Arial" w:eastAsia="Arial" w:hAnsi="Arial"/>
        </w:rPr>
        <w:t xml:space="preserve"> learners</w:t>
      </w:r>
      <w:r w:rsidR="7AD886D1" w:rsidRPr="3A7ED23E">
        <w:rPr>
          <w:rFonts w:ascii="Arial" w:eastAsia="Arial" w:hAnsi="Arial"/>
        </w:rPr>
        <w:t xml:space="preserve"> with</w:t>
      </w:r>
      <w:r w:rsidR="00313FE7" w:rsidRPr="3A7ED23E">
        <w:rPr>
          <w:rFonts w:ascii="Arial" w:eastAsia="Arial" w:hAnsi="Arial"/>
        </w:rPr>
        <w:t xml:space="preserve"> flexible pathways to gain the skills needed for Australia’s future workforce.</w:t>
      </w:r>
    </w:p>
    <w:p w14:paraId="479A49A3" w14:textId="3B669BD5" w:rsidR="009600D2" w:rsidRPr="008C4640" w:rsidRDefault="004A3646" w:rsidP="00B21645">
      <w:pPr>
        <w:pStyle w:val="Heading1"/>
        <w:numPr>
          <w:ilvl w:val="0"/>
          <w:numId w:val="14"/>
        </w:numPr>
        <w:rPr>
          <w:i/>
          <w:iCs/>
        </w:rPr>
      </w:pPr>
      <w:bookmarkStart w:id="28" w:name="_Toc229643967"/>
      <w:r w:rsidRPr="008C4640">
        <w:t>The Learner Journey</w:t>
      </w:r>
      <w:bookmarkEnd w:id="28"/>
      <w:r w:rsidRPr="008C4640">
        <w:t xml:space="preserve"> </w:t>
      </w:r>
    </w:p>
    <w:p w14:paraId="5CF672E5" w14:textId="7887E527" w:rsidR="004A3646" w:rsidRPr="008C4640" w:rsidRDefault="00C2177C" w:rsidP="00534F14">
      <w:pPr>
        <w:pStyle w:val="Heading2"/>
        <w:numPr>
          <w:ilvl w:val="1"/>
          <w:numId w:val="14"/>
        </w:numPr>
        <w:spacing w:before="160" w:after="80" w:line="259" w:lineRule="auto"/>
        <w:ind w:left="851" w:hanging="851"/>
      </w:pPr>
      <w:bookmarkStart w:id="29" w:name="_Toc229643968"/>
      <w:r w:rsidRPr="00D353D1">
        <w:t>Learning</w:t>
      </w:r>
      <w:r w:rsidR="00695D9D" w:rsidRPr="00D353D1">
        <w:t xml:space="preserve"> is continuous</w:t>
      </w:r>
      <w:r w:rsidR="007C6719" w:rsidRPr="00D353D1">
        <w:t xml:space="preserve"> and varied</w:t>
      </w:r>
      <w:bookmarkEnd w:id="29"/>
    </w:p>
    <w:p w14:paraId="037C2644" w14:textId="27EDFBFD" w:rsidR="00621CA8" w:rsidRDefault="54C09711" w:rsidP="00C55EC9">
      <w:r>
        <w:t xml:space="preserve">A “learner journey” describes </w:t>
      </w:r>
      <w:r w:rsidR="6AACE98F">
        <w:t xml:space="preserve">the experiences of end users and how they </w:t>
      </w:r>
      <w:r w:rsidR="6AACE98F" w:rsidDel="001B3278">
        <w:t xml:space="preserve">might </w:t>
      </w:r>
      <w:r w:rsidRPr="00D353D1">
        <w:t>progress</w:t>
      </w:r>
      <w:r w:rsidR="46E4D6FE">
        <w:t xml:space="preserve"> and interact with </w:t>
      </w:r>
      <w:r>
        <w:t xml:space="preserve">the </w:t>
      </w:r>
      <w:r w:rsidR="6F0D0B18">
        <w:t xml:space="preserve">tertiary </w:t>
      </w:r>
      <w:r>
        <w:t>education system</w:t>
      </w:r>
      <w:r w:rsidR="0B816E19" w:rsidRPr="00D353D1">
        <w:t>.</w:t>
      </w:r>
      <w:r w:rsidR="00886199" w:rsidRPr="00D353D1">
        <w:t xml:space="preserve"> </w:t>
      </w:r>
      <w:r w:rsidR="001B5877">
        <w:t xml:space="preserve">While the traditional concept of a learner journey is linear – moving from secondary school to VET or </w:t>
      </w:r>
      <w:r w:rsidR="003C2BFA">
        <w:t>h</w:t>
      </w:r>
      <w:r w:rsidR="001B5877">
        <w:t>igher</w:t>
      </w:r>
      <w:r w:rsidR="009B6882">
        <w:t> </w:t>
      </w:r>
      <w:r w:rsidR="003C2BFA">
        <w:t>e</w:t>
      </w:r>
      <w:r w:rsidR="001B5877">
        <w:t xml:space="preserve">ducation, </w:t>
      </w:r>
      <w:r w:rsidR="005A0AAA">
        <w:t xml:space="preserve">then </w:t>
      </w:r>
      <w:r w:rsidR="001B5877">
        <w:t>into the workforce and into retirement</w:t>
      </w:r>
      <w:r w:rsidR="001B5877" w:rsidDel="005A0AAA">
        <w:t>,</w:t>
      </w:r>
      <w:r w:rsidR="005A0AAA">
        <w:t xml:space="preserve"> </w:t>
      </w:r>
      <w:r w:rsidR="001B5877">
        <w:t xml:space="preserve">this </w:t>
      </w:r>
      <w:r w:rsidR="001B5877" w:rsidDel="005A0AAA">
        <w:t xml:space="preserve">is </w:t>
      </w:r>
      <w:r w:rsidR="00B9683A">
        <w:t>n</w:t>
      </w:r>
      <w:r w:rsidR="001B5877">
        <w:t>o</w:t>
      </w:r>
      <w:r w:rsidR="00433D40">
        <w:t xml:space="preserve">t </w:t>
      </w:r>
      <w:r w:rsidR="001B5877">
        <w:t>reflect</w:t>
      </w:r>
      <w:r w:rsidR="001B5877" w:rsidDel="005A0AAA">
        <w:t>ive</w:t>
      </w:r>
      <w:r w:rsidR="001B5877">
        <w:t xml:space="preserve"> </w:t>
      </w:r>
      <w:r w:rsidR="001B5877" w:rsidDel="005A0AAA">
        <w:t xml:space="preserve">of </w:t>
      </w:r>
      <w:r w:rsidR="00433D40" w:rsidDel="005A0AAA">
        <w:t xml:space="preserve">all </w:t>
      </w:r>
      <w:r w:rsidR="00433D40">
        <w:t>learner</w:t>
      </w:r>
      <w:r w:rsidR="00B21645">
        <w:t>s’</w:t>
      </w:r>
      <w:r w:rsidR="00433D40">
        <w:t xml:space="preserve"> experience</w:t>
      </w:r>
      <w:r w:rsidR="00B21645">
        <w:t>s</w:t>
      </w:r>
      <w:r w:rsidR="001B5877">
        <w:t>.</w:t>
      </w:r>
      <w:r w:rsidR="006C7004">
        <w:t xml:space="preserve"> </w:t>
      </w:r>
    </w:p>
    <w:p w14:paraId="32E86FC4" w14:textId="4E595BEA" w:rsidR="00621CA8" w:rsidRDefault="005A0AAA" w:rsidP="00C55EC9">
      <w:r>
        <w:t>R</w:t>
      </w:r>
      <w:r w:rsidR="006C7004">
        <w:t>apid development</w:t>
      </w:r>
      <w:r w:rsidR="00EF20DB">
        <w:t>s in</w:t>
      </w:r>
      <w:r w:rsidR="006C7004" w:rsidDel="00EF20DB">
        <w:t xml:space="preserve"> </w:t>
      </w:r>
      <w:r w:rsidR="00FD3DA6">
        <w:t xml:space="preserve">technology, </w:t>
      </w:r>
      <w:r w:rsidR="00EF20DB">
        <w:t xml:space="preserve">new sectors and changing </w:t>
      </w:r>
      <w:r w:rsidR="00FD3DA6">
        <w:t>workforce needs</w:t>
      </w:r>
      <w:r w:rsidR="00EF20DB">
        <w:t xml:space="preserve"> mean</w:t>
      </w:r>
      <w:r w:rsidR="00FD3DA6">
        <w:t xml:space="preserve"> </w:t>
      </w:r>
      <w:r w:rsidR="00B72A42">
        <w:t xml:space="preserve">workers </w:t>
      </w:r>
      <w:r w:rsidR="00B72A42" w:rsidDel="00EF20DB">
        <w:t xml:space="preserve">no longer expect to </w:t>
      </w:r>
      <w:r w:rsidR="00B72A42">
        <w:t xml:space="preserve">stay </w:t>
      </w:r>
      <w:r w:rsidR="00723D85">
        <w:t>in one job until retirement</w:t>
      </w:r>
      <w:r w:rsidR="00497B94">
        <w:t>. Learners</w:t>
      </w:r>
      <w:r w:rsidR="00DF5486">
        <w:t xml:space="preserve"> </w:t>
      </w:r>
      <w:r w:rsidR="00497B94">
        <w:t>will</w:t>
      </w:r>
      <w:r w:rsidR="00DF5486">
        <w:t xml:space="preserve"> need to reskill or upskill throughout their careers</w:t>
      </w:r>
      <w:r w:rsidR="00497B94">
        <w:t xml:space="preserve"> to adapt to these changes</w:t>
      </w:r>
      <w:r w:rsidR="00286A18">
        <w:t>.</w:t>
      </w:r>
      <w:r w:rsidR="00497B94">
        <w:t xml:space="preserve"> </w:t>
      </w:r>
      <w:r w:rsidR="009E736D">
        <w:t>T</w:t>
      </w:r>
      <w:r w:rsidR="00286A18" w:rsidRPr="00D353D1">
        <w:t>he</w:t>
      </w:r>
      <w:r w:rsidR="00286A18">
        <w:t xml:space="preserve"> Foundation for Youn</w:t>
      </w:r>
      <w:r w:rsidR="00F65705">
        <w:t xml:space="preserve">g Australians </w:t>
      </w:r>
      <w:r w:rsidR="6116B441">
        <w:t xml:space="preserve">(2017) </w:t>
      </w:r>
      <w:r w:rsidR="007E5458">
        <w:t xml:space="preserve">found that </w:t>
      </w:r>
      <w:r w:rsidR="00940DDE">
        <w:t xml:space="preserve">Gen Z </w:t>
      </w:r>
      <w:r w:rsidR="006378BC">
        <w:t xml:space="preserve">employees can expect to have </w:t>
      </w:r>
      <w:r w:rsidR="0066743C">
        <w:t xml:space="preserve">up to 17 jobs </w:t>
      </w:r>
      <w:r w:rsidR="00287155">
        <w:t>across 5 careers in their lifetime</w:t>
      </w:r>
      <w:r w:rsidR="006378BC" w:rsidRPr="00D353D1">
        <w:t>.</w:t>
      </w:r>
    </w:p>
    <w:p w14:paraId="79ABA04B" w14:textId="415C0231" w:rsidR="00F26542" w:rsidRPr="008C4640" w:rsidRDefault="00F26542" w:rsidP="00C55EC9">
      <w:r w:rsidRPr="00FA31FB">
        <w:t>Figure 4 (below)</w:t>
      </w:r>
      <w:r>
        <w:t xml:space="preserve"> is a representation of</w:t>
      </w:r>
      <w:r w:rsidRPr="00FA31FB">
        <w:t xml:space="preserve"> how learners move through the tertiary system and workforce. Learners can move in any direction at any time and in and out of their learner journey – for example, learners may gain a diploma before an undergraduate qualification or vice versa. Learners may also repeat steps, such as returning to VET after time in the workforce to upskill or reskill with another qualification. “Stops” between each “station” represent key aspects of the learner journey at that stage</w:t>
      </w:r>
      <w:r>
        <w:rPr>
          <w:bCs/>
        </w:rPr>
        <w:t xml:space="preserve">. </w:t>
      </w:r>
      <w:r w:rsidRPr="00FA31FB">
        <w:rPr>
          <w:bCs/>
        </w:rPr>
        <w:t>This diagram is not exhaustive of all pathways but demonstrates the complexity of the tertiary system as a whole.</w:t>
      </w:r>
    </w:p>
    <w:p w14:paraId="456FF6FB" w14:textId="6F2F8315" w:rsidR="004A1F99" w:rsidRPr="008C4640" w:rsidRDefault="007866C1" w:rsidP="00C55EC9">
      <w:r>
        <w:t xml:space="preserve">Examples of </w:t>
      </w:r>
      <w:r w:rsidR="000624EA" w:rsidRPr="008C4640">
        <w:t>stages in t</w:t>
      </w:r>
      <w:r w:rsidR="004A1F99" w:rsidRPr="008C4640">
        <w:t>he learner journey</w:t>
      </w:r>
      <w:r w:rsidR="004A1F99" w:rsidRPr="008C4640" w:rsidDel="005B6DA7">
        <w:t xml:space="preserve"> </w:t>
      </w:r>
      <w:r w:rsidR="005B6DA7">
        <w:t>i</w:t>
      </w:r>
      <w:r w:rsidR="004A1F99" w:rsidRPr="008C4640">
        <w:t>nclude</w:t>
      </w:r>
      <w:r w:rsidR="00FE2C83">
        <w:t>, but are not limited to</w:t>
      </w:r>
      <w:r w:rsidR="004A1F99" w:rsidRPr="008C4640">
        <w:t>:</w:t>
      </w:r>
    </w:p>
    <w:p w14:paraId="1CB51D06" w14:textId="4C43CF87" w:rsidR="00886199" w:rsidRPr="008C4640" w:rsidRDefault="00851FDC" w:rsidP="00C55EC9">
      <w:pPr>
        <w:pStyle w:val="ListBullet"/>
        <w:numPr>
          <w:ilvl w:val="0"/>
          <w:numId w:val="106"/>
        </w:numPr>
      </w:pPr>
      <w:r w:rsidRPr="3A7ED23E">
        <w:rPr>
          <w:b/>
        </w:rPr>
        <w:t>Transition</w:t>
      </w:r>
      <w:r w:rsidR="00FE2C83" w:rsidRPr="3A7ED23E">
        <w:rPr>
          <w:b/>
          <w:bCs/>
        </w:rPr>
        <w:t>ing</w:t>
      </w:r>
      <w:r w:rsidR="00CE1B4A" w:rsidRPr="3A7ED23E">
        <w:rPr>
          <w:b/>
          <w:bCs/>
        </w:rPr>
        <w:t xml:space="preserve"> </w:t>
      </w:r>
      <w:r w:rsidR="005B6DA7" w:rsidRPr="3A7ED23E">
        <w:rPr>
          <w:b/>
          <w:bCs/>
        </w:rPr>
        <w:t>from</w:t>
      </w:r>
      <w:r w:rsidR="006D5132" w:rsidRPr="3A7ED23E">
        <w:rPr>
          <w:b/>
          <w:bCs/>
        </w:rPr>
        <w:t xml:space="preserve"> secondary</w:t>
      </w:r>
      <w:r w:rsidR="00CE1B4A" w:rsidRPr="3A7ED23E">
        <w:rPr>
          <w:b/>
          <w:bCs/>
        </w:rPr>
        <w:t xml:space="preserve"> </w:t>
      </w:r>
      <w:r w:rsidR="009F0004" w:rsidRPr="3A7ED23E">
        <w:rPr>
          <w:b/>
          <w:bCs/>
        </w:rPr>
        <w:t>school</w:t>
      </w:r>
      <w:r w:rsidR="006D5132" w:rsidRPr="3A7ED23E">
        <w:rPr>
          <w:b/>
          <w:bCs/>
        </w:rPr>
        <w:t xml:space="preserve"> </w:t>
      </w:r>
      <w:r w:rsidR="009F0004" w:rsidRPr="3A7ED23E">
        <w:rPr>
          <w:b/>
          <w:bCs/>
        </w:rPr>
        <w:t>to</w:t>
      </w:r>
      <w:r w:rsidRPr="3A7ED23E">
        <w:rPr>
          <w:b/>
          <w:bCs/>
        </w:rPr>
        <w:t xml:space="preserve"> </w:t>
      </w:r>
      <w:r w:rsidR="009F0004" w:rsidRPr="3A7ED23E">
        <w:rPr>
          <w:b/>
          <w:bCs/>
        </w:rPr>
        <w:t xml:space="preserve">the </w:t>
      </w:r>
      <w:r w:rsidRPr="3A7ED23E">
        <w:rPr>
          <w:b/>
          <w:bCs/>
        </w:rPr>
        <w:t xml:space="preserve">tertiary </w:t>
      </w:r>
      <w:r w:rsidR="009F0004" w:rsidRPr="3A7ED23E">
        <w:rPr>
          <w:b/>
          <w:bCs/>
        </w:rPr>
        <w:t>system</w:t>
      </w:r>
      <w:r w:rsidRPr="3A7ED23E">
        <w:rPr>
          <w:b/>
          <w:bCs/>
        </w:rPr>
        <w:t xml:space="preserve"> or the workforce</w:t>
      </w:r>
      <w:r w:rsidR="07D22165" w:rsidRPr="3A7ED23E">
        <w:rPr>
          <w:b/>
          <w:bCs/>
        </w:rPr>
        <w:t xml:space="preserve"> </w:t>
      </w:r>
      <w:r w:rsidR="07D22165" w:rsidRPr="00A92887">
        <w:t xml:space="preserve">- </w:t>
      </w:r>
      <w:r w:rsidR="00AA2BC7" w:rsidRPr="3A7ED23E">
        <w:t xml:space="preserve">a key decision point </w:t>
      </w:r>
      <w:r w:rsidR="3DD98618" w:rsidRPr="3A7ED23E">
        <w:t>when</w:t>
      </w:r>
      <w:r w:rsidR="00AA2BC7" w:rsidRPr="3A7ED23E">
        <w:t xml:space="preserve"> </w:t>
      </w:r>
      <w:r w:rsidR="00D0563D" w:rsidRPr="3A7ED23E">
        <w:t>learners</w:t>
      </w:r>
      <w:r w:rsidR="00AA2BC7" w:rsidRPr="3A7ED23E">
        <w:t xml:space="preserve"> choose between </w:t>
      </w:r>
      <w:r w:rsidR="00875E86" w:rsidRPr="3A7ED23E">
        <w:t xml:space="preserve">continuing education </w:t>
      </w:r>
      <w:r w:rsidR="1912A0F4" w:rsidRPr="3A7ED23E">
        <w:t xml:space="preserve">through </w:t>
      </w:r>
      <w:r w:rsidR="3ACB2D08" w:rsidRPr="3A7ED23E">
        <w:t>a</w:t>
      </w:r>
      <w:r w:rsidR="00875E86" w:rsidRPr="3A7ED23E">
        <w:t xml:space="preserve"> </w:t>
      </w:r>
      <w:r w:rsidR="00AA2BC7" w:rsidRPr="3A7ED23E">
        <w:t>VET</w:t>
      </w:r>
      <w:r w:rsidR="00875E86" w:rsidRPr="3A7ED23E">
        <w:t xml:space="preserve"> and</w:t>
      </w:r>
      <w:r w:rsidR="00AA2BC7" w:rsidRPr="3A7ED23E">
        <w:t xml:space="preserve"> Higher Education</w:t>
      </w:r>
      <w:r w:rsidR="779C5896" w:rsidRPr="3A7ED23E">
        <w:t xml:space="preserve"> </w:t>
      </w:r>
      <w:r w:rsidR="00F55179" w:rsidRPr="3A7ED23E">
        <w:t>pathway or</w:t>
      </w:r>
      <w:r w:rsidR="00AA2BC7" w:rsidRPr="3A7ED23E">
        <w:t xml:space="preserve"> immediately joining the workforce.</w:t>
      </w:r>
      <w:r w:rsidR="00266D03" w:rsidRPr="3A7ED23E">
        <w:t xml:space="preserve"> This </w:t>
      </w:r>
      <w:r w:rsidR="00126298" w:rsidRPr="3A7ED23E">
        <w:t>decision</w:t>
      </w:r>
      <w:r w:rsidR="00266D03" w:rsidRPr="3A7ED23E">
        <w:t xml:space="preserve"> </w:t>
      </w:r>
      <w:r w:rsidR="009C3DA0" w:rsidRPr="3A7ED23E">
        <w:t>is</w:t>
      </w:r>
      <w:r w:rsidR="00266D03" w:rsidRPr="3A7ED23E">
        <w:t xml:space="preserve"> shaped by careers information, </w:t>
      </w:r>
      <w:r w:rsidR="00F768AF" w:rsidRPr="3A7ED23E">
        <w:t>social context, and academic achievement.</w:t>
      </w:r>
    </w:p>
    <w:p w14:paraId="6D903641" w14:textId="799072FD" w:rsidR="000975A1" w:rsidRDefault="00BA652C" w:rsidP="00C55EC9">
      <w:pPr>
        <w:pStyle w:val="ListBullet"/>
        <w:numPr>
          <w:ilvl w:val="0"/>
          <w:numId w:val="106"/>
        </w:numPr>
      </w:pPr>
      <w:r w:rsidRPr="3A7ED23E">
        <w:rPr>
          <w:b/>
        </w:rPr>
        <w:t xml:space="preserve">Initial entry </w:t>
      </w:r>
      <w:r w:rsidR="00C15B4F" w:rsidRPr="3A7ED23E">
        <w:rPr>
          <w:b/>
          <w:bCs/>
        </w:rPr>
        <w:t>into the tertiary system later in life</w:t>
      </w:r>
      <w:r w:rsidR="48DC4F0B" w:rsidRPr="3A7ED23E">
        <w:rPr>
          <w:b/>
          <w:bCs/>
        </w:rPr>
        <w:t xml:space="preserve"> – </w:t>
      </w:r>
      <w:r w:rsidR="3BD1F5EB" w:rsidRPr="3A7ED23E">
        <w:t>those</w:t>
      </w:r>
      <w:r w:rsidR="48DC4F0B" w:rsidRPr="3A7ED23E">
        <w:t xml:space="preserve"> individuals </w:t>
      </w:r>
      <w:r w:rsidR="00F13FCB" w:rsidRPr="3A7ED23E">
        <w:t xml:space="preserve">who </w:t>
      </w:r>
      <w:r w:rsidR="00581885" w:rsidRPr="3A7ED23E">
        <w:t xml:space="preserve">entered the workforce straight </w:t>
      </w:r>
      <w:r w:rsidR="008703C0" w:rsidRPr="3A7ED23E">
        <w:t xml:space="preserve">from </w:t>
      </w:r>
      <w:r w:rsidR="00581885" w:rsidRPr="3A7ED23E">
        <w:t xml:space="preserve">school, </w:t>
      </w:r>
      <w:r w:rsidR="4337DD06" w:rsidRPr="3A7ED23E">
        <w:t xml:space="preserve">those </w:t>
      </w:r>
      <w:r w:rsidR="00F218B3" w:rsidRPr="3A7ED23E">
        <w:t xml:space="preserve">with caring responsibilities, </w:t>
      </w:r>
      <w:r w:rsidR="003D5874">
        <w:t xml:space="preserve">those who had experienced periods of </w:t>
      </w:r>
      <w:r w:rsidR="00F533DE">
        <w:t>not being engaged in employment, education or training</w:t>
      </w:r>
      <w:r w:rsidR="00A6275F">
        <w:t xml:space="preserve"> (NEET)</w:t>
      </w:r>
      <w:r w:rsidR="00F533DE">
        <w:t xml:space="preserve">, </w:t>
      </w:r>
      <w:r w:rsidR="00155152" w:rsidRPr="3A7ED23E">
        <w:t xml:space="preserve">and new migrants engaging with the Australian system </w:t>
      </w:r>
      <w:r w:rsidR="009E7BA5" w:rsidRPr="3A7ED23E">
        <w:t>for the first time</w:t>
      </w:r>
      <w:r w:rsidR="00155152" w:rsidRPr="3A7ED23E">
        <w:t>.</w:t>
      </w:r>
    </w:p>
    <w:p w14:paraId="5F5B724A" w14:textId="4B9DC9B6" w:rsidR="00951F5A" w:rsidRPr="00951F5A" w:rsidRDefault="00951F5A" w:rsidP="00C55EC9">
      <w:pPr>
        <w:pStyle w:val="ListBullet"/>
        <w:numPr>
          <w:ilvl w:val="0"/>
          <w:numId w:val="106"/>
        </w:numPr>
      </w:pPr>
      <w:r w:rsidRPr="3A7ED23E">
        <w:rPr>
          <w:b/>
          <w:bCs/>
        </w:rPr>
        <w:t>Transitioning within</w:t>
      </w:r>
      <w:r w:rsidR="00FE2C83" w:rsidRPr="3A7ED23E">
        <w:rPr>
          <w:b/>
          <w:bCs/>
        </w:rPr>
        <w:t xml:space="preserve"> the</w:t>
      </w:r>
      <w:r w:rsidRPr="3A7ED23E">
        <w:rPr>
          <w:b/>
          <w:bCs/>
        </w:rPr>
        <w:t xml:space="preserve"> tertiary</w:t>
      </w:r>
      <w:r w:rsidR="00FE2C83" w:rsidRPr="3A7ED23E">
        <w:rPr>
          <w:b/>
          <w:bCs/>
        </w:rPr>
        <w:t xml:space="preserve"> system</w:t>
      </w:r>
      <w:r w:rsidR="6E3B6269" w:rsidRPr="3A7ED23E">
        <w:rPr>
          <w:b/>
          <w:bCs/>
        </w:rPr>
        <w:t xml:space="preserve"> </w:t>
      </w:r>
      <w:r w:rsidR="6E3B6269" w:rsidRPr="00A92887">
        <w:t xml:space="preserve">- </w:t>
      </w:r>
      <w:r>
        <w:t xml:space="preserve">from higher education to VET or </w:t>
      </w:r>
      <w:r w:rsidR="00FE2C83">
        <w:t xml:space="preserve">vice versa; or </w:t>
      </w:r>
      <w:r>
        <w:t>transitioning between qualifications within one sector.</w:t>
      </w:r>
    </w:p>
    <w:p w14:paraId="068A9135" w14:textId="13772F4B" w:rsidR="00F26542" w:rsidRPr="008C4640" w:rsidRDefault="00FB41D5" w:rsidP="00C55EC9">
      <w:pPr>
        <w:pStyle w:val="ListBullet"/>
        <w:numPr>
          <w:ilvl w:val="0"/>
          <w:numId w:val="106"/>
        </w:numPr>
      </w:pPr>
      <w:r w:rsidRPr="3A7ED23E">
        <w:rPr>
          <w:b/>
        </w:rPr>
        <w:t>Transitioning from tertiary to the workforce</w:t>
      </w:r>
      <w:r w:rsidR="69812086" w:rsidRPr="3A7ED23E">
        <w:rPr>
          <w:b/>
          <w:bCs/>
        </w:rPr>
        <w:t xml:space="preserve"> </w:t>
      </w:r>
      <w:r w:rsidR="69812086" w:rsidRPr="00A92887">
        <w:t>-</w:t>
      </w:r>
      <w:r w:rsidR="69812086" w:rsidRPr="3A7ED23E">
        <w:rPr>
          <w:b/>
          <w:bCs/>
        </w:rPr>
        <w:t xml:space="preserve"> </w:t>
      </w:r>
      <w:r w:rsidR="77F3D5D9" w:rsidRPr="3A7ED23E">
        <w:t>entering for the first time or with previous</w:t>
      </w:r>
      <w:r w:rsidRPr="3A7ED23E">
        <w:t xml:space="preserve"> engagement in work </w:t>
      </w:r>
      <w:r w:rsidR="00E00ED9" w:rsidRPr="3A7ED23E">
        <w:t xml:space="preserve">alongside </w:t>
      </w:r>
      <w:r w:rsidR="00FF0A2A" w:rsidRPr="3A7ED23E">
        <w:t xml:space="preserve">tertiary education, </w:t>
      </w:r>
      <w:r w:rsidR="577CFD99" w:rsidRPr="3A7ED23E">
        <w:t>through</w:t>
      </w:r>
      <w:r w:rsidR="00FF0A2A" w:rsidRPr="3A7ED23E">
        <w:t xml:space="preserve"> VET apprenticeships</w:t>
      </w:r>
      <w:r w:rsidR="00AE6277" w:rsidRPr="3A7ED23E">
        <w:t xml:space="preserve">, </w:t>
      </w:r>
      <w:r w:rsidR="00AE44FA" w:rsidRPr="3A7ED23E">
        <w:t xml:space="preserve">higher-level apprenticeships, </w:t>
      </w:r>
      <w:r w:rsidR="00380E3A" w:rsidRPr="3A7ED23E">
        <w:t>or other forms of work-integrated learning, including internships</w:t>
      </w:r>
      <w:r w:rsidR="0059303C" w:rsidRPr="3A7ED23E">
        <w:t xml:space="preserve"> </w:t>
      </w:r>
      <w:r w:rsidR="00955C49" w:rsidRPr="3A7ED23E">
        <w:t>and simulated work environments.</w:t>
      </w:r>
    </w:p>
    <w:p w14:paraId="3FAB1EF8" w14:textId="195B86C1" w:rsidR="00F26542" w:rsidRPr="00C55EC9" w:rsidRDefault="00746334" w:rsidP="00C55EC9">
      <w:pPr>
        <w:pStyle w:val="ListBullet"/>
        <w:numPr>
          <w:ilvl w:val="0"/>
          <w:numId w:val="106"/>
        </w:numPr>
      </w:pPr>
      <w:r w:rsidRPr="00F26542">
        <w:rPr>
          <w:b/>
        </w:rPr>
        <w:t>Re-entering tertiary from the workforce</w:t>
      </w:r>
      <w:r w:rsidR="14692212" w:rsidRPr="3A7ED23E">
        <w:rPr>
          <w:b/>
          <w:bCs/>
        </w:rPr>
        <w:t xml:space="preserve"> </w:t>
      </w:r>
      <w:r w:rsidR="14692212" w:rsidRPr="00A92887">
        <w:t>-</w:t>
      </w:r>
      <w:r w:rsidR="14692212" w:rsidRPr="3A7ED23E">
        <w:rPr>
          <w:b/>
          <w:bCs/>
        </w:rPr>
        <w:t xml:space="preserve"> </w:t>
      </w:r>
      <w:r w:rsidR="00AF0677" w:rsidRPr="3A7ED23E">
        <w:t>to</w:t>
      </w:r>
      <w:r w:rsidR="006350FF" w:rsidRPr="3A7ED23E">
        <w:t xml:space="preserve"> reskill</w:t>
      </w:r>
      <w:r w:rsidR="00D703ED" w:rsidRPr="3A7ED23E">
        <w:t xml:space="preserve"> or</w:t>
      </w:r>
      <w:r w:rsidR="006350FF" w:rsidRPr="3A7ED23E">
        <w:t xml:space="preserve"> upskill to keep up with new developments in their fields, </w:t>
      </w:r>
      <w:r w:rsidR="004B73BA" w:rsidRPr="3A7ED23E">
        <w:t xml:space="preserve">progress their career, </w:t>
      </w:r>
      <w:r w:rsidR="006350FF" w:rsidRPr="3A7ED23E">
        <w:t>or undertake a career pivot</w:t>
      </w:r>
      <w:r w:rsidR="00A23FD8">
        <w:t xml:space="preserve">, </w:t>
      </w:r>
      <w:r w:rsidR="00A02D89">
        <w:t xml:space="preserve">reflecting personal preferences or needs, or </w:t>
      </w:r>
      <w:r w:rsidR="005E5617">
        <w:t>how industries are changing</w:t>
      </w:r>
      <w:r w:rsidR="006350FF" w:rsidRPr="3A7ED23E">
        <w:t>.</w:t>
      </w:r>
      <w:r w:rsidR="00935F1F" w:rsidRPr="3A7ED23E">
        <w:t xml:space="preserve"> </w:t>
      </w:r>
      <w:r w:rsidR="0081331B" w:rsidRPr="0086178F">
        <w:t xml:space="preserve">These learners may also engage with a different aspect of the system than their initial qualification, moving from VET to </w:t>
      </w:r>
      <w:r w:rsidR="5742EFB8" w:rsidRPr="0086178F">
        <w:t>h</w:t>
      </w:r>
      <w:r w:rsidR="0081331B" w:rsidRPr="0086178F">
        <w:t xml:space="preserve">igher </w:t>
      </w:r>
      <w:r w:rsidR="009BE26C" w:rsidRPr="0086178F">
        <w:t>e</w:t>
      </w:r>
      <w:r w:rsidR="0081331B" w:rsidRPr="0086178F">
        <w:t xml:space="preserve">ducation or vice versa. </w:t>
      </w:r>
      <w:r w:rsidR="001F7201" w:rsidRPr="0086178F">
        <w:t>This may also come after an intentional or unintentional career break to gain skills relevant to the current workforce</w:t>
      </w:r>
      <w:r w:rsidR="501406D9" w:rsidRPr="0086178F">
        <w:t>.</w:t>
      </w:r>
    </w:p>
    <w:p w14:paraId="396F2D3A" w14:textId="40A6D84F" w:rsidR="00960D55" w:rsidRPr="00960D55" w:rsidRDefault="008040D9" w:rsidP="00C55EC9">
      <w:pPr>
        <w:sectPr w:rsidR="00960D55" w:rsidRPr="00960D55" w:rsidSect="004C10B7">
          <w:pgSz w:w="11907" w:h="16839" w:code="9"/>
          <w:pgMar w:top="1077" w:right="1134" w:bottom="1134" w:left="1134" w:header="567" w:footer="805" w:gutter="0"/>
          <w:cols w:space="708"/>
          <w:docGrid w:linePitch="360"/>
        </w:sectPr>
      </w:pPr>
      <w:r>
        <w:t>These stages illustrate how learners</w:t>
      </w:r>
      <w:r w:rsidR="008F1CCF">
        <w:t>’</w:t>
      </w:r>
      <w:r>
        <w:t xml:space="preserve"> journeys are diverse and shaped by individual circumstances. Learners may engage in some or all of these stages, but engagement is rarely linear, with the challenges faced by learners across their journey explored in section 5.</w:t>
      </w:r>
    </w:p>
    <w:p w14:paraId="60020922" w14:textId="148E2BB4" w:rsidR="00FC3EEA" w:rsidRDefault="00557601" w:rsidP="007820FE">
      <w:pPr>
        <w:pStyle w:val="Caption"/>
        <w:jc w:val="center"/>
        <w:rPr>
          <w:noProof/>
        </w:rPr>
      </w:pPr>
      <w:r>
        <w:rPr>
          <w:noProof/>
        </w:rPr>
        <w:drawing>
          <wp:inline distT="0" distB="0" distL="0" distR="0" wp14:anchorId="2D2F4BF1" wp14:editId="08930EBB">
            <wp:extent cx="6333721" cy="3654111"/>
            <wp:effectExtent l="0" t="0" r="0" b="3810"/>
            <wp:docPr id="393553004" name="Picture 2" descr="A graphic using a subway map to show the ways learners move between different phases of education and work. Key stations include work; senior secondary school; undergrad qualification; postgrad qualification; Cert I-IV; diplomas; advanced diplomas; apprenticeship; and migration. In between are small stations which explain the connections between the key stations, such as reskilling and upskill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012300" name="Picture 2" descr="A graphic using a subway map to show the ways learners move between different phases of education and work. Key stations include work; senior secondary school; undergrad qualification; postgrad qualification; Cert I-IV; diplomas; advanced diplomas; apprenticeship; and migration. In between are small stations which explain the connections between the key stations, such as reskilling and upskilling. "/>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a:stretch>
                      <a:fillRect/>
                    </a:stretch>
                  </pic:blipFill>
                  <pic:spPr bwMode="auto">
                    <a:xfrm>
                      <a:off x="0" y="0"/>
                      <a:ext cx="6371245" cy="3675760"/>
                    </a:xfrm>
                    <a:prstGeom prst="rect">
                      <a:avLst/>
                    </a:prstGeom>
                    <a:noFill/>
                    <a:ln>
                      <a:noFill/>
                    </a:ln>
                    <a:extLst>
                      <a:ext uri="{53640926-AAD7-44D8-BBD7-CCE9431645EC}">
                        <a14:shadowObscured xmlns:a14="http://schemas.microsoft.com/office/drawing/2010/main"/>
                      </a:ext>
                    </a:extLst>
                  </pic:spPr>
                </pic:pic>
              </a:graphicData>
            </a:graphic>
          </wp:inline>
        </w:drawing>
      </w:r>
    </w:p>
    <w:p w14:paraId="558948B0" w14:textId="4800F2AE" w:rsidR="004A3646" w:rsidRPr="00D353D1" w:rsidRDefault="00FC3EEA" w:rsidP="00AC7E45">
      <w:pPr>
        <w:pStyle w:val="Caption"/>
      </w:pPr>
      <w:r>
        <w:t xml:space="preserve"> </w:t>
      </w:r>
      <w:r w:rsidR="00C04C07">
        <w:br/>
      </w:r>
      <w:bookmarkStart w:id="30" w:name="_Toc228799278"/>
      <w:r w:rsidR="00D50913" w:rsidRPr="008C4640">
        <w:t xml:space="preserve">Figure </w:t>
      </w:r>
      <w:r w:rsidR="00DB4F67" w:rsidRPr="008D1A00">
        <w:fldChar w:fldCharType="begin"/>
      </w:r>
      <w:r w:rsidR="00DB4F67" w:rsidRPr="008C4640">
        <w:instrText xml:space="preserve"> SEQ Figure \* ARABIC </w:instrText>
      </w:r>
      <w:r w:rsidR="00DB4F67" w:rsidRPr="008D1A00">
        <w:fldChar w:fldCharType="separate"/>
      </w:r>
      <w:r w:rsidR="008645D3">
        <w:rPr>
          <w:noProof/>
        </w:rPr>
        <w:t>4</w:t>
      </w:r>
      <w:r w:rsidR="00DB4F67" w:rsidRPr="008D1A00">
        <w:fldChar w:fldCharType="end"/>
      </w:r>
      <w:r w:rsidR="00D50913" w:rsidRPr="008C4640">
        <w:t>: Representation of the non-linear learner journey</w:t>
      </w:r>
      <w:bookmarkEnd w:id="30"/>
    </w:p>
    <w:p w14:paraId="5160A74F" w14:textId="7F088270" w:rsidR="0017208C" w:rsidRPr="00F55179" w:rsidDel="005A03DF" w:rsidRDefault="0017208C" w:rsidP="00C55EC9">
      <w:pPr>
        <w:keepNext/>
        <w:rPr>
          <w:i/>
          <w:iCs/>
        </w:rPr>
        <w:sectPr w:rsidR="0017208C" w:rsidRPr="00F55179" w:rsidDel="005A03DF" w:rsidSect="007820FE">
          <w:pgSz w:w="11907" w:h="16839" w:code="9"/>
          <w:pgMar w:top="1077" w:right="1134" w:bottom="1134" w:left="1077" w:header="567" w:footer="805" w:gutter="0"/>
          <w:cols w:space="708"/>
          <w:docGrid w:linePitch="360"/>
        </w:sectPr>
      </w:pPr>
    </w:p>
    <w:p w14:paraId="07D9C1CD" w14:textId="65413EB7" w:rsidR="00F05A27" w:rsidRPr="00F05A27" w:rsidRDefault="007F0CFE" w:rsidP="007F0CFE">
      <w:pPr>
        <w:pStyle w:val="Heading1"/>
        <w:numPr>
          <w:ilvl w:val="0"/>
          <w:numId w:val="14"/>
        </w:numPr>
      </w:pPr>
      <w:bookmarkStart w:id="31" w:name="_Toc229643969"/>
      <w:r>
        <w:t>Barriers and Challenges</w:t>
      </w:r>
      <w:bookmarkStart w:id="32" w:name="_Toc214882466"/>
      <w:bookmarkEnd w:id="31"/>
      <w:bookmarkEnd w:id="32"/>
    </w:p>
    <w:p w14:paraId="47EC8175" w14:textId="77777777" w:rsidR="00F05A27" w:rsidRPr="00F05A27" w:rsidRDefault="00F05A27" w:rsidP="00B53611">
      <w:pPr>
        <w:pStyle w:val="Heading2"/>
        <w:numPr>
          <w:ilvl w:val="1"/>
          <w:numId w:val="14"/>
        </w:numPr>
        <w:spacing w:before="160" w:after="80" w:line="259" w:lineRule="auto"/>
        <w:ind w:left="851" w:hanging="851"/>
        <w:rPr>
          <w:b w:val="0"/>
          <w:bCs w:val="0"/>
        </w:rPr>
      </w:pPr>
      <w:bookmarkStart w:id="33" w:name="_Toc229643970"/>
      <w:r w:rsidRPr="00F05A27">
        <w:t>Entering the tertiary system</w:t>
      </w:r>
      <w:bookmarkEnd w:id="33"/>
      <w:r w:rsidRPr="00F05A27">
        <w:t xml:space="preserve"> </w:t>
      </w:r>
    </w:p>
    <w:p w14:paraId="572F30E1" w14:textId="4E74DA4B" w:rsidR="00F05A27" w:rsidRPr="00F05A27" w:rsidRDefault="002C7936" w:rsidP="00F05A27">
      <w:r>
        <w:t>In</w:t>
      </w:r>
      <w:r w:rsidR="00F05A27" w:rsidRPr="00F05A27">
        <w:t>creasing numbers of Australians hold tertiary qualifications – with 54.7% of the Australian population over the age of 15 having completed non-school study in 2021, compared to only 24.2% in 1981 (ABS 2025)</w:t>
      </w:r>
      <w:r>
        <w:t xml:space="preserve">. Despite this, </w:t>
      </w:r>
      <w:r w:rsidR="00647C38">
        <w:t xml:space="preserve">there are </w:t>
      </w:r>
      <w:r w:rsidR="00F05A27" w:rsidRPr="00F05A27">
        <w:t>gaps</w:t>
      </w:r>
      <w:r w:rsidR="00D83A75">
        <w:t xml:space="preserve"> </w:t>
      </w:r>
      <w:r w:rsidR="00F05A27" w:rsidRPr="00F05A27">
        <w:t xml:space="preserve">in </w:t>
      </w:r>
      <w:r w:rsidR="00AB7757">
        <w:t xml:space="preserve">learners’ </w:t>
      </w:r>
      <w:r w:rsidR="001968DF">
        <w:t>awareness of</w:t>
      </w:r>
      <w:r w:rsidR="001968DF" w:rsidRPr="00F05A27">
        <w:t xml:space="preserve"> </w:t>
      </w:r>
      <w:r w:rsidR="00F05A27" w:rsidRPr="00F05A27">
        <w:t>the pathways</w:t>
      </w:r>
      <w:r w:rsidR="005C66F7">
        <w:t xml:space="preserve"> and </w:t>
      </w:r>
      <w:r w:rsidR="00F05A27" w:rsidRPr="00F05A27">
        <w:t xml:space="preserve">courses </w:t>
      </w:r>
      <w:r w:rsidR="00C96273">
        <w:t>available</w:t>
      </w:r>
      <w:r w:rsidR="006D6126">
        <w:t xml:space="preserve"> and </w:t>
      </w:r>
      <w:r w:rsidR="005C66F7">
        <w:t>t</w:t>
      </w:r>
      <w:r w:rsidR="00732EF1">
        <w:t>he occupations that might interest them,</w:t>
      </w:r>
      <w:r w:rsidR="001968DF">
        <w:t xml:space="preserve"> and m</w:t>
      </w:r>
      <w:r w:rsidR="00F05A27" w:rsidRPr="00F05A27">
        <w:t xml:space="preserve">ismatches between the qualifications people </w:t>
      </w:r>
      <w:r w:rsidR="00C96273">
        <w:t xml:space="preserve">hold </w:t>
      </w:r>
      <w:r w:rsidR="00F05A27" w:rsidRPr="00F05A27">
        <w:t xml:space="preserve">and </w:t>
      </w:r>
      <w:r w:rsidR="002346C4" w:rsidRPr="00F05A27">
        <w:t>Australia</w:t>
      </w:r>
      <w:r w:rsidR="002346C4">
        <w:t>’s</w:t>
      </w:r>
      <w:r w:rsidR="002346C4" w:rsidRPr="00F05A27">
        <w:t xml:space="preserve"> </w:t>
      </w:r>
      <w:r w:rsidR="00F05A27" w:rsidRPr="00F05A27">
        <w:t>skills needs</w:t>
      </w:r>
      <w:r w:rsidR="00E81911">
        <w:t xml:space="preserve"> at both national and local level</w:t>
      </w:r>
      <w:r w:rsidR="00C96273">
        <w:t>s</w:t>
      </w:r>
      <w:r w:rsidR="00E81911">
        <w:t xml:space="preserve">. </w:t>
      </w:r>
      <w:r w:rsidR="00F05A27" w:rsidRPr="00F05A27">
        <w:t xml:space="preserve"> </w:t>
      </w:r>
    </w:p>
    <w:p w14:paraId="48731D9A" w14:textId="4D5F86C6" w:rsidR="00F05A27" w:rsidRDefault="00F05A27" w:rsidP="00F05A27">
      <w:r>
        <w:t xml:space="preserve">Learners of all ages may be entering the tertiary system for the first time: young people leaving school, mature-aged learners looking to gain post-school qualifications, </w:t>
      </w:r>
      <w:r w:rsidR="0086498D">
        <w:t>and</w:t>
      </w:r>
      <w:r>
        <w:t xml:space="preserve"> migrants who </w:t>
      </w:r>
      <w:r w:rsidR="6E9A5798">
        <w:t xml:space="preserve">have </w:t>
      </w:r>
      <w:r w:rsidRPr="00D353D1">
        <w:t>not</w:t>
      </w:r>
      <w:r w:rsidDel="00F05A27">
        <w:t xml:space="preserve"> </w:t>
      </w:r>
      <w:r>
        <w:t>experience</w:t>
      </w:r>
      <w:r w:rsidR="16E6EB64">
        <w:t>d</w:t>
      </w:r>
      <w:r>
        <w:t xml:space="preserve"> the Australian tertiary education system. </w:t>
      </w:r>
      <w:r w:rsidR="00BE4D83">
        <w:t>T</w:t>
      </w:r>
      <w:r w:rsidR="403BD2A1">
        <w:t>hese learners</w:t>
      </w:r>
      <w:r w:rsidR="00BE4D83">
        <w:t xml:space="preserve"> </w:t>
      </w:r>
      <w:r>
        <w:t xml:space="preserve">must navigate </w:t>
      </w:r>
      <w:r w:rsidR="00435E00">
        <w:t>VET and higher education</w:t>
      </w:r>
      <w:r>
        <w:t xml:space="preserve">, </w:t>
      </w:r>
      <w:r w:rsidR="00435E00">
        <w:t xml:space="preserve">which </w:t>
      </w:r>
      <w:r>
        <w:t>differ</w:t>
      </w:r>
      <w:r w:rsidR="00170630">
        <w:t xml:space="preserve"> in</w:t>
      </w:r>
      <w:r>
        <w:t xml:space="preserve"> roles</w:t>
      </w:r>
      <w:r w:rsidR="00170630">
        <w:t>,</w:t>
      </w:r>
      <w:r>
        <w:t xml:space="preserve"> purpose, teaching and assessment styles, and costs and subsidies. </w:t>
      </w:r>
    </w:p>
    <w:p w14:paraId="5DD6A3B8" w14:textId="4FE61704" w:rsidR="009E2397" w:rsidRPr="00F05A27" w:rsidRDefault="009E2397" w:rsidP="00F05A27">
      <w:r>
        <w:t>Many learners are also re-entering the system</w:t>
      </w:r>
      <w:r w:rsidR="007D5FFC">
        <w:t xml:space="preserve">, often after a period of work experience, or following a break from work and study. These learners are likely to experience similar difficulties in </w:t>
      </w:r>
      <w:proofErr w:type="gramStart"/>
      <w:r w:rsidR="007D5FFC">
        <w:t xml:space="preserve">navigation, </w:t>
      </w:r>
      <w:r w:rsidR="006C0FEE">
        <w:t>and</w:t>
      </w:r>
      <w:proofErr w:type="gramEnd"/>
      <w:r w:rsidR="006C0FEE">
        <w:t xml:space="preserve"> may have an unbalanced understanding of the offerings of both sectors </w:t>
      </w:r>
      <w:r w:rsidR="00A21706">
        <w:t xml:space="preserve">– being familiar with the sector they engaged with initially, and having less understanding of what the other sector can offer. </w:t>
      </w:r>
      <w:r w:rsidR="00643FB4">
        <w:t>They may also be interested in</w:t>
      </w:r>
      <w:r w:rsidR="00FB5947">
        <w:t xml:space="preserve"> shorter form qualifications or microcredentials that build on what they have learned</w:t>
      </w:r>
      <w:r w:rsidR="00643FB4">
        <w:t xml:space="preserve"> to support reskilling and upskilling</w:t>
      </w:r>
      <w:r w:rsidR="00FB5947">
        <w:t xml:space="preserve">. </w:t>
      </w:r>
    </w:p>
    <w:p w14:paraId="03436C13" w14:textId="74889074" w:rsidR="00F05A27" w:rsidRPr="00F05A27" w:rsidRDefault="00F05A27" w:rsidP="00F05A27">
      <w:pPr>
        <w:rPr>
          <w:color w:val="auto"/>
        </w:rPr>
      </w:pPr>
      <w:r w:rsidRPr="660C0D7D">
        <w:rPr>
          <w:color w:val="auto"/>
        </w:rPr>
        <w:t xml:space="preserve">A </w:t>
      </w:r>
      <w:r w:rsidR="419903CF" w:rsidRPr="660C0D7D">
        <w:rPr>
          <w:color w:val="auto"/>
        </w:rPr>
        <w:t xml:space="preserve">key consideration </w:t>
      </w:r>
      <w:r w:rsidRPr="00D353D1" w:rsidDel="001B59D6">
        <w:rPr>
          <w:color w:val="auto"/>
        </w:rPr>
        <w:t xml:space="preserve">for </w:t>
      </w:r>
      <w:r w:rsidRPr="660C0D7D" w:rsidDel="001B59D6">
        <w:rPr>
          <w:color w:val="auto"/>
        </w:rPr>
        <w:t>learners</w:t>
      </w:r>
      <w:r w:rsidRPr="660C0D7D">
        <w:rPr>
          <w:color w:val="auto"/>
        </w:rPr>
        <w:t xml:space="preserve"> entering</w:t>
      </w:r>
      <w:r w:rsidR="00FB5947">
        <w:rPr>
          <w:color w:val="auto"/>
        </w:rPr>
        <w:t xml:space="preserve"> or re-entering</w:t>
      </w:r>
      <w:r w:rsidRPr="660C0D7D">
        <w:rPr>
          <w:color w:val="auto"/>
        </w:rPr>
        <w:t xml:space="preserve"> the tertiary system is </w:t>
      </w:r>
      <w:r w:rsidR="1B8042EA" w:rsidRPr="660C0D7D" w:rsidDel="001B59D6">
        <w:rPr>
          <w:color w:val="auto"/>
        </w:rPr>
        <w:t xml:space="preserve">being </w:t>
      </w:r>
      <w:r w:rsidR="7D847FF5" w:rsidRPr="00D353D1" w:rsidDel="001B59D6">
        <w:rPr>
          <w:color w:val="auto"/>
        </w:rPr>
        <w:t>able</w:t>
      </w:r>
      <w:r w:rsidR="7D847FF5" w:rsidRPr="660C0D7D" w:rsidDel="001B59D6">
        <w:rPr>
          <w:color w:val="auto"/>
        </w:rPr>
        <w:t xml:space="preserve"> to</w:t>
      </w:r>
      <w:r w:rsidRPr="660C0D7D" w:rsidDel="001B59D6">
        <w:rPr>
          <w:color w:val="auto"/>
        </w:rPr>
        <w:t xml:space="preserve"> </w:t>
      </w:r>
      <w:r w:rsidRPr="660C0D7D">
        <w:rPr>
          <w:color w:val="auto"/>
        </w:rPr>
        <w:t xml:space="preserve">access </w:t>
      </w:r>
      <w:r w:rsidR="347DFC45" w:rsidRPr="660C0D7D">
        <w:rPr>
          <w:color w:val="auto"/>
        </w:rPr>
        <w:t xml:space="preserve">holistic </w:t>
      </w:r>
      <w:r w:rsidRPr="660C0D7D">
        <w:rPr>
          <w:color w:val="auto"/>
        </w:rPr>
        <w:t xml:space="preserve">careers information that </w:t>
      </w:r>
      <w:r w:rsidR="001B59D6">
        <w:rPr>
          <w:color w:val="auto"/>
        </w:rPr>
        <w:t>presents</w:t>
      </w:r>
      <w:r w:rsidR="67717263" w:rsidRPr="660C0D7D">
        <w:rPr>
          <w:color w:val="auto"/>
        </w:rPr>
        <w:t xml:space="preserve"> a range of </w:t>
      </w:r>
      <w:r w:rsidRPr="660C0D7D">
        <w:rPr>
          <w:color w:val="auto"/>
        </w:rPr>
        <w:t xml:space="preserve">options – not just a </w:t>
      </w:r>
      <w:r w:rsidRPr="660C0D7D" w:rsidDel="001B59D6">
        <w:rPr>
          <w:color w:val="auto"/>
        </w:rPr>
        <w:t xml:space="preserve">particular </w:t>
      </w:r>
      <w:r w:rsidRPr="660C0D7D">
        <w:rPr>
          <w:color w:val="auto"/>
        </w:rPr>
        <w:t xml:space="preserve">pathway. </w:t>
      </w:r>
      <w:r w:rsidR="001B59D6">
        <w:rPr>
          <w:color w:val="auto"/>
        </w:rPr>
        <w:t xml:space="preserve">Learners may also </w:t>
      </w:r>
      <w:r w:rsidR="6B18F1D0" w:rsidRPr="005509DC">
        <w:rPr>
          <w:color w:val="auto"/>
        </w:rPr>
        <w:t xml:space="preserve">face </w:t>
      </w:r>
      <w:r w:rsidR="00D830FB">
        <w:rPr>
          <w:color w:val="auto"/>
        </w:rPr>
        <w:t>barriers to pursuing the</w:t>
      </w:r>
      <w:r w:rsidRPr="005509DC">
        <w:rPr>
          <w:color w:val="auto"/>
        </w:rPr>
        <w:t xml:space="preserve"> </w:t>
      </w:r>
      <w:r w:rsidR="00F55179" w:rsidRPr="005509DC">
        <w:rPr>
          <w:color w:val="auto"/>
        </w:rPr>
        <w:t>pathway</w:t>
      </w:r>
      <w:r w:rsidR="00F55179">
        <w:rPr>
          <w:color w:val="auto"/>
        </w:rPr>
        <w:t xml:space="preserve"> </w:t>
      </w:r>
      <w:r w:rsidR="00F55179" w:rsidRPr="005509DC" w:rsidDel="00C67977">
        <w:rPr>
          <w:color w:val="auto"/>
        </w:rPr>
        <w:t>they</w:t>
      </w:r>
      <w:r w:rsidRPr="005509DC" w:rsidDel="00C67977">
        <w:rPr>
          <w:color w:val="auto"/>
        </w:rPr>
        <w:t xml:space="preserve"> aspire to</w:t>
      </w:r>
      <w:r w:rsidR="00512B15" w:rsidDel="00C67977">
        <w:rPr>
          <w:color w:val="auto"/>
        </w:rPr>
        <w:t xml:space="preserve">. This </w:t>
      </w:r>
      <w:r w:rsidR="00512B15">
        <w:rPr>
          <w:color w:val="auto"/>
        </w:rPr>
        <w:t>includ</w:t>
      </w:r>
      <w:r w:rsidR="00512B15" w:rsidDel="00C67977">
        <w:rPr>
          <w:color w:val="auto"/>
        </w:rPr>
        <w:t>es</w:t>
      </w:r>
      <w:r w:rsidR="00512B15">
        <w:rPr>
          <w:color w:val="auto"/>
        </w:rPr>
        <w:t xml:space="preserve"> </w:t>
      </w:r>
      <w:r w:rsidR="002A55BD" w:rsidDel="00C67977">
        <w:rPr>
          <w:color w:val="auto"/>
        </w:rPr>
        <w:t>meeting</w:t>
      </w:r>
      <w:r w:rsidR="00512B15" w:rsidDel="00C67977">
        <w:rPr>
          <w:color w:val="auto"/>
        </w:rPr>
        <w:t xml:space="preserve"> </w:t>
      </w:r>
      <w:r w:rsidR="4BD0244B" w:rsidRPr="005509DC" w:rsidDel="00C67977">
        <w:rPr>
          <w:color w:val="auto"/>
        </w:rPr>
        <w:t xml:space="preserve">the necessary </w:t>
      </w:r>
      <w:r w:rsidR="4BD0244B" w:rsidRPr="005509DC">
        <w:rPr>
          <w:color w:val="auto"/>
        </w:rPr>
        <w:t>prerequisites,</w:t>
      </w:r>
      <w:r w:rsidR="00A265E5">
        <w:rPr>
          <w:color w:val="auto"/>
        </w:rPr>
        <w:t xml:space="preserve"> </w:t>
      </w:r>
      <w:r w:rsidRPr="005509DC">
        <w:rPr>
          <w:color w:val="auto"/>
        </w:rPr>
        <w:t>structural constraints, such as cost and location</w:t>
      </w:r>
      <w:r w:rsidRPr="005509DC" w:rsidDel="00DE4499">
        <w:rPr>
          <w:color w:val="auto"/>
        </w:rPr>
        <w:t xml:space="preserve"> of study</w:t>
      </w:r>
      <w:r w:rsidRPr="005509DC">
        <w:rPr>
          <w:color w:val="auto"/>
        </w:rPr>
        <w:t xml:space="preserve">, </w:t>
      </w:r>
      <w:r w:rsidR="00DE4499">
        <w:rPr>
          <w:color w:val="auto"/>
        </w:rPr>
        <w:t>or limited</w:t>
      </w:r>
      <w:r w:rsidRPr="005509DC">
        <w:rPr>
          <w:color w:val="auto"/>
        </w:rPr>
        <w:t xml:space="preserve"> understanding of how to navigate tertiary education</w:t>
      </w:r>
      <w:r w:rsidR="00525D27">
        <w:rPr>
          <w:color w:val="auto"/>
        </w:rPr>
        <w:t>. These challenges are</w:t>
      </w:r>
      <w:r w:rsidR="4AF7A5F3" w:rsidRPr="005509DC">
        <w:rPr>
          <w:color w:val="auto"/>
        </w:rPr>
        <w:t xml:space="preserve"> </w:t>
      </w:r>
      <w:r w:rsidRPr="005509DC">
        <w:rPr>
          <w:color w:val="auto"/>
        </w:rPr>
        <w:t xml:space="preserve">shaped by </w:t>
      </w:r>
      <w:r w:rsidR="00525D27">
        <w:rPr>
          <w:color w:val="auto"/>
        </w:rPr>
        <w:t xml:space="preserve">personal circumstances and </w:t>
      </w:r>
      <w:r w:rsidRPr="005509DC">
        <w:rPr>
          <w:color w:val="auto"/>
        </w:rPr>
        <w:t>the experiences of those around them.</w:t>
      </w:r>
      <w:r w:rsidRPr="660C0D7D">
        <w:rPr>
          <w:color w:val="auto"/>
        </w:rPr>
        <w:t xml:space="preserve"> </w:t>
      </w:r>
      <w:r w:rsidR="290D7388" w:rsidRPr="660C0D7D">
        <w:rPr>
          <w:color w:val="auto"/>
        </w:rPr>
        <w:t xml:space="preserve">Access </w:t>
      </w:r>
      <w:r w:rsidR="001D7C7C">
        <w:rPr>
          <w:color w:val="auto"/>
        </w:rPr>
        <w:t xml:space="preserve">to </w:t>
      </w:r>
      <w:r w:rsidR="003E179F">
        <w:rPr>
          <w:color w:val="auto"/>
        </w:rPr>
        <w:t xml:space="preserve">clear and relevant </w:t>
      </w:r>
      <w:r w:rsidR="290D7388" w:rsidRPr="660C0D7D">
        <w:rPr>
          <w:color w:val="auto"/>
        </w:rPr>
        <w:t xml:space="preserve">information </w:t>
      </w:r>
      <w:r w:rsidRPr="660C0D7D">
        <w:rPr>
          <w:color w:val="auto"/>
        </w:rPr>
        <w:t xml:space="preserve">can help learners </w:t>
      </w:r>
      <w:r w:rsidR="122867A7" w:rsidRPr="660C0D7D">
        <w:rPr>
          <w:color w:val="auto"/>
        </w:rPr>
        <w:t xml:space="preserve">choose </w:t>
      </w:r>
      <w:r w:rsidRPr="660C0D7D">
        <w:rPr>
          <w:color w:val="auto"/>
        </w:rPr>
        <w:t xml:space="preserve">the qualification that </w:t>
      </w:r>
      <w:r w:rsidRPr="660C0D7D" w:rsidDel="003E179F">
        <w:rPr>
          <w:color w:val="auto"/>
        </w:rPr>
        <w:t xml:space="preserve">best </w:t>
      </w:r>
      <w:r w:rsidRPr="660C0D7D">
        <w:rPr>
          <w:color w:val="auto"/>
        </w:rPr>
        <w:t xml:space="preserve">suits </w:t>
      </w:r>
      <w:r w:rsidR="003E179F">
        <w:rPr>
          <w:color w:val="auto"/>
        </w:rPr>
        <w:t xml:space="preserve">their aspirations, </w:t>
      </w:r>
      <w:r w:rsidRPr="660C0D7D">
        <w:rPr>
          <w:color w:val="auto"/>
        </w:rPr>
        <w:t xml:space="preserve">needs and learning preferences, </w:t>
      </w:r>
      <w:r w:rsidRPr="660C0D7D" w:rsidDel="00A044B6">
        <w:rPr>
          <w:color w:val="auto"/>
        </w:rPr>
        <w:t xml:space="preserve">and </w:t>
      </w:r>
      <w:r w:rsidRPr="660C0D7D">
        <w:rPr>
          <w:color w:val="auto"/>
        </w:rPr>
        <w:t>support</w:t>
      </w:r>
      <w:r w:rsidRPr="660C0D7D" w:rsidDel="00A044B6">
        <w:rPr>
          <w:color w:val="auto"/>
        </w:rPr>
        <w:t>s</w:t>
      </w:r>
      <w:r w:rsidRPr="660C0D7D">
        <w:rPr>
          <w:color w:val="auto"/>
        </w:rPr>
        <w:t xml:space="preserve"> them to thrive in work and life.</w:t>
      </w:r>
    </w:p>
    <w:p w14:paraId="4C95C12F" w14:textId="24782AD0" w:rsidR="00F05A27" w:rsidRPr="00F05A27" w:rsidRDefault="005772FF" w:rsidP="00B53611">
      <w:pPr>
        <w:pStyle w:val="Heading3"/>
      </w:pPr>
      <w:bookmarkStart w:id="34" w:name="_Toc229643971"/>
      <w:r>
        <w:t>Influences on</w:t>
      </w:r>
      <w:r w:rsidR="00F05A27" w:rsidRPr="660C0D7D">
        <w:t xml:space="preserve"> decision</w:t>
      </w:r>
      <w:r>
        <w:t>s</w:t>
      </w:r>
      <w:bookmarkEnd w:id="34"/>
      <w:r w:rsidR="00F05A27" w:rsidRPr="660C0D7D">
        <w:t xml:space="preserve"> </w:t>
      </w:r>
    </w:p>
    <w:p w14:paraId="04F1D8BB" w14:textId="6A703C2B" w:rsidR="00AC0948" w:rsidRPr="00F05A27" w:rsidRDefault="00F05A27" w:rsidP="00F05A27">
      <w:r w:rsidRPr="00D353D1">
        <w:t xml:space="preserve">Young people make up a large </w:t>
      </w:r>
      <w:r w:rsidR="00137520">
        <w:t xml:space="preserve">portion of first-time </w:t>
      </w:r>
      <w:r w:rsidRPr="00D353D1">
        <w:t xml:space="preserve">tertiary </w:t>
      </w:r>
      <w:r w:rsidR="00137520">
        <w:t>entrants</w:t>
      </w:r>
      <w:r w:rsidRPr="00D353D1">
        <w:t xml:space="preserve">, with </w:t>
      </w:r>
      <w:r w:rsidR="00BE085D">
        <w:t xml:space="preserve">45% of </w:t>
      </w:r>
      <w:r w:rsidR="00F55179">
        <w:t>20–24-year-olds</w:t>
      </w:r>
      <w:r w:rsidR="00BE085D" w:rsidRPr="00D353D1">
        <w:t xml:space="preserve"> participating in tertiary education</w:t>
      </w:r>
      <w:r w:rsidR="007429CC">
        <w:t>. Participation</w:t>
      </w:r>
      <w:r w:rsidR="00BE085D">
        <w:t xml:space="preserve"> drop</w:t>
      </w:r>
      <w:r w:rsidR="007429CC">
        <w:t>s</w:t>
      </w:r>
      <w:r w:rsidR="00BE085D">
        <w:t xml:space="preserve"> to 18.0% f</w:t>
      </w:r>
      <w:r w:rsidR="007429CC">
        <w:t>or</w:t>
      </w:r>
      <w:r w:rsidR="00BE085D">
        <w:t xml:space="preserve"> </w:t>
      </w:r>
      <w:r w:rsidR="00F55179">
        <w:t>25–29-year-olds</w:t>
      </w:r>
      <w:r w:rsidR="00BE085D">
        <w:t xml:space="preserve"> and </w:t>
      </w:r>
      <w:r w:rsidR="000D616D">
        <w:t xml:space="preserve">declines </w:t>
      </w:r>
      <w:r w:rsidR="00BE085D">
        <w:t xml:space="preserve">further with age </w:t>
      </w:r>
      <w:r w:rsidRPr="00D353D1">
        <w:t xml:space="preserve">(ABS 2025). As </w:t>
      </w:r>
      <w:r w:rsidR="00F55179" w:rsidRPr="00D353D1">
        <w:t>learners</w:t>
      </w:r>
      <w:r w:rsidRPr="00D353D1">
        <w:t xml:space="preserve"> </w:t>
      </w:r>
      <w:r w:rsidR="009552C7">
        <w:t>complete</w:t>
      </w:r>
      <w:r w:rsidRPr="00D353D1">
        <w:t xml:space="preserve"> secondary school, they face decisions </w:t>
      </w:r>
      <w:r w:rsidR="009552C7">
        <w:t xml:space="preserve">about </w:t>
      </w:r>
      <w:r w:rsidRPr="00D353D1">
        <w:t xml:space="preserve">their next steps: </w:t>
      </w:r>
      <w:r w:rsidRPr="00D353D1" w:rsidDel="004A13FC">
        <w:t xml:space="preserve">undertaking </w:t>
      </w:r>
      <w:r w:rsidRPr="00D353D1">
        <w:t xml:space="preserve">higher education or VET or going straight into work. These decisions are influenced by </w:t>
      </w:r>
      <w:r w:rsidRPr="00D353D1" w:rsidDel="004A13FC">
        <w:t xml:space="preserve">their </w:t>
      </w:r>
      <w:r w:rsidRPr="00D353D1">
        <w:t>parents, friends and teachers (Shergold et al. 2020), as well as cultural preferences for higher education (</w:t>
      </w:r>
      <w:r w:rsidR="00951F5A">
        <w:t>Parliament of Australia</w:t>
      </w:r>
      <w:r w:rsidRPr="00D353D1">
        <w:t xml:space="preserve"> 2024). Young people</w:t>
      </w:r>
      <w:r w:rsidR="00D01399">
        <w:t xml:space="preserve"> </w:t>
      </w:r>
      <w:r w:rsidRPr="00D353D1" w:rsidDel="00D01399">
        <w:t xml:space="preserve">can experience </w:t>
      </w:r>
      <w:r w:rsidRPr="00D353D1">
        <w:t xml:space="preserve">pressure </w:t>
      </w:r>
      <w:r w:rsidR="3E1125EC" w:rsidRPr="00D353D1">
        <w:t xml:space="preserve">to </w:t>
      </w:r>
      <w:r w:rsidRPr="00D353D1">
        <w:t>mak</w:t>
      </w:r>
      <w:r w:rsidR="6D9827C7" w:rsidRPr="00D353D1">
        <w:t>e</w:t>
      </w:r>
      <w:r w:rsidR="006A7627" w:rsidRPr="00D353D1">
        <w:t xml:space="preserve"> </w:t>
      </w:r>
      <w:r w:rsidRPr="00D353D1" w:rsidDel="00D01399">
        <w:t xml:space="preserve">decisions </w:t>
      </w:r>
      <w:r w:rsidR="0B7EADAD" w:rsidRPr="00D353D1" w:rsidDel="00D01399">
        <w:t xml:space="preserve">often </w:t>
      </w:r>
      <w:r w:rsidRPr="00D353D1">
        <w:t xml:space="preserve">perceived </w:t>
      </w:r>
      <w:r w:rsidRPr="00D353D1" w:rsidDel="00D01399">
        <w:t>to be</w:t>
      </w:r>
      <w:r w:rsidRPr="00D353D1">
        <w:t xml:space="preserve"> life-defining</w:t>
      </w:r>
      <w:r w:rsidRPr="00D353D1" w:rsidDel="00527293">
        <w:t xml:space="preserve"> at the time</w:t>
      </w:r>
      <w:r w:rsidRPr="00D353D1">
        <w:t xml:space="preserve"> (Moir 2024</w:t>
      </w:r>
      <w:r w:rsidR="00C30C39" w:rsidRPr="00D353D1">
        <w:t>)</w:t>
      </w:r>
      <w:r w:rsidR="00527293">
        <w:t>,</w:t>
      </w:r>
      <w:r w:rsidRPr="00D353D1">
        <w:t xml:space="preserve"> </w:t>
      </w:r>
      <w:r w:rsidR="0A43F963" w:rsidRPr="00D353D1">
        <w:t xml:space="preserve">based on </w:t>
      </w:r>
      <w:r w:rsidR="481BFAD7" w:rsidRPr="00D353D1">
        <w:t>the</w:t>
      </w:r>
      <w:r w:rsidRPr="00D353D1">
        <w:t xml:space="preserve"> assumption that </w:t>
      </w:r>
      <w:r w:rsidRPr="00D353D1" w:rsidDel="00527293">
        <w:t xml:space="preserve">they will take </w:t>
      </w:r>
      <w:r w:rsidRPr="00D353D1">
        <w:t xml:space="preserve">a linear </w:t>
      </w:r>
      <w:r w:rsidR="00527293" w:rsidRPr="00D353D1">
        <w:t xml:space="preserve">post-school </w:t>
      </w:r>
      <w:r w:rsidR="00CE20F4">
        <w:t xml:space="preserve">pathway, </w:t>
      </w:r>
      <w:r w:rsidR="00E83A85">
        <w:t>despite this not reflecting most learners’ experiences</w:t>
      </w:r>
      <w:r w:rsidRPr="00D353D1">
        <w:t xml:space="preserve"> (Shergold et al. 2020). This suggests </w:t>
      </w:r>
      <w:r w:rsidR="00E83A85">
        <w:t xml:space="preserve">many young people </w:t>
      </w:r>
      <w:r w:rsidRPr="00D353D1">
        <w:t xml:space="preserve">have a limited understanding </w:t>
      </w:r>
      <w:r w:rsidR="004838EF">
        <w:t>of the</w:t>
      </w:r>
      <w:r w:rsidRPr="00D353D1">
        <w:t xml:space="preserve"> alternative pathways available to them.</w:t>
      </w:r>
    </w:p>
    <w:p w14:paraId="546D5253" w14:textId="10A076AE" w:rsidR="00F05A27" w:rsidRPr="00F05A27" w:rsidRDefault="43614A22" w:rsidP="00F05A27">
      <w:r>
        <w:t>M</w:t>
      </w:r>
      <w:r w:rsidR="00F05A27">
        <w:t xml:space="preserve">any older learners </w:t>
      </w:r>
      <w:r w:rsidR="14F6BFD1">
        <w:t xml:space="preserve">also face </w:t>
      </w:r>
      <w:r w:rsidR="00772C77">
        <w:t xml:space="preserve">complex </w:t>
      </w:r>
      <w:r w:rsidR="14F6BFD1">
        <w:t>decision</w:t>
      </w:r>
      <w:r w:rsidR="3AEA8840">
        <w:t>s</w:t>
      </w:r>
      <w:r w:rsidR="14F6BFD1">
        <w:t xml:space="preserve"> </w:t>
      </w:r>
      <w:r w:rsidR="3E9F5B67">
        <w:t xml:space="preserve">when </w:t>
      </w:r>
      <w:r w:rsidR="00F05A27">
        <w:t xml:space="preserve">looking to enter or re-enter the </w:t>
      </w:r>
      <w:r w:rsidR="6AD95275">
        <w:t xml:space="preserve">tertiary </w:t>
      </w:r>
      <w:r w:rsidR="00F05A27">
        <w:t xml:space="preserve">system to build their skills or </w:t>
      </w:r>
      <w:r w:rsidR="2252A565">
        <w:t xml:space="preserve">prepare for </w:t>
      </w:r>
      <w:r w:rsidR="00876946">
        <w:t xml:space="preserve">a career </w:t>
      </w:r>
      <w:r w:rsidR="00F05A27">
        <w:t>change. While the</w:t>
      </w:r>
      <w:r w:rsidR="06D2F120">
        <w:t>re is a wealth of research related to</w:t>
      </w:r>
      <w:r w:rsidR="00F05A27">
        <w:t xml:space="preserve"> </w:t>
      </w:r>
      <w:r w:rsidR="0300B427">
        <w:t xml:space="preserve">the </w:t>
      </w:r>
      <w:r w:rsidR="00F05A27">
        <w:t xml:space="preserve">decision-making </w:t>
      </w:r>
      <w:r w:rsidR="00D037B0">
        <w:t xml:space="preserve">processes of </w:t>
      </w:r>
      <w:r w:rsidR="00F05A27">
        <w:t>young people</w:t>
      </w:r>
      <w:r w:rsidR="0F5AF4D6">
        <w:t xml:space="preserve">, </w:t>
      </w:r>
      <w:r w:rsidR="00F05A27">
        <w:t xml:space="preserve">less </w:t>
      </w:r>
      <w:r w:rsidR="00D037B0">
        <w:t xml:space="preserve">is known </w:t>
      </w:r>
      <w:r w:rsidR="001B7733">
        <w:t>about the choices made by adults</w:t>
      </w:r>
      <w:r w:rsidR="00F05A27">
        <w:t xml:space="preserve"> later in life. Mature-aged learners </w:t>
      </w:r>
      <w:r w:rsidR="00AF7EA3">
        <w:t xml:space="preserve">often </w:t>
      </w:r>
      <w:r w:rsidR="00F05A27">
        <w:t>have different priorities</w:t>
      </w:r>
      <w:r w:rsidR="0331A7E6">
        <w:t>,</w:t>
      </w:r>
      <w:r w:rsidDel="00F05A27">
        <w:t xml:space="preserve"> </w:t>
      </w:r>
      <w:r w:rsidR="00F05A27">
        <w:t>with flexibility around work and car</w:t>
      </w:r>
      <w:r w:rsidR="007C436B">
        <w:t>ing</w:t>
      </w:r>
      <w:r w:rsidR="00F05A27">
        <w:t xml:space="preserve"> responsibilities </w:t>
      </w:r>
      <w:r w:rsidR="007C436B">
        <w:t>particularly important</w:t>
      </w:r>
      <w:r w:rsidR="568F2CD1">
        <w:t xml:space="preserve"> </w:t>
      </w:r>
      <w:r w:rsidR="00F05A27">
        <w:t xml:space="preserve">(OECD 2022). </w:t>
      </w:r>
      <w:r w:rsidR="003A3507">
        <w:t>F</w:t>
      </w:r>
      <w:r w:rsidR="00141FC9">
        <w:t xml:space="preserve">indings from the </w:t>
      </w:r>
      <w:r w:rsidR="00945992">
        <w:t xml:space="preserve">Household, Income and Labour Dynamics in Australia </w:t>
      </w:r>
      <w:r w:rsidR="00141FC9">
        <w:t xml:space="preserve">(HILDA) </w:t>
      </w:r>
      <w:r w:rsidR="00945992">
        <w:t>survey from 2007</w:t>
      </w:r>
      <w:r w:rsidR="003A3507">
        <w:t>-</w:t>
      </w:r>
      <w:r w:rsidR="00945992">
        <w:t xml:space="preserve">2017, </w:t>
      </w:r>
      <w:r w:rsidR="004D7FA9">
        <w:t xml:space="preserve">show that </w:t>
      </w:r>
      <w:r w:rsidR="0033552B">
        <w:t>m</w:t>
      </w:r>
      <w:r w:rsidR="65870263">
        <w:t>any</w:t>
      </w:r>
      <w:r w:rsidR="00F05A27">
        <w:t xml:space="preserve"> mid-career adults undertaking training are motivated by improving their current employment conditions (for 28% of those surveyed), compared </w:t>
      </w:r>
      <w:r w:rsidR="00D02E1D">
        <w:t>with only</w:t>
      </w:r>
      <w:r w:rsidR="00F05A27">
        <w:t xml:space="preserve"> 5% of respondents training for a job they may </w:t>
      </w:r>
      <w:r w:rsidR="00123A92">
        <w:t>pursue</w:t>
      </w:r>
      <w:r w:rsidR="00F05A27">
        <w:t xml:space="preserve"> in the future (OECD 2022)</w:t>
      </w:r>
      <w:r w:rsidR="00F223A7">
        <w:t>.</w:t>
      </w:r>
      <w:r w:rsidR="00F2523E">
        <w:t xml:space="preserve"> M</w:t>
      </w:r>
      <w:r w:rsidR="00F05A27">
        <w:t>any mature</w:t>
      </w:r>
      <w:r w:rsidR="00123A92">
        <w:t>-</w:t>
      </w:r>
      <w:r w:rsidR="00F05A27">
        <w:t xml:space="preserve">aged learners are </w:t>
      </w:r>
      <w:r w:rsidR="00123A92">
        <w:t xml:space="preserve">also </w:t>
      </w:r>
      <w:r w:rsidR="00F05A27">
        <w:t xml:space="preserve">first in their family to undertake higher education </w:t>
      </w:r>
      <w:r w:rsidR="009A1350">
        <w:t>and</w:t>
      </w:r>
      <w:r w:rsidR="00D243CD">
        <w:t xml:space="preserve"> </w:t>
      </w:r>
      <w:r w:rsidR="00123A92">
        <w:t>may</w:t>
      </w:r>
      <w:r w:rsidR="5107714F">
        <w:t xml:space="preserve"> be </w:t>
      </w:r>
      <w:r w:rsidR="00F05A27">
        <w:t xml:space="preserve">motivated </w:t>
      </w:r>
      <w:r w:rsidR="009E4A44">
        <w:t xml:space="preserve">to study </w:t>
      </w:r>
      <w:r w:rsidR="3533B96B">
        <w:t xml:space="preserve">by </w:t>
      </w:r>
      <w:r w:rsidR="00F05A27">
        <w:t>different reasons</w:t>
      </w:r>
      <w:r w:rsidR="00D243CD">
        <w:t xml:space="preserve"> to other mid-career adults</w:t>
      </w:r>
      <w:r w:rsidR="00F05A27">
        <w:t xml:space="preserve">, including financial, career or personal interests; having </w:t>
      </w:r>
      <w:r w:rsidR="00173F59">
        <w:t>greater</w:t>
      </w:r>
      <w:r w:rsidR="00F05A27">
        <w:t xml:space="preserve"> time and space to study at this stage in life; and making up for missed opportunities in the past (Chapin, Fabris and Oraison 2024). </w:t>
      </w:r>
    </w:p>
    <w:p w14:paraId="00FC25E7" w14:textId="3B127902" w:rsidR="00F05A27" w:rsidRDefault="00F05A27" w:rsidP="00AC7E45">
      <w:pPr>
        <w:keepLines/>
      </w:pPr>
      <w:r>
        <w:t xml:space="preserve">Adult migrants may </w:t>
      </w:r>
      <w:r w:rsidR="00936AE3">
        <w:t xml:space="preserve">encounter </w:t>
      </w:r>
      <w:r>
        <w:t xml:space="preserve">similar </w:t>
      </w:r>
      <w:r w:rsidR="00936AE3">
        <w:t xml:space="preserve">challenges when </w:t>
      </w:r>
      <w:r>
        <w:t>enter</w:t>
      </w:r>
      <w:r w:rsidR="00936AE3">
        <w:t>ing</w:t>
      </w:r>
      <w:r>
        <w:t xml:space="preserve"> the Australian tertiary system</w:t>
      </w:r>
      <w:r w:rsidR="00936AE3">
        <w:t xml:space="preserve">. While </w:t>
      </w:r>
      <w:r>
        <w:t xml:space="preserve">many migrants hold international qualifications – and </w:t>
      </w:r>
      <w:r w:rsidR="00936AE3">
        <w:t xml:space="preserve">some arrive with </w:t>
      </w:r>
      <w:r>
        <w:t>skilled migrant visa</w:t>
      </w:r>
      <w:r w:rsidR="00936AE3">
        <w:t>s –</w:t>
      </w:r>
      <w:r>
        <w:t xml:space="preserve"> they</w:t>
      </w:r>
      <w:r w:rsidR="00936AE3">
        <w:t xml:space="preserve"> </w:t>
      </w:r>
      <w:r>
        <w:t xml:space="preserve">can face difficulties post-migration in securing work based on their international qualifications and experience </w:t>
      </w:r>
      <w:r w:rsidR="007F29CA">
        <w:t xml:space="preserve">and securing employment at a commensurate level </w:t>
      </w:r>
      <w:r>
        <w:t xml:space="preserve">(Tan and Cebulla 2023). </w:t>
      </w:r>
      <w:r w:rsidR="007F29CA">
        <w:t xml:space="preserve">As a result, </w:t>
      </w:r>
      <w:r w:rsidR="00B74DDD">
        <w:t xml:space="preserve">around one-third of </w:t>
      </w:r>
      <w:r>
        <w:t xml:space="preserve">migrants </w:t>
      </w:r>
      <w:r w:rsidR="007F29CA">
        <w:t xml:space="preserve">undertake </w:t>
      </w:r>
      <w:r>
        <w:t xml:space="preserve">additional qualifications, </w:t>
      </w:r>
      <w:r w:rsidR="007F29CA">
        <w:t>often</w:t>
      </w:r>
      <w:r>
        <w:t xml:space="preserve"> at a lower qualification level than </w:t>
      </w:r>
      <w:r w:rsidR="007F29CA">
        <w:t>their previous study</w:t>
      </w:r>
      <w:r>
        <w:t xml:space="preserve"> (Tan and Cebulla 2023). </w:t>
      </w:r>
    </w:p>
    <w:p w14:paraId="4E0205AF" w14:textId="3073F078" w:rsidR="00146647" w:rsidRPr="00F05A27" w:rsidRDefault="00146647" w:rsidP="00B53611">
      <w:pPr>
        <w:pStyle w:val="Heading3"/>
      </w:pPr>
      <w:bookmarkStart w:id="35" w:name="_Toc229643972"/>
      <w:r>
        <w:t>Finding the ‘right’ pathway</w:t>
      </w:r>
      <w:bookmarkEnd w:id="35"/>
    </w:p>
    <w:p w14:paraId="6F4F3DC8" w14:textId="54DF8974" w:rsidR="00146647" w:rsidRPr="002F74DC" w:rsidRDefault="00146647" w:rsidP="002F74DC">
      <w:r>
        <w:t xml:space="preserve">For all learners, </w:t>
      </w:r>
      <w:r w:rsidRPr="00D353D1">
        <w:t>choosing</w:t>
      </w:r>
      <w:r>
        <w:t xml:space="preserve"> the course that is ‘right’ </w:t>
      </w:r>
      <w:r w:rsidR="004F5843">
        <w:t xml:space="preserve">for them </w:t>
      </w:r>
      <w:r>
        <w:t xml:space="preserve">is important </w:t>
      </w:r>
      <w:r w:rsidR="00FB36C3">
        <w:t>to avoid unnecessary</w:t>
      </w:r>
      <w:r>
        <w:t xml:space="preserve"> financial </w:t>
      </w:r>
      <w:r w:rsidRPr="00D353D1">
        <w:t>burden</w:t>
      </w:r>
      <w:r w:rsidR="00FB36C3">
        <w:t xml:space="preserve"> –</w:t>
      </w:r>
      <w:r>
        <w:t xml:space="preserve"> particularly for courses started but not completed </w:t>
      </w:r>
      <w:r w:rsidR="00FB36C3">
        <w:t xml:space="preserve">– </w:t>
      </w:r>
      <w:r>
        <w:t xml:space="preserve">and to ensure they </w:t>
      </w:r>
      <w:r w:rsidR="00FB36C3">
        <w:t xml:space="preserve">do not </w:t>
      </w:r>
      <w:r w:rsidRPr="00D353D1">
        <w:t>spend</w:t>
      </w:r>
      <w:r>
        <w:t xml:space="preserve"> more time studying than necessary to achieve their aspiration</w:t>
      </w:r>
      <w:r w:rsidR="00FB36C3">
        <w:t>s</w:t>
      </w:r>
      <w:r w:rsidR="00262C89">
        <w:t xml:space="preserve">. </w:t>
      </w:r>
      <w:r w:rsidR="00DB6A0C">
        <w:t>N</w:t>
      </w:r>
      <w:r>
        <w:t>on-completers</w:t>
      </w:r>
      <w:r w:rsidR="003C46CF">
        <w:t xml:space="preserve"> do</w:t>
      </w:r>
      <w:r>
        <w:t xml:space="preserve"> still experience benefits from study, </w:t>
      </w:r>
      <w:r w:rsidR="00FB36C3">
        <w:t xml:space="preserve">including improved </w:t>
      </w:r>
      <w:r>
        <w:t xml:space="preserve">employment outcomes, </w:t>
      </w:r>
      <w:r w:rsidR="003C46CF">
        <w:t xml:space="preserve">however </w:t>
      </w:r>
      <w:r>
        <w:t xml:space="preserve">qualification completers </w:t>
      </w:r>
      <w:r w:rsidR="00FB36C3">
        <w:t xml:space="preserve">gain </w:t>
      </w:r>
      <w:r>
        <w:t xml:space="preserve">greater benefits </w:t>
      </w:r>
      <w:r w:rsidR="00FB36C3">
        <w:t xml:space="preserve">overall </w:t>
      </w:r>
      <w:r>
        <w:t xml:space="preserve">(Norton and Cherastidtham 2018). </w:t>
      </w:r>
      <w:r w:rsidR="00A76CAE">
        <w:t>W</w:t>
      </w:r>
      <w:r w:rsidR="00550825">
        <w:t xml:space="preserve">hile </w:t>
      </w:r>
      <w:r>
        <w:t>many higher education non-completers</w:t>
      </w:r>
      <w:r w:rsidR="00A76CAE">
        <w:t xml:space="preserve"> </w:t>
      </w:r>
      <w:r>
        <w:t xml:space="preserve">have student loan debts below $10,000, </w:t>
      </w:r>
      <w:r w:rsidR="00205DA1">
        <w:t xml:space="preserve">those </w:t>
      </w:r>
      <w:r>
        <w:t xml:space="preserve">who exit after </w:t>
      </w:r>
      <w:r w:rsidR="00205DA1">
        <w:t xml:space="preserve">several </w:t>
      </w:r>
      <w:r>
        <w:t xml:space="preserve">years of study can </w:t>
      </w:r>
      <w:r w:rsidR="00205DA1">
        <w:t xml:space="preserve">hold </w:t>
      </w:r>
      <w:r>
        <w:t xml:space="preserve">much </w:t>
      </w:r>
      <w:r w:rsidR="00397A06">
        <w:t xml:space="preserve">larger </w:t>
      </w:r>
      <w:r>
        <w:t>debts</w:t>
      </w:r>
      <w:r w:rsidR="00397A06">
        <w:t>,</w:t>
      </w:r>
      <w:r w:rsidDel="00397A06">
        <w:t xml:space="preserve"> </w:t>
      </w:r>
      <w:r>
        <w:t>with 8% owing an estimated $30,000 or more (Norton and Cherastidtham 2018</w:t>
      </w:r>
      <w:r w:rsidRPr="00D353D1">
        <w:t>).</w:t>
      </w:r>
      <w:r w:rsidR="00DB6A0C">
        <w:t xml:space="preserve"> In the VET sector</w:t>
      </w:r>
      <w:r w:rsidR="007E7349">
        <w:t>, partia</w:t>
      </w:r>
      <w:r w:rsidR="00577528">
        <w:t xml:space="preserve">l </w:t>
      </w:r>
      <w:r w:rsidR="007E7349">
        <w:t>completers</w:t>
      </w:r>
      <w:r w:rsidR="00577528">
        <w:rPr>
          <w:lang w:val="en-GB"/>
        </w:rPr>
        <w:t xml:space="preserve"> also</w:t>
      </w:r>
      <w:r w:rsidR="007E7349" w:rsidRPr="007E7349">
        <w:rPr>
          <w:lang w:val="en-GB"/>
        </w:rPr>
        <w:t xml:space="preserve"> demonstrate positive income and employment outcomes</w:t>
      </w:r>
      <w:r w:rsidR="00111C48">
        <w:rPr>
          <w:lang w:val="en-GB"/>
        </w:rPr>
        <w:t xml:space="preserve">: </w:t>
      </w:r>
      <w:r w:rsidR="002B024F">
        <w:rPr>
          <w:lang w:val="en-GB"/>
        </w:rPr>
        <w:t>a</w:t>
      </w:r>
      <w:r w:rsidR="00FC1250">
        <w:t xml:space="preserve"> median income uplift of $7,000 and median employee income of $44,000</w:t>
      </w:r>
      <w:r w:rsidR="002B024F">
        <w:t xml:space="preserve"> in the year </w:t>
      </w:r>
      <w:r w:rsidR="000C1765">
        <w:t>after study</w:t>
      </w:r>
      <w:r w:rsidR="004E5C30">
        <w:t xml:space="preserve"> (JSA 2025f)</w:t>
      </w:r>
      <w:r w:rsidR="00607EB7">
        <w:rPr>
          <w:lang w:val="en-GB"/>
        </w:rPr>
        <w:t>. T</w:t>
      </w:r>
      <w:r w:rsidR="00FC1250" w:rsidRPr="007E7349">
        <w:rPr>
          <w:lang w:val="en-GB"/>
        </w:rPr>
        <w:t xml:space="preserve">hese outcomes are smaller </w:t>
      </w:r>
      <w:r w:rsidR="00C932FE">
        <w:rPr>
          <w:lang w:val="en-GB"/>
        </w:rPr>
        <w:t>than those of</w:t>
      </w:r>
      <w:r w:rsidR="00FC1250" w:rsidRPr="007E7349">
        <w:rPr>
          <w:lang w:val="en-GB"/>
        </w:rPr>
        <w:t xml:space="preserve"> full qualification </w:t>
      </w:r>
      <w:r w:rsidR="00C932FE">
        <w:rPr>
          <w:lang w:val="en-GB"/>
        </w:rPr>
        <w:t>completers</w:t>
      </w:r>
      <w:r w:rsidR="00FC1250">
        <w:rPr>
          <w:lang w:val="en-GB"/>
        </w:rPr>
        <w:t xml:space="preserve"> </w:t>
      </w:r>
      <w:r w:rsidR="00FC1250">
        <w:t xml:space="preserve">(JSA 2025f). </w:t>
      </w:r>
      <w:r w:rsidR="00B54400">
        <w:t>Although m</w:t>
      </w:r>
      <w:r>
        <w:t>any non-completers</w:t>
      </w:r>
      <w:r w:rsidDel="00B54400">
        <w:t xml:space="preserve"> </w:t>
      </w:r>
      <w:r>
        <w:t xml:space="preserve">go on to further </w:t>
      </w:r>
      <w:r w:rsidR="00B54400">
        <w:t>study</w:t>
      </w:r>
      <w:r w:rsidDel="00B54400">
        <w:t xml:space="preserve"> and</w:t>
      </w:r>
      <w:r>
        <w:t xml:space="preserve"> report benefits from </w:t>
      </w:r>
      <w:r w:rsidR="00B37C8B">
        <w:t xml:space="preserve">their initial </w:t>
      </w:r>
      <w:r>
        <w:t>study (Cunningham</w:t>
      </w:r>
      <w:r w:rsidR="007D65BB">
        <w:t>e</w:t>
      </w:r>
      <w:r>
        <w:t xml:space="preserve"> and Pitman 2020)</w:t>
      </w:r>
      <w:r w:rsidR="006F6E1F">
        <w:t>,</w:t>
      </w:r>
      <w:r>
        <w:t xml:space="preserve"> better up</w:t>
      </w:r>
      <w:r w:rsidRPr="00D353D1">
        <w:t>-</w:t>
      </w:r>
      <w:r>
        <w:t xml:space="preserve">front information </w:t>
      </w:r>
      <w:r w:rsidR="006F6E1F">
        <w:t xml:space="preserve">would </w:t>
      </w:r>
      <w:r w:rsidR="009978B1">
        <w:t xml:space="preserve">help </w:t>
      </w:r>
      <w:r>
        <w:t xml:space="preserve">learners </w:t>
      </w:r>
      <w:r w:rsidR="003164AC">
        <w:t>choose the pathway that best</w:t>
      </w:r>
      <w:r w:rsidR="00B0468C">
        <w:t xml:space="preserve"> suits</w:t>
      </w:r>
      <w:r w:rsidDel="00B0468C">
        <w:t xml:space="preserve"> </w:t>
      </w:r>
      <w:r>
        <w:t xml:space="preserve">them and reduce the </w:t>
      </w:r>
      <w:r w:rsidR="00B0468C">
        <w:t xml:space="preserve">likelihood of switching </w:t>
      </w:r>
      <w:r>
        <w:t xml:space="preserve">between qualifications </w:t>
      </w:r>
      <w:r w:rsidR="00567A06">
        <w:t>and/</w:t>
      </w:r>
      <w:r w:rsidR="00B0468C">
        <w:t>or</w:t>
      </w:r>
      <w:r>
        <w:t xml:space="preserve"> providers. </w:t>
      </w:r>
    </w:p>
    <w:p w14:paraId="7B1C1A96" w14:textId="77777777" w:rsidR="00F05A27" w:rsidRPr="00F05A27" w:rsidRDefault="00F05A27" w:rsidP="000C160A">
      <w:pPr>
        <w:pStyle w:val="Heading4"/>
      </w:pPr>
      <w:r w:rsidRPr="00F05A27">
        <w:t xml:space="preserve">Engagement with each sector is variable </w:t>
      </w:r>
    </w:p>
    <w:p w14:paraId="73299D67" w14:textId="5B27BCDD" w:rsidR="00A90C33" w:rsidRPr="00F05A27" w:rsidRDefault="007F7EDE" w:rsidP="00A90C33">
      <w:r w:rsidRPr="0D1ABB2F">
        <w:t>Learner</w:t>
      </w:r>
      <w:r w:rsidR="008F5023">
        <w:t xml:space="preserve"> engagement with </w:t>
      </w:r>
      <w:r w:rsidRPr="00F05A27">
        <w:t xml:space="preserve">universities, through open days and other </w:t>
      </w:r>
      <w:r w:rsidR="002A4612">
        <w:t>channels</w:t>
      </w:r>
      <w:r w:rsidRPr="00F05A27">
        <w:t xml:space="preserve">, is much </w:t>
      </w:r>
      <w:r w:rsidR="002A4612">
        <w:t xml:space="preserve">higher </w:t>
      </w:r>
      <w:r w:rsidRPr="00F05A27">
        <w:t>than with TAFEs or RTOs</w:t>
      </w:r>
      <w:r w:rsidRPr="00D353D1">
        <w:t>.</w:t>
      </w:r>
      <w:r w:rsidRPr="00F05A27">
        <w:t xml:space="preserve"> </w:t>
      </w:r>
      <w:r w:rsidR="00A90C33" w:rsidRPr="00F05A27">
        <w:t xml:space="preserve">Around 60% of young people </w:t>
      </w:r>
      <w:r w:rsidR="00A90C33" w:rsidRPr="00D353D1">
        <w:t>enter</w:t>
      </w:r>
      <w:r w:rsidR="00A90C33" w:rsidRPr="00F05A27">
        <w:t xml:space="preserve"> university by </w:t>
      </w:r>
      <w:r w:rsidR="00A90C33" w:rsidRPr="00F05A27" w:rsidDel="004A04E0">
        <w:t xml:space="preserve">the </w:t>
      </w:r>
      <w:r w:rsidR="00A90C33" w:rsidRPr="00F05A27">
        <w:t xml:space="preserve">age </w:t>
      </w:r>
      <w:r w:rsidR="00A90C33" w:rsidRPr="00F05A27" w:rsidDel="004A04E0">
        <w:t xml:space="preserve">of </w:t>
      </w:r>
      <w:r w:rsidR="00A90C33" w:rsidRPr="00F05A27">
        <w:t>22 (JSA 2025</w:t>
      </w:r>
      <w:r w:rsidR="00A90C33">
        <w:t xml:space="preserve">b). </w:t>
      </w:r>
      <w:r w:rsidR="00A90C33" w:rsidRPr="00C82CFE">
        <w:t>Research</w:t>
      </w:r>
      <w:r w:rsidR="00A90C33" w:rsidRPr="00F05A27">
        <w:t xml:space="preserve"> from the OECD </w:t>
      </w:r>
      <w:r w:rsidR="00B708E4">
        <w:t xml:space="preserve">shows </w:t>
      </w:r>
      <w:r w:rsidR="00A90C33" w:rsidRPr="00F05A27">
        <w:t xml:space="preserve">that most young learners expect to work in professional </w:t>
      </w:r>
      <w:r w:rsidR="00E93A10">
        <w:t>occupations</w:t>
      </w:r>
      <w:r w:rsidR="00A90C33" w:rsidRPr="00F05A27">
        <w:t xml:space="preserve">, which tend to be </w:t>
      </w:r>
      <w:r w:rsidR="00E93A10">
        <w:t xml:space="preserve">aligned with </w:t>
      </w:r>
      <w:r w:rsidR="00A90C33" w:rsidRPr="00F05A27">
        <w:t>higher education pathways (OECD 2025).</w:t>
      </w:r>
      <w:r w:rsidR="00447ABC" w:rsidRPr="00447ABC">
        <w:t xml:space="preserve"> </w:t>
      </w:r>
      <w:r w:rsidR="00447ABC">
        <w:t>S</w:t>
      </w:r>
      <w:r w:rsidR="00447ABC" w:rsidRPr="00F05A27">
        <w:t xml:space="preserve">tudents who </w:t>
      </w:r>
      <w:r w:rsidR="00447ABC">
        <w:t xml:space="preserve">express </w:t>
      </w:r>
      <w:r w:rsidR="00447ABC" w:rsidRPr="00F05A27">
        <w:t>interest in VET</w:t>
      </w:r>
      <w:r w:rsidR="00447ABC">
        <w:t>-related</w:t>
      </w:r>
      <w:r w:rsidR="00447ABC" w:rsidRPr="00F05A27">
        <w:t xml:space="preserve"> occupations </w:t>
      </w:r>
      <w:r w:rsidR="00447ABC">
        <w:t>often</w:t>
      </w:r>
      <w:r w:rsidR="00447ABC" w:rsidRPr="00F05A27">
        <w:t xml:space="preserve"> cite </w:t>
      </w:r>
      <w:r w:rsidR="00447ABC">
        <w:t>direct</w:t>
      </w:r>
      <w:r w:rsidR="00447ABC" w:rsidRPr="00F05A27" w:rsidDel="002C39F3">
        <w:t xml:space="preserve"> </w:t>
      </w:r>
      <w:r w:rsidR="00447ABC" w:rsidRPr="00F05A27">
        <w:t xml:space="preserve">exposure </w:t>
      </w:r>
      <w:r w:rsidR="00447ABC">
        <w:t xml:space="preserve">or personal experience as influencing their decision </w:t>
      </w:r>
      <w:r w:rsidR="00447ABC" w:rsidRPr="00F05A27">
        <w:t>–</w:t>
      </w:r>
      <w:r w:rsidR="00447ABC" w:rsidRPr="00F05A27" w:rsidDel="0049725F">
        <w:t xml:space="preserve"> </w:t>
      </w:r>
      <w:r w:rsidR="00447ABC" w:rsidRPr="00F05A27">
        <w:t xml:space="preserve">something </w:t>
      </w:r>
      <w:r w:rsidR="00447ABC">
        <w:t xml:space="preserve">not commonly reported by </w:t>
      </w:r>
      <w:r w:rsidR="00447ABC" w:rsidRPr="00F05A27">
        <w:t>those interested in higher education (Hargreaves and Osborne 2017). Despite aspir</w:t>
      </w:r>
      <w:r w:rsidR="00447ABC">
        <w:t>ing</w:t>
      </w:r>
      <w:r w:rsidR="00447ABC" w:rsidRPr="00F05A27">
        <w:t xml:space="preserve"> </w:t>
      </w:r>
      <w:r w:rsidR="00447ABC">
        <w:t>to</w:t>
      </w:r>
      <w:r w:rsidR="00447ABC" w:rsidRPr="00F05A27">
        <w:t xml:space="preserve"> occupations </w:t>
      </w:r>
      <w:r w:rsidR="00447ABC">
        <w:t xml:space="preserve">requiring </w:t>
      </w:r>
      <w:r w:rsidR="00447ABC" w:rsidRPr="00F05A27">
        <w:t xml:space="preserve">VET </w:t>
      </w:r>
      <w:r w:rsidR="00447ABC">
        <w:t>qualifications</w:t>
      </w:r>
      <w:r w:rsidR="00447ABC" w:rsidRPr="00F05A27">
        <w:t xml:space="preserve">, </w:t>
      </w:r>
      <w:r w:rsidR="00447ABC">
        <w:t xml:space="preserve">many </w:t>
      </w:r>
      <w:r w:rsidR="00447ABC" w:rsidRPr="00F05A27" w:rsidDel="00312D0F">
        <w:t xml:space="preserve">learners </w:t>
      </w:r>
      <w:r w:rsidR="00447ABC" w:rsidRPr="00F05A27">
        <w:t xml:space="preserve">do not realise that </w:t>
      </w:r>
      <w:r w:rsidR="00447ABC">
        <w:t xml:space="preserve">VET </w:t>
      </w:r>
      <w:r w:rsidR="00447ABC" w:rsidRPr="00F05A27">
        <w:t>is the appropriate pathway (Hargreaves and Osborne 2017; Norton and Cherastidtham 2019; Shergold et al. 2020).</w:t>
      </w:r>
    </w:p>
    <w:p w14:paraId="46A3FD85" w14:textId="4274C673" w:rsidR="007F7EDE" w:rsidRPr="00F05A27" w:rsidRDefault="007F7EDE" w:rsidP="007F7EDE">
      <w:pPr>
        <w:keepLines/>
      </w:pPr>
      <w:r>
        <w:t xml:space="preserve">Though many school students </w:t>
      </w:r>
      <w:r w:rsidR="00EF7057">
        <w:t xml:space="preserve">participate </w:t>
      </w:r>
      <w:r>
        <w:t xml:space="preserve">in VET for secondary school students programs, accounting for around 27.8% of </w:t>
      </w:r>
      <w:r w:rsidR="008F5023">
        <w:t xml:space="preserve">the </w:t>
      </w:r>
      <w:r>
        <w:t>school population aged 15 to 19 years in Australia (NCVER 2025</w:t>
      </w:r>
      <w:r w:rsidR="00E13F4C">
        <w:t>c</w:t>
      </w:r>
      <w:r>
        <w:t>),</w:t>
      </w:r>
      <w:r w:rsidR="00DC7D96">
        <w:t xml:space="preserve"> </w:t>
      </w:r>
      <w:r>
        <w:t>only 8%</w:t>
      </w:r>
      <w:r w:rsidR="00DC7D96">
        <w:t xml:space="preserve"> </w:t>
      </w:r>
      <w:r>
        <w:t>of young people noted visiting a TAFE or private RTO to help them plan their future</w:t>
      </w:r>
      <w:r w:rsidR="00955949">
        <w:t xml:space="preserve">, </w:t>
      </w:r>
      <w:r>
        <w:t xml:space="preserve">compared </w:t>
      </w:r>
      <w:r w:rsidR="00955949">
        <w:t xml:space="preserve">with </w:t>
      </w:r>
      <w:r>
        <w:t xml:space="preserve">46% </w:t>
      </w:r>
      <w:r w:rsidR="00955949">
        <w:t xml:space="preserve">who visited </w:t>
      </w:r>
      <w:r>
        <w:t>a university (</w:t>
      </w:r>
      <w:r w:rsidR="00042F28">
        <w:t>ANU Centre for Social Research and Methods</w:t>
      </w:r>
      <w:r>
        <w:t xml:space="preserve"> 2025). </w:t>
      </w:r>
      <w:r w:rsidR="006A12A6">
        <w:t>School students have also been reported as having difficulty articulating their understanding of the VET sector and its opportunities, contributing to negative perceptions (Parliament of Australia 2024).</w:t>
      </w:r>
      <w:r w:rsidR="005F244E">
        <w:t xml:space="preserve"> </w:t>
      </w:r>
      <w:r>
        <w:t xml:space="preserve">This suggests a lack of opportunity </w:t>
      </w:r>
      <w:r w:rsidR="00CE7E3C">
        <w:t xml:space="preserve">and </w:t>
      </w:r>
      <w:r>
        <w:t xml:space="preserve">a need for greater engagement </w:t>
      </w:r>
      <w:r w:rsidR="002A3AFA">
        <w:t xml:space="preserve">and exposure to the VET sector </w:t>
      </w:r>
      <w:r>
        <w:t xml:space="preserve">from a younger age. </w:t>
      </w:r>
    </w:p>
    <w:p w14:paraId="44D280E8" w14:textId="4A3894C0" w:rsidR="004621E9" w:rsidRPr="00F05A27" w:rsidRDefault="00F36401" w:rsidP="0D1ABB2F">
      <w:r>
        <w:t xml:space="preserve">Digital information about the tertiary system is generally provided separately for the VET and higher education sectors, with Australian Government course information split across multiple websites. For example, YourCareer provides occupational and study pathway information across both sectors and allows learners to compare VET providers. CourseSeeker supports comparison of undergraduate higher education qualifications, while MicroCred Seeker covers higher education microcredentials. Providers also maintain their own course information, which learners may attempt to compare independently. </w:t>
      </w:r>
    </w:p>
    <w:p w14:paraId="305F061B" w14:textId="77777777" w:rsidR="00F05A27" w:rsidRPr="00F05A27" w:rsidRDefault="00F05A27" w:rsidP="000C160A">
      <w:pPr>
        <w:pStyle w:val="Heading4"/>
      </w:pPr>
      <w:r w:rsidRPr="00F05A27">
        <w:t xml:space="preserve">Pressure towards higher education </w:t>
      </w:r>
    </w:p>
    <w:p w14:paraId="43AE8699" w14:textId="27967E76" w:rsidR="00447ABC" w:rsidRDefault="00F05A27" w:rsidP="00F05A27">
      <w:r>
        <w:t xml:space="preserve">Learners’ aspirations </w:t>
      </w:r>
      <w:r w:rsidR="0023319B">
        <w:t>are strongly</w:t>
      </w:r>
      <w:r>
        <w:t xml:space="preserve"> shaped by those close</w:t>
      </w:r>
      <w:r w:rsidR="0023319B">
        <w:t>st</w:t>
      </w:r>
      <w:r>
        <w:t xml:space="preserve"> to them</w:t>
      </w:r>
      <w:r w:rsidR="0023319B">
        <w:t xml:space="preserve"> –</w:t>
      </w:r>
      <w:r>
        <w:t xml:space="preserve"> parents, friends</w:t>
      </w:r>
      <w:r w:rsidR="0023319B">
        <w:t>,</w:t>
      </w:r>
      <w:r>
        <w:t xml:space="preserve"> teachers </w:t>
      </w:r>
      <w:r w:rsidR="0023319B">
        <w:t>and</w:t>
      </w:r>
      <w:r>
        <w:t xml:space="preserve"> career counsellors </w:t>
      </w:r>
      <w:r w:rsidR="0023319B">
        <w:t xml:space="preserve">– who </w:t>
      </w:r>
      <w:r w:rsidR="46E074C1">
        <w:t xml:space="preserve">have significant </w:t>
      </w:r>
      <w:r w:rsidRPr="00D353D1">
        <w:t>influence</w:t>
      </w:r>
      <w:r>
        <w:t xml:space="preserve"> on post-school</w:t>
      </w:r>
      <w:r w:rsidDel="0023319B">
        <w:t xml:space="preserve"> decisions</w:t>
      </w:r>
      <w:r>
        <w:t xml:space="preserve">. However, the information these </w:t>
      </w:r>
      <w:r w:rsidDel="0023319B">
        <w:t xml:space="preserve">people </w:t>
      </w:r>
      <w:r>
        <w:t>hold often reflect</w:t>
      </w:r>
      <w:r w:rsidR="0023319B">
        <w:t>s</w:t>
      </w:r>
      <w:r w:rsidDel="0023319B">
        <w:t xml:space="preserve"> </w:t>
      </w:r>
      <w:r>
        <w:t xml:space="preserve">their own </w:t>
      </w:r>
      <w:r w:rsidDel="0023319B">
        <w:t xml:space="preserve">and their families’ </w:t>
      </w:r>
      <w:r>
        <w:t>experiences and cultural preferences</w:t>
      </w:r>
      <w:r w:rsidR="41F326A7">
        <w:t>,</w:t>
      </w:r>
      <w:r>
        <w:t xml:space="preserve"> which </w:t>
      </w:r>
      <w:r w:rsidR="00185D80">
        <w:t>commonly position</w:t>
      </w:r>
      <w:r w:rsidR="74A08A44">
        <w:t xml:space="preserve"> </w:t>
      </w:r>
      <w:r>
        <w:t xml:space="preserve">university as the </w:t>
      </w:r>
      <w:r w:rsidR="006D6126">
        <w:t>preferred</w:t>
      </w:r>
      <w:r>
        <w:t xml:space="preserve"> pathway. </w:t>
      </w:r>
      <w:r w:rsidR="00447ABC">
        <w:t xml:space="preserve">School guidance and career officers report lacking the resources and </w:t>
      </w:r>
      <w:r w:rsidR="00447ABC" w:rsidDel="00840DF8">
        <w:t xml:space="preserve">being ill-equipped </w:t>
      </w:r>
      <w:r w:rsidR="00447ABC">
        <w:t>to provide personalised, high-quality advice about post-school pathways aligned to a learner</w:t>
      </w:r>
      <w:r w:rsidR="008C6817">
        <w:t>’</w:t>
      </w:r>
      <w:r w:rsidR="00447ABC">
        <w:t>s interests and capacities</w:t>
      </w:r>
      <w:r w:rsidR="00447ABC" w:rsidDel="00AC53AB">
        <w:t xml:space="preserve"> </w:t>
      </w:r>
      <w:r w:rsidR="00447ABC">
        <w:t>(Billett</w:t>
      </w:r>
      <w:r w:rsidR="00A97EF7">
        <w:t xml:space="preserve"> et al.</w:t>
      </w:r>
      <w:r w:rsidR="00447ABC">
        <w:t xml:space="preserve"> 2020). Career practitioners and teachers tend to be more familiar with university pathways,</w:t>
      </w:r>
      <w:r w:rsidR="00447ABC" w:rsidDel="006F0045">
        <w:t xml:space="preserve"> </w:t>
      </w:r>
      <w:r w:rsidR="00447ABC">
        <w:t xml:space="preserve">reflecting their own </w:t>
      </w:r>
      <w:r w:rsidR="00447ABC" w:rsidRPr="00D353D1">
        <w:t xml:space="preserve">experience </w:t>
      </w:r>
      <w:r w:rsidR="00447ABC">
        <w:t xml:space="preserve">and training </w:t>
      </w:r>
      <w:r w:rsidR="00447ABC" w:rsidRPr="00D353D1">
        <w:t xml:space="preserve">(Billet et al. </w:t>
      </w:r>
      <w:r w:rsidR="00447ABC">
        <w:t>2024; Parliament of Australia 2024).</w:t>
      </w:r>
    </w:p>
    <w:p w14:paraId="487A17EB" w14:textId="7147FD95" w:rsidR="00F05A27" w:rsidRPr="00F05A27" w:rsidRDefault="53396153" w:rsidP="00F05A27">
      <w:r>
        <w:t xml:space="preserve">A </w:t>
      </w:r>
      <w:r w:rsidR="3D0C7B29" w:rsidRPr="00D353D1">
        <w:t>l</w:t>
      </w:r>
      <w:r w:rsidR="00F05A27" w:rsidRPr="00D353D1">
        <w:t>ack</w:t>
      </w:r>
      <w:r w:rsidR="00F05A27">
        <w:t xml:space="preserve"> of role</w:t>
      </w:r>
      <w:r w:rsidR="00185D80">
        <w:t xml:space="preserve"> </w:t>
      </w:r>
      <w:r w:rsidR="00F05A27">
        <w:t xml:space="preserve">models and support </w:t>
      </w:r>
      <w:r w:rsidR="463C0068" w:rsidRPr="00D353D1">
        <w:t>for</w:t>
      </w:r>
      <w:r w:rsidR="00F05A27" w:rsidRPr="00D353D1">
        <w:t xml:space="preserve"> </w:t>
      </w:r>
      <w:r w:rsidR="00F05A27">
        <w:t xml:space="preserve">engaging </w:t>
      </w:r>
      <w:r w:rsidR="00185D80">
        <w:t xml:space="preserve">in </w:t>
      </w:r>
      <w:r w:rsidR="00F05A27">
        <w:t xml:space="preserve">higher education </w:t>
      </w:r>
      <w:r w:rsidR="2A33940C" w:rsidRPr="00D353D1">
        <w:t>may</w:t>
      </w:r>
      <w:r w:rsidR="00F05A27">
        <w:t xml:space="preserve"> also limit aspiration (Jackson</w:t>
      </w:r>
      <w:r w:rsidR="00064B25">
        <w:t xml:space="preserve"> et al. </w:t>
      </w:r>
      <w:r w:rsidR="00F05A27">
        <w:t xml:space="preserve">  2023). For First Nations learners, for example, exposure to other First Nations workers in particular </w:t>
      </w:r>
      <w:r w:rsidR="00185D80">
        <w:t>occupations</w:t>
      </w:r>
      <w:r w:rsidR="00F05A27">
        <w:t xml:space="preserve"> </w:t>
      </w:r>
      <w:r w:rsidR="008D615B">
        <w:t xml:space="preserve">can </w:t>
      </w:r>
      <w:r w:rsidR="00F05A27">
        <w:t xml:space="preserve">help build aspiration </w:t>
      </w:r>
      <w:r w:rsidR="00F05A27" w:rsidDel="00185D80">
        <w:t>for the role</w:t>
      </w:r>
      <w:r w:rsidR="00F05A27">
        <w:t xml:space="preserve"> (Billet and Le 2024). </w:t>
      </w:r>
    </w:p>
    <w:p w14:paraId="0EF4719C" w14:textId="1E41372E" w:rsidR="00F05A27" w:rsidRPr="00F05A27" w:rsidRDefault="00F05A27" w:rsidP="00F05A27">
      <w:r>
        <w:t xml:space="preserve">As is </w:t>
      </w:r>
      <w:r w:rsidR="006062D5">
        <w:t xml:space="preserve">the case </w:t>
      </w:r>
      <w:r>
        <w:t xml:space="preserve">globally, young people – and their parents – are </w:t>
      </w:r>
      <w:r w:rsidR="006062D5">
        <w:t xml:space="preserve">increasingly </w:t>
      </w:r>
      <w:r>
        <w:t xml:space="preserve">privileging university </w:t>
      </w:r>
      <w:r w:rsidR="006062D5">
        <w:t xml:space="preserve">over </w:t>
      </w:r>
      <w:r>
        <w:t xml:space="preserve">other pathways, </w:t>
      </w:r>
      <w:r w:rsidR="006062D5">
        <w:t xml:space="preserve">including </w:t>
      </w:r>
      <w:r>
        <w:t>VET (Billet et al. 2024). Whil</w:t>
      </w:r>
      <w:r w:rsidR="006062D5">
        <w:t>e</w:t>
      </w:r>
      <w:r>
        <w:t xml:space="preserve"> both VET and higher education provide pathways into skilled work, university </w:t>
      </w:r>
      <w:r w:rsidR="006062D5">
        <w:t xml:space="preserve">study remains </w:t>
      </w:r>
      <w:r>
        <w:t xml:space="preserve">the </w:t>
      </w:r>
      <w:r w:rsidR="006062D5">
        <w:t xml:space="preserve">dominant </w:t>
      </w:r>
      <w:r>
        <w:t>aspiration for secondary students (</w:t>
      </w:r>
      <w:r w:rsidR="00A11231">
        <w:t>Chowdhury and Edwards 2023</w:t>
      </w:r>
      <w:r>
        <w:t xml:space="preserve">). VET </w:t>
      </w:r>
      <w:r w:rsidR="006062D5">
        <w:t xml:space="preserve">continues to be viewed </w:t>
      </w:r>
      <w:r>
        <w:t xml:space="preserve">as less prestigious than higher education, with higher education </w:t>
      </w:r>
      <w:r w:rsidR="35282613">
        <w:t xml:space="preserve">perceived to </w:t>
      </w:r>
      <w:r>
        <w:t>lead to ‘good’ jobs (Duggan 2017; Shergold et al. 2020). Th</w:t>
      </w:r>
      <w:r w:rsidR="006062D5">
        <w:t>e</w:t>
      </w:r>
      <w:r>
        <w:t xml:space="preserve"> issue of parity of esteem between the VET and higher education sectors has been the subject of a recent </w:t>
      </w:r>
      <w:r w:rsidR="686AAAB9">
        <w:t>i</w:t>
      </w:r>
      <w:r>
        <w:t>nquiry</w:t>
      </w:r>
      <w:r w:rsidR="001F1D18">
        <w:t>,</w:t>
      </w:r>
      <w:r>
        <w:t xml:space="preserve"> </w:t>
      </w:r>
      <w:r w:rsidR="0061390C">
        <w:t xml:space="preserve">which </w:t>
      </w:r>
      <w:r>
        <w:t xml:space="preserve">found that many people hold negative perceptions of VET and </w:t>
      </w:r>
      <w:r w:rsidR="00260321">
        <w:t xml:space="preserve">the </w:t>
      </w:r>
      <w:r>
        <w:t xml:space="preserve">careers </w:t>
      </w:r>
      <w:r w:rsidR="00260321">
        <w:t xml:space="preserve">it leads to, despite its importance to Australia’s skills and labour market needs </w:t>
      </w:r>
      <w:r>
        <w:t>(</w:t>
      </w:r>
      <w:r w:rsidR="00263BB5">
        <w:t xml:space="preserve">Parliament of </w:t>
      </w:r>
      <w:r w:rsidR="00CD7C8F">
        <w:t>Australia</w:t>
      </w:r>
      <w:r>
        <w:t xml:space="preserve"> 2024).</w:t>
      </w:r>
      <w:r w:rsidR="00F119A4">
        <w:t xml:space="preserve"> </w:t>
      </w:r>
    </w:p>
    <w:p w14:paraId="28150BE5" w14:textId="71D8250D" w:rsidR="00EA4F9A" w:rsidRPr="00D353D1" w:rsidRDefault="5A987232" w:rsidP="009E44D9">
      <w:pPr>
        <w:keepLines/>
      </w:pPr>
      <w:r>
        <w:t xml:space="preserve">For some cohorts, </w:t>
      </w:r>
      <w:r w:rsidR="00E5129B">
        <w:t>particularly those from</w:t>
      </w:r>
      <w:r w:rsidR="00F05A27">
        <w:t xml:space="preserve"> middle- and high-socioeconomic </w:t>
      </w:r>
      <w:r w:rsidR="00E5129B">
        <w:t xml:space="preserve">backgrounds </w:t>
      </w:r>
      <w:r w:rsidR="00BD1E76">
        <w:t>or</w:t>
      </w:r>
      <w:r w:rsidR="00F05A27">
        <w:t xml:space="preserve"> with parents </w:t>
      </w:r>
      <w:r w:rsidR="00BD1E76">
        <w:t>who hold</w:t>
      </w:r>
      <w:r w:rsidR="00F05A27">
        <w:t xml:space="preserve"> higher education qualifications</w:t>
      </w:r>
      <w:r w:rsidR="00BD1E76">
        <w:t xml:space="preserve">, university is seen as an expectation rather than </w:t>
      </w:r>
      <w:r w:rsidR="00277173">
        <w:t>one option among many (Billett et al. 2024)</w:t>
      </w:r>
      <w:r w:rsidR="79998700">
        <w:t xml:space="preserve">. </w:t>
      </w:r>
      <w:r w:rsidR="008E21CA">
        <w:t>T</w:t>
      </w:r>
      <w:r w:rsidR="79998700">
        <w:t>hese learners</w:t>
      </w:r>
      <w:r w:rsidR="008E21CA">
        <w:t xml:space="preserve"> tend to</w:t>
      </w:r>
      <w:r w:rsidR="00F05A27">
        <w:t xml:space="preserve"> focus</w:t>
      </w:r>
      <w:r w:rsidR="008E21CA">
        <w:t xml:space="preserve"> their post-school decisions</w:t>
      </w:r>
      <w:r w:rsidR="00F05A27">
        <w:t xml:space="preserve"> on </w:t>
      </w:r>
      <w:r w:rsidR="5A2638D1" w:rsidRPr="00D353D1">
        <w:t>the</w:t>
      </w:r>
      <w:r w:rsidR="00F05A27">
        <w:t xml:space="preserve"> </w:t>
      </w:r>
      <w:r w:rsidR="008E21CA">
        <w:t xml:space="preserve">choice of </w:t>
      </w:r>
      <w:r w:rsidR="00F05A27">
        <w:t xml:space="preserve">higher education provider and field of </w:t>
      </w:r>
      <w:r w:rsidR="00F05A27" w:rsidDel="008E21CA">
        <w:t>education</w:t>
      </w:r>
      <w:r w:rsidR="00F05A27">
        <w:t xml:space="preserve">, rather than considering </w:t>
      </w:r>
      <w:r w:rsidR="00E62111">
        <w:t xml:space="preserve">VET as a viable alternative </w:t>
      </w:r>
      <w:r w:rsidR="00F05A27">
        <w:t>(Chapin</w:t>
      </w:r>
      <w:r w:rsidR="00E87FC3">
        <w:t xml:space="preserve"> et al.</w:t>
      </w:r>
      <w:r w:rsidR="00F05A27">
        <w:t xml:space="preserve"> 2024). </w:t>
      </w:r>
      <w:r w:rsidR="00E62111">
        <w:t>U</w:t>
      </w:r>
      <w:r w:rsidR="00F05A27">
        <w:t xml:space="preserve">niversity is also </w:t>
      </w:r>
      <w:r w:rsidR="00E62111">
        <w:t xml:space="preserve">sometimes viewed </w:t>
      </w:r>
      <w:r w:rsidR="00F05A27">
        <w:t xml:space="preserve">as </w:t>
      </w:r>
      <w:r w:rsidR="05228AF5">
        <w:t xml:space="preserve">a </w:t>
      </w:r>
      <w:r w:rsidR="00F05A27">
        <w:t xml:space="preserve">‘parent pleasing’ way to </w:t>
      </w:r>
      <w:r w:rsidR="00F05A27" w:rsidDel="001877F9">
        <w:t xml:space="preserve">experiment with the course, </w:t>
      </w:r>
      <w:r w:rsidR="001877F9">
        <w:t>while delaying</w:t>
      </w:r>
      <w:r w:rsidR="00F05A27" w:rsidDel="007C131B">
        <w:t xml:space="preserve"> </w:t>
      </w:r>
      <w:r w:rsidR="00F05A27">
        <w:t>a more ‘serious choice’ (Norton and Cherastidtham 2019). There is also a cultural dimension</w:t>
      </w:r>
      <w:r w:rsidR="00F05A27" w:rsidDel="00113213">
        <w:t xml:space="preserve">, </w:t>
      </w:r>
      <w:r w:rsidR="00F05A27">
        <w:t xml:space="preserve">with students from culturally and linguistically diverse backgrounds </w:t>
      </w:r>
      <w:r w:rsidR="00113213">
        <w:t>rep</w:t>
      </w:r>
      <w:r w:rsidR="00E57618">
        <w:t xml:space="preserve">orting </w:t>
      </w:r>
      <w:r w:rsidR="00F05A27">
        <w:t xml:space="preserve">greater </w:t>
      </w:r>
      <w:r w:rsidR="00E57618">
        <w:t xml:space="preserve">parental </w:t>
      </w:r>
      <w:r w:rsidR="00F05A27">
        <w:t xml:space="preserve">expectations </w:t>
      </w:r>
      <w:r w:rsidR="2F750793">
        <w:t xml:space="preserve">to </w:t>
      </w:r>
      <w:r w:rsidR="4B827C21" w:rsidRPr="00D353D1">
        <w:t>pursue</w:t>
      </w:r>
      <w:r w:rsidR="00F05A27">
        <w:t xml:space="preserve"> university pathways (Parliament of Australia 2024).</w:t>
      </w:r>
    </w:p>
    <w:p w14:paraId="305C51AC" w14:textId="59A97CC7" w:rsidR="00A550CB" w:rsidRPr="00D353D1" w:rsidRDefault="00A550CB" w:rsidP="000C160A">
      <w:pPr>
        <w:pStyle w:val="Heading4"/>
      </w:pPr>
      <w:r w:rsidRPr="00D353D1">
        <w:t>Mismatches between what learners aspire to and access, and skills needs</w:t>
      </w:r>
    </w:p>
    <w:p w14:paraId="60B5F6D8" w14:textId="0C126188" w:rsidR="00A550CB" w:rsidRPr="00F05A27" w:rsidRDefault="00A550CB" w:rsidP="00A550CB">
      <w:r>
        <w:t xml:space="preserve">Beyond supporting tertiary attainment, </w:t>
      </w:r>
      <w:r w:rsidRPr="00D353D1">
        <w:t>access</w:t>
      </w:r>
      <w:r>
        <w:t xml:space="preserve"> to information for learners can help with meeting skills needs. A key challenge is that aspirations for higher education is </w:t>
      </w:r>
      <w:r w:rsidR="00E1692F">
        <w:t>d</w:t>
      </w:r>
      <w:r>
        <w:t>isproportionately high relative to the projected professional jobs that will be available to them</w:t>
      </w:r>
      <w:r w:rsidR="00E1692F">
        <w:t>, particularly among young people</w:t>
      </w:r>
      <w:r>
        <w:t xml:space="preserve"> (Shergold et al. 2020). Aspiration for VET pathways remains comparatively low, despite current skills shortages in and projected need for VET-linked occupations (Shergold et al. 2020; JSA 202</w:t>
      </w:r>
      <w:r w:rsidR="009C21EE">
        <w:t>5a</w:t>
      </w:r>
      <w:r>
        <w:t xml:space="preserve">). </w:t>
      </w:r>
    </w:p>
    <w:p w14:paraId="644DE5C4" w14:textId="383450FC" w:rsidR="00A550CB" w:rsidRDefault="00A550CB" w:rsidP="00A550CB">
      <w:pPr>
        <w:keepLines/>
      </w:pPr>
      <w:r>
        <w:t>Employment projections suggest that there will be a growing need for tertiary-educated workers in the future, from both the VET and higher education sectors (JSA 202</w:t>
      </w:r>
      <w:r w:rsidR="009C21EE">
        <w:t>5a</w:t>
      </w:r>
      <w:r>
        <w:t>). The OECD also found that most young people expect to work in professional occupations, which typically rely on higher education pathways (OECD 2025). However, this preference does not always reflect labour market realities, where many areas of need require VET qualifications.</w:t>
      </w:r>
      <w:r w:rsidR="00E1692F" w:rsidRPr="00E1692F">
        <w:t xml:space="preserve"> </w:t>
      </w:r>
      <w:r w:rsidR="00E1692F">
        <w:t>The growth in supply of higher education qualified workers due to the higher attainment of younger workers could lead to oversupply if employment growth in skill level 1 occupations – those associated with bachelor or higher study - does not grow at the same rate (JSA 2025b).</w:t>
      </w:r>
      <w:r>
        <w:t xml:space="preserve"> </w:t>
      </w:r>
    </w:p>
    <w:p w14:paraId="188DC577" w14:textId="6CE68AA9" w:rsidR="00A34FA7" w:rsidRPr="00E225EB" w:rsidRDefault="001A65A6" w:rsidP="00E225EB">
      <w:pPr>
        <w:keepLines/>
      </w:pPr>
      <w:r>
        <w:t xml:space="preserve">The same analysis by JSA shows that it may be difficult to meet the growth in employment demand for skill level 3 or 4, in which Certificate IIIs and IVs are the primary pathway, as </w:t>
      </w:r>
      <w:r w:rsidR="0013305F">
        <w:t xml:space="preserve">current growth in these graduates is too low (JSA 2025b). </w:t>
      </w:r>
      <w:r w:rsidR="00E07F4A">
        <w:t>Skill level 3</w:t>
      </w:r>
      <w:r w:rsidR="007421AE">
        <w:t xml:space="preserve"> occupations </w:t>
      </w:r>
      <w:r w:rsidR="000E1A58">
        <w:t>have had much lower vacancy fill rates – at 54.5% in the December 2025</w:t>
      </w:r>
      <w:r w:rsidR="00517130">
        <w:t xml:space="preserve"> quarter (JSA 2026). This suggests an ongoing need to increase the supply of qualified workers at skill level 3 and 4 to help alleviate these shortages now and into the future. </w:t>
      </w:r>
      <w:r w:rsidR="00E1692F">
        <w:t>Many higher education graduates ultimately undertake vocational courses later to meet these requirements (Shergold et al. 2020).</w:t>
      </w:r>
    </w:p>
    <w:tbl>
      <w:tblPr>
        <w:tblStyle w:val="TableGrid10"/>
        <w:tblW w:w="0" w:type="auto"/>
        <w:shd w:val="clear" w:color="auto" w:fill="F6E265" w:themeFill="accent3"/>
        <w:tblLook w:val="04A0" w:firstRow="1" w:lastRow="0" w:firstColumn="1" w:lastColumn="0" w:noHBand="0" w:noVBand="1"/>
      </w:tblPr>
      <w:tblGrid>
        <w:gridCol w:w="567"/>
        <w:gridCol w:w="9072"/>
      </w:tblGrid>
      <w:tr w:rsidR="00E72E59" w14:paraId="21B1BCF2" w14:textId="77777777" w:rsidTr="5727BEA9">
        <w:trPr>
          <w:cnfStyle w:val="100000000000" w:firstRow="1" w:lastRow="0" w:firstColumn="0" w:lastColumn="0" w:oddVBand="0" w:evenVBand="0" w:oddHBand="0" w:evenHBand="0" w:firstRowFirstColumn="0" w:firstRowLastColumn="0" w:lastRowFirstColumn="0" w:lastRowLastColumn="0"/>
        </w:trPr>
        <w:tc>
          <w:tcPr>
            <w:tcW w:w="567" w:type="dxa"/>
            <w:shd w:val="clear" w:color="auto" w:fill="D0DEFF" w:themeFill="text2" w:themeFillTint="1A"/>
          </w:tcPr>
          <w:p w14:paraId="72E93595" w14:textId="74F3A524" w:rsidR="00785601" w:rsidRPr="00D571EC" w:rsidRDefault="00785601" w:rsidP="00785601">
            <w:pPr>
              <w:rPr>
                <w:rFonts w:eastAsiaTheme="minorEastAsia" w:cstheme="minorBidi"/>
                <w:b w:val="0"/>
                <w:bCs/>
                <w:color w:val="001032" w:themeColor="text2"/>
                <w:kern w:val="2"/>
                <w:sz w:val="22"/>
                <w:szCs w:val="22"/>
                <w:lang w:eastAsia="en-US"/>
                <w14:ligatures w14:val="standardContextual"/>
              </w:rPr>
            </w:pPr>
            <w:r w:rsidRPr="00D571EC">
              <w:rPr>
                <w:rFonts w:eastAsiaTheme="minorEastAsia" w:cstheme="minorBidi"/>
                <w:color w:val="001032" w:themeColor="text2"/>
                <w:kern w:val="2"/>
                <w:sz w:val="22"/>
                <w:szCs w:val="22"/>
                <w:lang w:eastAsia="en-US"/>
                <w14:ligatures w14:val="standardContextual"/>
              </w:rPr>
              <w:t>Q</w:t>
            </w:r>
            <w:r>
              <w:rPr>
                <w:rFonts w:eastAsiaTheme="minorEastAsia" w:cstheme="minorBidi"/>
                <w:color w:val="001032" w:themeColor="text2"/>
                <w:kern w:val="2"/>
                <w:sz w:val="22"/>
                <w:szCs w:val="22"/>
                <w:lang w:eastAsia="en-US"/>
                <w14:ligatures w14:val="standardContextual"/>
              </w:rPr>
              <w:t>1</w:t>
            </w:r>
          </w:p>
        </w:tc>
        <w:tc>
          <w:tcPr>
            <w:tcW w:w="9072" w:type="dxa"/>
            <w:shd w:val="clear" w:color="auto" w:fill="D0DEFF" w:themeFill="text2" w:themeFillTint="1A"/>
          </w:tcPr>
          <w:p w14:paraId="77B97B07" w14:textId="4C76CFB4" w:rsidR="00785601" w:rsidRPr="00E225EB" w:rsidRDefault="35509ED4" w:rsidP="5727BEA9">
            <w:pPr>
              <w:rPr>
                <w:rFonts w:eastAsiaTheme="minorEastAsia" w:cstheme="minorBidi"/>
                <w:color w:val="001032" w:themeColor="text2"/>
                <w:kern w:val="2"/>
                <w:sz w:val="22"/>
                <w:szCs w:val="22"/>
                <w:lang w:eastAsia="en-US"/>
                <w14:ligatures w14:val="standardContextual"/>
              </w:rPr>
            </w:pPr>
            <w:r w:rsidRPr="5727BEA9">
              <w:rPr>
                <w:rFonts w:eastAsiaTheme="minorEastAsia" w:cstheme="minorBidi"/>
                <w:color w:val="001032" w:themeColor="text2"/>
                <w:sz w:val="22"/>
                <w:szCs w:val="22"/>
                <w:lang w:eastAsia="en-US"/>
              </w:rPr>
              <w:t xml:space="preserve">What actions will be most effective for ensuring that learners are better informed of the depth and range of course offerings </w:t>
            </w:r>
            <w:r w:rsidR="00945644" w:rsidRPr="00945644">
              <w:rPr>
                <w:rFonts w:eastAsiaTheme="minorEastAsia" w:cstheme="minorBidi"/>
                <w:color w:val="001032" w:themeColor="text2"/>
                <w:sz w:val="22"/>
                <w:szCs w:val="22"/>
                <w:lang w:eastAsia="en-US"/>
              </w:rPr>
              <w:t>and occupations</w:t>
            </w:r>
            <w:r w:rsidRPr="00945644">
              <w:rPr>
                <w:rFonts w:eastAsiaTheme="minorEastAsia" w:cstheme="minorBidi"/>
                <w:color w:val="001032" w:themeColor="text2"/>
                <w:sz w:val="22"/>
                <w:szCs w:val="22"/>
                <w:lang w:eastAsia="en-US"/>
              </w:rPr>
              <w:t xml:space="preserve"> </w:t>
            </w:r>
            <w:r w:rsidRPr="5727BEA9">
              <w:rPr>
                <w:rFonts w:eastAsiaTheme="minorEastAsia" w:cstheme="minorBidi"/>
                <w:color w:val="001032" w:themeColor="text2"/>
                <w:sz w:val="22"/>
                <w:szCs w:val="22"/>
                <w:lang w:eastAsia="en-US"/>
              </w:rPr>
              <w:t xml:space="preserve">when deciding on career options and tertiary education pathways?    </w:t>
            </w:r>
          </w:p>
        </w:tc>
      </w:tr>
      <w:tr w:rsidR="00E72E59" w14:paraId="10E50037" w14:textId="77777777" w:rsidTr="5727BEA9">
        <w:tc>
          <w:tcPr>
            <w:tcW w:w="567" w:type="dxa"/>
            <w:shd w:val="clear" w:color="auto" w:fill="D0DEFF" w:themeFill="text2" w:themeFillTint="1A"/>
          </w:tcPr>
          <w:p w14:paraId="6662AB55" w14:textId="3B1B5E32" w:rsidR="00785601" w:rsidRPr="00D571EC" w:rsidRDefault="00785601" w:rsidP="00785601">
            <w:pPr>
              <w:rPr>
                <w:rFonts w:eastAsiaTheme="minorEastAsia" w:cstheme="minorBidi"/>
                <w:color w:val="001032" w:themeColor="text2"/>
                <w:kern w:val="2"/>
                <w:sz w:val="22"/>
                <w:szCs w:val="22"/>
                <w:lang w:eastAsia="en-US"/>
                <w14:ligatures w14:val="standardContextual"/>
              </w:rPr>
            </w:pPr>
            <w:r>
              <w:rPr>
                <w:rFonts w:eastAsiaTheme="minorEastAsia" w:cstheme="minorBidi"/>
                <w:b/>
                <w:color w:val="001032" w:themeColor="text2"/>
                <w:kern w:val="2"/>
                <w:sz w:val="22"/>
                <w:szCs w:val="22"/>
                <w:lang w:eastAsia="en-US"/>
                <w14:ligatures w14:val="standardContextual"/>
              </w:rPr>
              <w:t>Q2</w:t>
            </w:r>
          </w:p>
        </w:tc>
        <w:tc>
          <w:tcPr>
            <w:tcW w:w="9072" w:type="dxa"/>
            <w:shd w:val="clear" w:color="auto" w:fill="D0DEFF" w:themeFill="text2" w:themeFillTint="1A"/>
          </w:tcPr>
          <w:p w14:paraId="7253B8CA" w14:textId="7C1DDDC7" w:rsidR="00785601" w:rsidRPr="00E225EB" w:rsidRDefault="00785601" w:rsidP="4AA92295">
            <w:pPr>
              <w:rPr>
                <w:rFonts w:eastAsiaTheme="minorEastAsia" w:cstheme="minorBidi"/>
                <w:b/>
                <w:bCs/>
                <w:color w:val="001032" w:themeColor="text2"/>
                <w:kern w:val="2"/>
                <w:sz w:val="22"/>
                <w:szCs w:val="22"/>
                <w:lang w:eastAsia="en-US"/>
                <w14:ligatures w14:val="standardContextual"/>
              </w:rPr>
            </w:pPr>
            <w:r w:rsidRPr="4AA92295">
              <w:rPr>
                <w:rFonts w:eastAsiaTheme="minorEastAsia" w:cstheme="minorBidi"/>
                <w:b/>
                <w:bCs/>
                <w:color w:val="001032" w:themeColor="text2"/>
                <w:kern w:val="2"/>
                <w:sz w:val="22"/>
                <w:szCs w:val="22"/>
                <w:lang w:eastAsia="en-US"/>
                <w14:ligatures w14:val="standardContextual"/>
              </w:rPr>
              <w:t xml:space="preserve">What are the tangible actions </w:t>
            </w:r>
            <w:r w:rsidR="0EE777A7" w:rsidRPr="4AA92295">
              <w:rPr>
                <w:rFonts w:eastAsiaTheme="minorEastAsia" w:cstheme="minorBidi"/>
                <w:b/>
                <w:bCs/>
                <w:color w:val="001032" w:themeColor="text2"/>
                <w:kern w:val="2"/>
                <w:sz w:val="22"/>
                <w:szCs w:val="22"/>
                <w:lang w:eastAsia="en-US"/>
                <w14:ligatures w14:val="standardContextual"/>
              </w:rPr>
              <w:t xml:space="preserve">which </w:t>
            </w:r>
            <w:r w:rsidRPr="4AA92295">
              <w:rPr>
                <w:rFonts w:eastAsiaTheme="minorEastAsia" w:cstheme="minorBidi"/>
                <w:b/>
                <w:bCs/>
                <w:color w:val="001032" w:themeColor="text2"/>
                <w:kern w:val="2"/>
                <w:sz w:val="22"/>
                <w:szCs w:val="22"/>
                <w:lang w:eastAsia="en-US"/>
                <w14:ligatures w14:val="standardContextual"/>
              </w:rPr>
              <w:t>can be achieved through the Roadmap to support parity of esteem between the VET and higher education sectors?</w:t>
            </w:r>
          </w:p>
        </w:tc>
      </w:tr>
    </w:tbl>
    <w:p w14:paraId="5ECA5A4C" w14:textId="7011BEC4" w:rsidR="00F05A27" w:rsidRPr="00F05A27" w:rsidRDefault="00F05A27" w:rsidP="00B53611">
      <w:pPr>
        <w:pStyle w:val="Heading3"/>
      </w:pPr>
      <w:bookmarkStart w:id="36" w:name="_Toc229643973"/>
      <w:r w:rsidRPr="00F05A27">
        <w:t>Addition</w:t>
      </w:r>
      <w:r w:rsidR="00A34FA7">
        <w:t>a</w:t>
      </w:r>
      <w:r w:rsidRPr="00F05A27">
        <w:t>l barriers to accessing tertiary education</w:t>
      </w:r>
      <w:bookmarkEnd w:id="36"/>
    </w:p>
    <w:p w14:paraId="13F703D5" w14:textId="4EA035DE" w:rsidR="00F05A27" w:rsidRPr="00F05A27" w:rsidRDefault="00F05A27" w:rsidP="00F05A27">
      <w:r>
        <w:t xml:space="preserve">The ability of learners to undertake the pathway they aspire to is </w:t>
      </w:r>
      <w:r w:rsidR="10E91419">
        <w:t xml:space="preserve">often </w:t>
      </w:r>
      <w:r>
        <w:t xml:space="preserve">limited by structural constraints such as </w:t>
      </w:r>
      <w:r w:rsidR="00D322CB">
        <w:t xml:space="preserve">the </w:t>
      </w:r>
      <w:r>
        <w:t xml:space="preserve">cost and location of study, </w:t>
      </w:r>
      <w:r w:rsidR="00206F67">
        <w:t xml:space="preserve">as well as </w:t>
      </w:r>
      <w:r>
        <w:t xml:space="preserve">their cultural capital – the </w:t>
      </w:r>
      <w:r w:rsidR="00F757B7">
        <w:t>knowledge and confidence needed to</w:t>
      </w:r>
      <w:r>
        <w:t xml:space="preserve"> navigate </w:t>
      </w:r>
      <w:r w:rsidR="00F757B7">
        <w:t xml:space="preserve">the </w:t>
      </w:r>
      <w:r>
        <w:t xml:space="preserve">tertiary </w:t>
      </w:r>
      <w:r w:rsidR="00F757B7">
        <w:t>system</w:t>
      </w:r>
      <w:r w:rsidR="004469D7">
        <w:t>, which</w:t>
      </w:r>
      <w:r w:rsidR="6B39E5CA">
        <w:t xml:space="preserve"> is </w:t>
      </w:r>
      <w:r>
        <w:t>shaped by the experiences of those around them.</w:t>
      </w:r>
      <w:r w:rsidRPr="3A7ED23E">
        <w:rPr>
          <w:b/>
          <w:bCs/>
        </w:rPr>
        <w:t xml:space="preserve"> </w:t>
      </w:r>
      <w:r>
        <w:t xml:space="preserve">These constraints are </w:t>
      </w:r>
      <w:r w:rsidR="76469A3D">
        <w:t>more</w:t>
      </w:r>
      <w:r w:rsidR="00F757B7">
        <w:t xml:space="preserve"> </w:t>
      </w:r>
      <w:r w:rsidR="76469A3D">
        <w:t xml:space="preserve">prominent </w:t>
      </w:r>
      <w:r w:rsidR="5C2C1B62">
        <w:t>for</w:t>
      </w:r>
      <w:r>
        <w:t xml:space="preserve"> learners from underrepresented cohorts in tertiary education and can </w:t>
      </w:r>
      <w:r w:rsidR="02301E76">
        <w:t xml:space="preserve">impact on </w:t>
      </w:r>
      <w:r>
        <w:t>their ability to access and succeed in their study.</w:t>
      </w:r>
      <w:r w:rsidRPr="3A7ED23E">
        <w:rPr>
          <w:color w:val="F0404F" w:themeColor="accent6"/>
        </w:rPr>
        <w:t xml:space="preserve"> </w:t>
      </w:r>
      <w:r>
        <w:t xml:space="preserve"> </w:t>
      </w:r>
    </w:p>
    <w:p w14:paraId="065ABD47" w14:textId="77777777" w:rsidR="00F05A27" w:rsidRPr="00F05A27" w:rsidRDefault="00F05A27" w:rsidP="000C160A">
      <w:pPr>
        <w:pStyle w:val="Heading4"/>
      </w:pPr>
      <w:r w:rsidRPr="00F05A27">
        <w:t>Geographical constraints affect a learner’s capability to access the pathways they aspire to</w:t>
      </w:r>
    </w:p>
    <w:p w14:paraId="044BE682" w14:textId="733F7823" w:rsidR="00E9788D" w:rsidRPr="00F05A27" w:rsidRDefault="00F05A27" w:rsidP="0D1ABB2F">
      <w:r w:rsidRPr="00F05A27">
        <w:t xml:space="preserve">Learners in regional, rural and remote areas may have limited options for </w:t>
      </w:r>
      <w:r w:rsidR="00044C0D">
        <w:t>accessing</w:t>
      </w:r>
      <w:r w:rsidRPr="00F05A27">
        <w:t xml:space="preserve"> tertiary study without </w:t>
      </w:r>
      <w:r w:rsidRPr="00F05A27" w:rsidDel="00BF366F">
        <w:t xml:space="preserve">moving away from home </w:t>
      </w:r>
      <w:r w:rsidRPr="00F05A27">
        <w:t xml:space="preserve">or commuting long distances (Carlon </w:t>
      </w:r>
      <w:r w:rsidR="00263BB5">
        <w:t xml:space="preserve">et al. </w:t>
      </w:r>
      <w:r w:rsidRPr="00F05A27">
        <w:t>2025)</w:t>
      </w:r>
      <w:r w:rsidR="00BF366F">
        <w:t>. P</w:t>
      </w:r>
      <w:r w:rsidRPr="00F05A27">
        <w:t xml:space="preserve">articipation in higher education </w:t>
      </w:r>
      <w:r w:rsidR="00BF366F">
        <w:t xml:space="preserve">among regional </w:t>
      </w:r>
      <w:r w:rsidR="00B011D8">
        <w:t>residents</w:t>
      </w:r>
      <w:r w:rsidR="00DF3470">
        <w:t xml:space="preserve"> is around </w:t>
      </w:r>
      <w:r w:rsidRPr="00F05A27">
        <w:t xml:space="preserve">half </w:t>
      </w:r>
      <w:r w:rsidRPr="00F05A27" w:rsidDel="00DF3470">
        <w:t xml:space="preserve">the rate of those from </w:t>
      </w:r>
      <w:r w:rsidRPr="00F05A27">
        <w:t xml:space="preserve">metropolitan </w:t>
      </w:r>
      <w:r w:rsidRPr="00F05A27" w:rsidDel="00B011D8">
        <w:t>areas</w:t>
      </w:r>
      <w:r w:rsidR="00D01740">
        <w:t xml:space="preserve"> (</w:t>
      </w:r>
      <w:r w:rsidR="0041225B">
        <w:t>Baker et al. 2025</w:t>
      </w:r>
      <w:r w:rsidR="004A4D8B">
        <w:t>)</w:t>
      </w:r>
      <w:r w:rsidRPr="00D353D1">
        <w:t>.</w:t>
      </w:r>
      <w:r w:rsidRPr="00F05A27">
        <w:t xml:space="preserve"> </w:t>
      </w:r>
      <w:r w:rsidRPr="00F05A27" w:rsidDel="00373FF7">
        <w:t xml:space="preserve">The </w:t>
      </w:r>
      <w:r w:rsidRPr="00F05A27">
        <w:t xml:space="preserve">primary campuses </w:t>
      </w:r>
      <w:r w:rsidRPr="00F05A27" w:rsidDel="00373FF7">
        <w:t xml:space="preserve">of many universities </w:t>
      </w:r>
      <w:r w:rsidRPr="00F05A27">
        <w:t xml:space="preserve">are </w:t>
      </w:r>
      <w:r w:rsidRPr="00F05A27" w:rsidDel="00373FF7">
        <w:t xml:space="preserve">situated within the centre of </w:t>
      </w:r>
      <w:r w:rsidRPr="00F05A27">
        <w:t>major cities, w</w:t>
      </w:r>
      <w:r w:rsidR="00373FF7">
        <w:t>here living costs are high</w:t>
      </w:r>
      <w:r w:rsidR="00A92EB8">
        <w:t>,</w:t>
      </w:r>
      <w:r w:rsidRPr="00F05A27">
        <w:t xml:space="preserve"> and many people would prefer </w:t>
      </w:r>
      <w:r w:rsidR="3977C483" w:rsidRPr="00F05A27">
        <w:t xml:space="preserve">to </w:t>
      </w:r>
      <w:r w:rsidR="004732DD">
        <w:t>remain in their local communities</w:t>
      </w:r>
      <w:r w:rsidRPr="00F05A27">
        <w:t xml:space="preserve"> (Carlon et al. 2025). Studying locally</w:t>
      </w:r>
      <w:r w:rsidR="005961C7">
        <w:t xml:space="preserve"> </w:t>
      </w:r>
      <w:r w:rsidRPr="00F05A27">
        <w:t xml:space="preserve">also </w:t>
      </w:r>
      <w:r w:rsidRPr="00F05A27" w:rsidDel="005961C7">
        <w:t xml:space="preserve">supports </w:t>
      </w:r>
      <w:r w:rsidRPr="00F05A27">
        <w:t xml:space="preserve">learners </w:t>
      </w:r>
      <w:r w:rsidRPr="00F05A27" w:rsidDel="00B17E1D">
        <w:t xml:space="preserve">in navigating inequity, </w:t>
      </w:r>
      <w:r w:rsidRPr="00F05A27">
        <w:t>draw</w:t>
      </w:r>
      <w:r w:rsidRPr="00F05A27" w:rsidDel="00B17E1D">
        <w:t>ing</w:t>
      </w:r>
      <w:r w:rsidRPr="00F05A27">
        <w:t xml:space="preserve"> on </w:t>
      </w:r>
      <w:r w:rsidRPr="00F05A27" w:rsidDel="00B17E1D">
        <w:t xml:space="preserve">their </w:t>
      </w:r>
      <w:r w:rsidRPr="00F05A27">
        <w:t>networks and cultural capital</w:t>
      </w:r>
      <w:r w:rsidRPr="00F05A27" w:rsidDel="00B17E1D">
        <w:t xml:space="preserve"> to </w:t>
      </w:r>
      <w:r w:rsidR="4CDBFE87" w:rsidRPr="00D353D1" w:rsidDel="00B17E1D">
        <w:t>enable</w:t>
      </w:r>
      <w:r w:rsidDel="00B17E1D">
        <w:t xml:space="preserve"> </w:t>
      </w:r>
      <w:r w:rsidRPr="00F05A27">
        <w:t xml:space="preserve">access </w:t>
      </w:r>
      <w:r w:rsidRPr="00F05A27" w:rsidDel="00B17E1D">
        <w:t>and</w:t>
      </w:r>
      <w:r w:rsidR="39AD50A5" w:rsidRPr="00F05A27" w:rsidDel="00B17E1D">
        <w:t xml:space="preserve"> support</w:t>
      </w:r>
      <w:r w:rsidRPr="00F05A27" w:rsidDel="00B17E1D">
        <w:t xml:space="preserve"> </w:t>
      </w:r>
      <w:r w:rsidRPr="00F05A27">
        <w:t>success (Carlon et al. 2025).</w:t>
      </w:r>
      <w:r w:rsidR="009D11F7">
        <w:t xml:space="preserve"> Online learning has grown since the COVID-19 pandemic</w:t>
      </w:r>
      <w:r w:rsidR="00323A3E">
        <w:t xml:space="preserve"> and</w:t>
      </w:r>
      <w:r w:rsidR="00AB2DB4">
        <w:t xml:space="preserve"> can </w:t>
      </w:r>
      <w:r w:rsidR="00E9788D">
        <w:t xml:space="preserve">help </w:t>
      </w:r>
      <w:r w:rsidR="00AB2DB4">
        <w:t xml:space="preserve">overcome distance </w:t>
      </w:r>
      <w:r w:rsidR="00F55179">
        <w:t>barrier</w:t>
      </w:r>
      <w:r w:rsidR="00334917">
        <w:t>s,</w:t>
      </w:r>
      <w:r w:rsidR="00816F3F">
        <w:t xml:space="preserve"> though</w:t>
      </w:r>
      <w:r w:rsidR="00E9788D">
        <w:t xml:space="preserve"> many learners </w:t>
      </w:r>
      <w:r w:rsidR="00323A3E">
        <w:t xml:space="preserve">still </w:t>
      </w:r>
      <w:r w:rsidR="00E9788D">
        <w:t>prefer in-person study.</w:t>
      </w:r>
    </w:p>
    <w:p w14:paraId="7825F215" w14:textId="6620B39F" w:rsidR="003936F9" w:rsidRDefault="00F05A27" w:rsidP="00F05A27">
      <w:r w:rsidRPr="00D353D1">
        <w:t xml:space="preserve">VET providers are more geographically distributed than higher education </w:t>
      </w:r>
      <w:r w:rsidR="00E34168">
        <w:t xml:space="preserve">providers </w:t>
      </w:r>
      <w:r w:rsidRPr="00D353D1">
        <w:t xml:space="preserve">(Curtis 2011), and VET qualifications are more likely to be the highest level of attainment </w:t>
      </w:r>
      <w:r w:rsidR="0A4BDD7A" w:rsidRPr="00D353D1">
        <w:t xml:space="preserve">for </w:t>
      </w:r>
      <w:r w:rsidR="00E34168">
        <w:t xml:space="preserve">people </w:t>
      </w:r>
      <w:r w:rsidRPr="00D353D1">
        <w:t xml:space="preserve">in regional and remote areas compared </w:t>
      </w:r>
      <w:r w:rsidR="00901504">
        <w:t xml:space="preserve">with </w:t>
      </w:r>
      <w:r w:rsidRPr="00D353D1">
        <w:t>metropolitan regions (JSA 2024</w:t>
      </w:r>
      <w:r w:rsidR="009A05CE">
        <w:t>c</w:t>
      </w:r>
      <w:r w:rsidRPr="00D353D1">
        <w:t xml:space="preserve">). VET </w:t>
      </w:r>
      <w:r w:rsidR="00901504">
        <w:t xml:space="preserve">therefore plays a critical role </w:t>
      </w:r>
      <w:r w:rsidR="00D16257">
        <w:t xml:space="preserve">in regional </w:t>
      </w:r>
      <w:r w:rsidRPr="00D353D1">
        <w:t>training pathway</w:t>
      </w:r>
      <w:r w:rsidR="00D16257">
        <w:t>s</w:t>
      </w:r>
      <w:r w:rsidRPr="00D353D1" w:rsidDel="00D16257">
        <w:t xml:space="preserve"> </w:t>
      </w:r>
      <w:r w:rsidRPr="00D353D1">
        <w:t>(JSA 2024</w:t>
      </w:r>
      <w:r w:rsidR="009A05CE">
        <w:t>c</w:t>
      </w:r>
      <w:r w:rsidRPr="00D353D1">
        <w:t xml:space="preserve">). However, </w:t>
      </w:r>
      <w:r w:rsidRPr="00D353D1" w:rsidDel="00D16257">
        <w:t xml:space="preserve">the </w:t>
      </w:r>
      <w:r w:rsidRPr="00D353D1">
        <w:t xml:space="preserve">more remote </w:t>
      </w:r>
      <w:r w:rsidRPr="00D353D1" w:rsidDel="00D16257">
        <w:t xml:space="preserve">the </w:t>
      </w:r>
      <w:r w:rsidRPr="00D353D1">
        <w:t>RTO</w:t>
      </w:r>
      <w:r w:rsidRPr="00D353D1" w:rsidDel="005B694C">
        <w:t xml:space="preserve"> is, the </w:t>
      </w:r>
      <w:r w:rsidRPr="00D353D1">
        <w:t xml:space="preserve">fewer on-campus </w:t>
      </w:r>
      <w:r w:rsidRPr="00D353D1" w:rsidDel="005B694C">
        <w:t>offerings it tends to have</w:t>
      </w:r>
      <w:r w:rsidRPr="00D353D1">
        <w:t xml:space="preserve"> (JSA 2024</w:t>
      </w:r>
      <w:r w:rsidR="009A05CE">
        <w:t>c</w:t>
      </w:r>
      <w:r w:rsidRPr="00D353D1">
        <w:t xml:space="preserve">). </w:t>
      </w:r>
      <w:r w:rsidRPr="00D353D1" w:rsidDel="001C3FE9">
        <w:t xml:space="preserve">These limits are also reflected in </w:t>
      </w:r>
      <w:r w:rsidRPr="00D353D1">
        <w:t xml:space="preserve">higher education, with regional </w:t>
      </w:r>
      <w:r w:rsidRPr="00D353D1" w:rsidDel="001C3FE9">
        <w:t xml:space="preserve">higher education </w:t>
      </w:r>
      <w:r w:rsidRPr="00D353D1">
        <w:t xml:space="preserve">campuses </w:t>
      </w:r>
      <w:r w:rsidR="001C3FE9">
        <w:t>often offer</w:t>
      </w:r>
      <w:r w:rsidR="00E9318F">
        <w:t>ing</w:t>
      </w:r>
      <w:r w:rsidR="001C3FE9">
        <w:t xml:space="preserve"> a narrower </w:t>
      </w:r>
      <w:r w:rsidR="00F6303B">
        <w:t xml:space="preserve">range of qualifications, </w:t>
      </w:r>
      <w:r w:rsidRPr="00D353D1" w:rsidDel="00F6303B">
        <w:t xml:space="preserve">tending to have fewer options, </w:t>
      </w:r>
      <w:r w:rsidR="00F6303B">
        <w:t>meaning that</w:t>
      </w:r>
      <w:r w:rsidRPr="00D353D1">
        <w:t xml:space="preserve"> student choice </w:t>
      </w:r>
      <w:r w:rsidR="00F6303B">
        <w:t xml:space="preserve">is </w:t>
      </w:r>
      <w:r w:rsidRPr="00D353D1">
        <w:t>shaped by local availab</w:t>
      </w:r>
      <w:r w:rsidR="00F6303B">
        <w:t>ility</w:t>
      </w:r>
      <w:r w:rsidRPr="00D353D1">
        <w:t xml:space="preserve"> rather than preference (Carlon et al. 2025).</w:t>
      </w:r>
      <w:r w:rsidR="003936F9">
        <w:t xml:space="preserve"> </w:t>
      </w:r>
    </w:p>
    <w:p w14:paraId="65EFF7FF" w14:textId="1D5F7F71" w:rsidR="00F05A27" w:rsidRPr="00F05A27" w:rsidRDefault="003936F9" w:rsidP="00F05A27">
      <w:r>
        <w:t>Regional campuses also tend to support a more intersectional and diverse cohort – with more students who, in addition to living regionally, are First Nations learners, learners with disability, learners from culturally and linguistically diverse backgrounds or from low socio-economic status backgrounds (Carlon et al. 2025)</w:t>
      </w:r>
      <w:r w:rsidR="00BC45F6">
        <w:t>.</w:t>
      </w:r>
      <w:r w:rsidRPr="003936F9">
        <w:t xml:space="preserve"> </w:t>
      </w:r>
      <w:r>
        <w:t>Regional University Study Hubs, described in the case study below, are another way learners can be supported in regional area</w:t>
      </w:r>
      <w:r w:rsidR="00925831">
        <w:t>s</w:t>
      </w:r>
      <w:r>
        <w:t>. Mobile Training Units, a component of the Remote Training Hubs Network measure, will further support access to VET for remote First Nations communities in Central Australia (DEWR 2025c).</w:t>
      </w:r>
    </w:p>
    <w:p w14:paraId="6B1E1363" w14:textId="01B2C263" w:rsidR="009A05CE" w:rsidRDefault="009A05CE" w:rsidP="00C55EC9">
      <w:pPr>
        <w:pStyle w:val="Heading5"/>
        <w:shd w:val="clear" w:color="auto" w:fill="DBF5F2" w:themeFill="accent1" w:themeFillTint="1A"/>
      </w:pPr>
      <w:r>
        <w:t xml:space="preserve">Case study: Regional and Suburban University Study Hubs </w:t>
      </w:r>
    </w:p>
    <w:p w14:paraId="58C41259" w14:textId="7558E8A9" w:rsidR="003936F9" w:rsidRDefault="00F05A27" w:rsidP="00C55EC9">
      <w:pPr>
        <w:keepLines/>
        <w:shd w:val="clear" w:color="auto" w:fill="DBF5F2" w:themeFill="accent1" w:themeFillTint="1A"/>
      </w:pPr>
      <w:r>
        <w:t xml:space="preserve">Regional and Suburban University Study Hubs provide local centres </w:t>
      </w:r>
      <w:r w:rsidR="00D576BE">
        <w:t>that</w:t>
      </w:r>
      <w:r>
        <w:t xml:space="preserve"> support access </w:t>
      </w:r>
      <w:r w:rsidR="00D576BE">
        <w:t xml:space="preserve">to </w:t>
      </w:r>
      <w:r>
        <w:t>tertiary education</w:t>
      </w:r>
      <w:r w:rsidR="00243D60">
        <w:t xml:space="preserve"> –</w:t>
      </w:r>
      <w:r w:rsidR="00902CB2">
        <w:t xml:space="preserve"> including VET</w:t>
      </w:r>
      <w:r w:rsidR="00243D60">
        <w:t xml:space="preserve"> –</w:t>
      </w:r>
      <w:r>
        <w:t xml:space="preserve"> closer to </w:t>
      </w:r>
      <w:r w:rsidR="001702D4">
        <w:t>where they live</w:t>
      </w:r>
      <w:r w:rsidR="00243D60">
        <w:t xml:space="preserve"> </w:t>
      </w:r>
      <w:r>
        <w:t>(D</w:t>
      </w:r>
      <w:r w:rsidR="000500E4">
        <w:t>o</w:t>
      </w:r>
      <w:r>
        <w:t>E 2025</w:t>
      </w:r>
      <w:r w:rsidR="00B60E74">
        <w:t>a</w:t>
      </w:r>
      <w:r>
        <w:t>).</w:t>
      </w:r>
      <w:r w:rsidR="003F0DCC">
        <w:t xml:space="preserve"> </w:t>
      </w:r>
      <w:r>
        <w:t>For</w:t>
      </w:r>
      <w:r w:rsidR="00F579C4">
        <w:t xml:space="preserve"> </w:t>
      </w:r>
      <w:r>
        <w:t xml:space="preserve">instance, </w:t>
      </w:r>
      <w:r w:rsidR="00DC5480">
        <w:t>R</w:t>
      </w:r>
      <w:r>
        <w:t xml:space="preserve">egional University Study Hubs support more </w:t>
      </w:r>
      <w:r w:rsidR="00464012">
        <w:t xml:space="preserve">first-in-family learners </w:t>
      </w:r>
      <w:r>
        <w:t xml:space="preserve">(43%), First Nations </w:t>
      </w:r>
      <w:r w:rsidR="0066736B">
        <w:t>learners</w:t>
      </w:r>
      <w:r>
        <w:t xml:space="preserve">, </w:t>
      </w:r>
      <w:r w:rsidR="00F56D9D">
        <w:t>women</w:t>
      </w:r>
      <w:r>
        <w:t xml:space="preserve"> and those age</w:t>
      </w:r>
      <w:r w:rsidR="00F56D9D">
        <w:t>d over</w:t>
      </w:r>
      <w:r>
        <w:t xml:space="preserve"> 25 than the general tertiary population (DoE 2025</w:t>
      </w:r>
      <w:r w:rsidR="00B60E74">
        <w:t>a</w:t>
      </w:r>
      <w:r>
        <w:t>).</w:t>
      </w:r>
    </w:p>
    <w:p w14:paraId="7A0C3BAC" w14:textId="7A0A0A08" w:rsidR="00F05A27" w:rsidRPr="00F05A27" w:rsidRDefault="00F05A27" w:rsidP="000C160A">
      <w:pPr>
        <w:pStyle w:val="Heading4"/>
      </w:pPr>
      <w:r w:rsidRPr="00F05A27">
        <w:t>Financial incentives and disincentives</w:t>
      </w:r>
    </w:p>
    <w:p w14:paraId="425A2E45" w14:textId="74DBF323" w:rsidR="00F05A27" w:rsidRPr="00F05A27" w:rsidRDefault="00F05A27" w:rsidP="00F05A27">
      <w:r>
        <w:t xml:space="preserve">A further complication </w:t>
      </w:r>
      <w:r w:rsidR="00EA358F">
        <w:t>for</w:t>
      </w:r>
      <w:r>
        <w:t xml:space="preserve"> learner decision-making is the cost of study, both the upfront or long-term </w:t>
      </w:r>
      <w:r w:rsidR="00EB2790">
        <w:t xml:space="preserve">financial </w:t>
      </w:r>
      <w:r>
        <w:t xml:space="preserve">costs of the course itself and the opportunity costs </w:t>
      </w:r>
      <w:r w:rsidR="00E1176E">
        <w:t>of</w:t>
      </w:r>
      <w:r>
        <w:t xml:space="preserve"> full</w:t>
      </w:r>
      <w:r w:rsidR="00E1176E">
        <w:t>-</w:t>
      </w:r>
      <w:r>
        <w:t xml:space="preserve"> or part-time study</w:t>
      </w:r>
      <w:r w:rsidR="62AC2C78">
        <w:t xml:space="preserve"> compared </w:t>
      </w:r>
      <w:r w:rsidR="00E1176E">
        <w:t>with</w:t>
      </w:r>
      <w:r w:rsidR="62AC2C78">
        <w:t xml:space="preserve"> paid employment</w:t>
      </w:r>
      <w:r>
        <w:t xml:space="preserve">. </w:t>
      </w:r>
      <w:r w:rsidR="0085260B">
        <w:t>M</w:t>
      </w:r>
      <w:r>
        <w:t xml:space="preserve">id-career adults may also have further financial disincentives </w:t>
      </w:r>
      <w:r w:rsidR="4FE28E70" w:rsidRPr="00D353D1">
        <w:t>when</w:t>
      </w:r>
      <w:r w:rsidR="4FE28E70">
        <w:t xml:space="preserve"> considering</w:t>
      </w:r>
      <w:r>
        <w:t xml:space="preserve"> study, with the opportunity cost much greater</w:t>
      </w:r>
      <w:r w:rsidR="00DE06E6">
        <w:t>, reflective of</w:t>
      </w:r>
      <w:r>
        <w:t xml:space="preserve"> the higher income they generally have compared to young people (OECD 2022). </w:t>
      </w:r>
      <w:r w:rsidR="00C02206">
        <w:t>The differences in funding systems across VET and higher education can also create distortions between the sectors, with fees, subsidies and the availability of student loans</w:t>
      </w:r>
      <w:r w:rsidR="008F1843">
        <w:t xml:space="preserve"> inconsistent across the sectors. Greater alignment of the funding arrangements across VET and higher education could make these more consistent for learners and reduce distortions in choice associated with this.</w:t>
      </w:r>
    </w:p>
    <w:p w14:paraId="18ADDF6A" w14:textId="350B7270" w:rsidR="00F05A27" w:rsidRPr="00F05A27" w:rsidRDefault="00F05A27" w:rsidP="00F05A27">
      <w:pPr>
        <w:rPr>
          <w:color w:val="auto"/>
        </w:rPr>
      </w:pPr>
      <w:r>
        <w:t xml:space="preserve">Higher education may be more financially accessible to some learners due to the </w:t>
      </w:r>
      <w:r w:rsidR="007B4674">
        <w:t xml:space="preserve">availability of </w:t>
      </w:r>
      <w:r w:rsidR="00CE6AE2">
        <w:t xml:space="preserve">income-contingent </w:t>
      </w:r>
      <w:r>
        <w:t>loans</w:t>
      </w:r>
      <w:r w:rsidR="00CE6AE2">
        <w:t>, whereas</w:t>
      </w:r>
      <w:r>
        <w:t xml:space="preserve"> upfront costs in the VET sector </w:t>
      </w:r>
      <w:r w:rsidR="007B4A71">
        <w:t>can deter participation</w:t>
      </w:r>
      <w:r>
        <w:t xml:space="preserve"> (Norton and Cherastidtham 2019). Others may not choose higher education, even if it is their aspiration, because of the long-term financial burden of student loans. Higher education can be </w:t>
      </w:r>
      <w:r w:rsidR="0025725B">
        <w:t xml:space="preserve">perceived </w:t>
      </w:r>
      <w:r>
        <w:t>as ‘risky’, particularly for those from non-traditional background</w:t>
      </w:r>
      <w:r w:rsidR="00A83C78">
        <w:t>s</w:t>
      </w:r>
      <w:r>
        <w:t xml:space="preserve"> because of high </w:t>
      </w:r>
      <w:r w:rsidR="00A83C78">
        <w:t xml:space="preserve">course </w:t>
      </w:r>
      <w:r>
        <w:t xml:space="preserve">fees (Stahl et al. 2025). </w:t>
      </w:r>
      <w:r w:rsidRPr="00D353D1">
        <w:t>F</w:t>
      </w:r>
      <w:r w:rsidR="00D67AAC" w:rsidRPr="00D353D1">
        <w:t>ee</w:t>
      </w:r>
      <w:r w:rsidRPr="00D353D1">
        <w:t>-F</w:t>
      </w:r>
      <w:r w:rsidR="00D67AAC" w:rsidRPr="00D353D1">
        <w:t>ree</w:t>
      </w:r>
      <w:r>
        <w:t xml:space="preserve"> Uni Ready (FFUR) plays an important role in allowing learners to ‘test-out’ higher education, </w:t>
      </w:r>
      <w:r w:rsidR="00425A14">
        <w:t xml:space="preserve">with </w:t>
      </w:r>
      <w:r w:rsidR="00B175C2">
        <w:t xml:space="preserve">its predecessor, </w:t>
      </w:r>
      <w:r w:rsidR="008A4F22">
        <w:t>Enabling Programs</w:t>
      </w:r>
      <w:r w:rsidR="00B175C2">
        <w:t xml:space="preserve">, </w:t>
      </w:r>
      <w:r w:rsidR="008A4F22">
        <w:t>having been</w:t>
      </w:r>
      <w:r w:rsidR="00B175C2">
        <w:t xml:space="preserve"> found to</w:t>
      </w:r>
      <w:r w:rsidR="007E2EFB">
        <w:t xml:space="preserve"> help</w:t>
      </w:r>
      <w:r w:rsidR="00425A14">
        <w:t xml:space="preserve"> learners to </w:t>
      </w:r>
      <w:r>
        <w:t xml:space="preserve">build their confidence and academic abilities and better understand their course options, without the same financial risk as entering a qualification </w:t>
      </w:r>
      <w:r w:rsidRPr="0D1ABB2F">
        <w:rPr>
          <w:color w:val="auto"/>
        </w:rPr>
        <w:t>directly (Jarvis 2021</w:t>
      </w:r>
      <w:r w:rsidRPr="00D353D1">
        <w:rPr>
          <w:color w:val="auto"/>
        </w:rPr>
        <w:t>).</w:t>
      </w:r>
      <w:r w:rsidRPr="0D1ABB2F">
        <w:rPr>
          <w:color w:val="auto"/>
        </w:rPr>
        <w:t xml:space="preserve"> </w:t>
      </w:r>
    </w:p>
    <w:p w14:paraId="7DB3BF33" w14:textId="597C665C" w:rsidR="00AF39EA" w:rsidRPr="00D353D1" w:rsidRDefault="003936F9" w:rsidP="00AF39EA">
      <w:r>
        <w:t>In comparison</w:t>
      </w:r>
      <w:r w:rsidR="00F05A27" w:rsidRPr="00D353D1">
        <w:t>, there is more variation in fees, subsidies and loans available</w:t>
      </w:r>
      <w:r>
        <w:t xml:space="preserve"> in the VET sector</w:t>
      </w:r>
      <w:r w:rsidR="00F05A27" w:rsidRPr="00D353D1">
        <w:t xml:space="preserve">, both within and between jurisdictions. </w:t>
      </w:r>
      <w:r w:rsidR="003B1181">
        <w:t>S</w:t>
      </w:r>
      <w:r w:rsidR="00F05A27" w:rsidRPr="00D353D1">
        <w:t xml:space="preserve">ome VET </w:t>
      </w:r>
      <w:r w:rsidR="003B1181">
        <w:t>courses are</w:t>
      </w:r>
      <w:r w:rsidR="00F05A27" w:rsidRPr="00D353D1">
        <w:t xml:space="preserve"> tuition</w:t>
      </w:r>
      <w:r w:rsidR="003B1181">
        <w:t>-</w:t>
      </w:r>
      <w:r w:rsidR="00F05A27" w:rsidRPr="00D353D1">
        <w:t xml:space="preserve">free – </w:t>
      </w:r>
      <w:r w:rsidR="003B1181">
        <w:t xml:space="preserve">such as selected courses offered through </w:t>
      </w:r>
      <w:r w:rsidR="00F05A27" w:rsidRPr="00D353D1">
        <w:t xml:space="preserve">Fee-Free TAFE </w:t>
      </w:r>
      <w:r w:rsidR="00881B88">
        <w:t xml:space="preserve">in </w:t>
      </w:r>
      <w:r w:rsidR="00F05A27" w:rsidRPr="00D353D1">
        <w:t xml:space="preserve">national priority </w:t>
      </w:r>
      <w:r w:rsidR="00881B88">
        <w:t xml:space="preserve">areas </w:t>
      </w:r>
      <w:r w:rsidR="00F05A27" w:rsidRPr="00D353D1">
        <w:t>(DEWR 2025a)</w:t>
      </w:r>
      <w:r w:rsidR="006C513A">
        <w:t xml:space="preserve"> –</w:t>
      </w:r>
      <w:r w:rsidR="00F05A27" w:rsidRPr="00D353D1">
        <w:t xml:space="preserve"> and other subsidies are available depending on jurisdiction policies. </w:t>
      </w:r>
      <w:r w:rsidR="00AF39EA" w:rsidRPr="00D353D1">
        <w:t>These subsidies are generally offered to lea</w:t>
      </w:r>
      <w:r w:rsidR="004112B3" w:rsidRPr="00D353D1">
        <w:t>r</w:t>
      </w:r>
      <w:r w:rsidR="00AF39EA" w:rsidRPr="00D353D1">
        <w:t xml:space="preserve">ners from particular demographics, such as First Nations learners, young people under the age of 25, and job seekers. The nature of these subsidies being highly targeted mean that the cost of the same course at a single provider can vary significantly – with some </w:t>
      </w:r>
      <w:r w:rsidR="00543E41" w:rsidRPr="00D353D1">
        <w:t xml:space="preserve">listed </w:t>
      </w:r>
      <w:r w:rsidR="00AF39EA" w:rsidRPr="00D353D1">
        <w:t>fee</w:t>
      </w:r>
      <w:r w:rsidR="008545F8">
        <w:t>s</w:t>
      </w:r>
      <w:r w:rsidR="00AF39EA" w:rsidRPr="00D353D1">
        <w:t xml:space="preserve"> rang</w:t>
      </w:r>
      <w:r w:rsidR="008545F8">
        <w:t>ing</w:t>
      </w:r>
      <w:r w:rsidR="00AF39EA" w:rsidRPr="00D353D1">
        <w:t xml:space="preserve"> from tuition-free to thousands of dollars.</w:t>
      </w:r>
    </w:p>
    <w:p w14:paraId="6160B0E2" w14:textId="1D2B1F09" w:rsidR="00F05A27" w:rsidRPr="00F05A27" w:rsidRDefault="00F05A27" w:rsidP="00F05A27">
      <w:r w:rsidRPr="00D353D1">
        <w:t xml:space="preserve">Learners </w:t>
      </w:r>
      <w:r w:rsidR="00086B19">
        <w:t xml:space="preserve">may </w:t>
      </w:r>
      <w:r w:rsidRPr="00D353D1">
        <w:t>also access VET Student Loans for diploma</w:t>
      </w:r>
      <w:r w:rsidR="00086B19">
        <w:t>-level</w:t>
      </w:r>
      <w:r w:rsidRPr="00D353D1">
        <w:t xml:space="preserve"> and above qualifications at </w:t>
      </w:r>
      <w:r w:rsidR="00F5225E">
        <w:t xml:space="preserve">approved </w:t>
      </w:r>
      <w:r w:rsidRPr="00D353D1">
        <w:t>providers</w:t>
      </w:r>
      <w:r w:rsidR="00F975F3">
        <w:t>, making</w:t>
      </w:r>
      <w:r w:rsidRPr="00D353D1">
        <w:t xml:space="preserve"> learning more affordable in the short term (DEWR 2025b). However, these </w:t>
      </w:r>
      <w:r w:rsidR="0086337A">
        <w:t xml:space="preserve">loans and </w:t>
      </w:r>
      <w:r w:rsidRPr="00D353D1">
        <w:t>subsidies do not cover all VET qualifications</w:t>
      </w:r>
      <w:r w:rsidR="0086337A">
        <w:t>, meaning l</w:t>
      </w:r>
      <w:r w:rsidRPr="00D353D1">
        <w:t xml:space="preserve">earners who would prefer to study VET may not be able to afford upfront fees </w:t>
      </w:r>
      <w:r w:rsidR="00731664">
        <w:t xml:space="preserve">if they are not eligible for assistance </w:t>
      </w:r>
      <w:r w:rsidRPr="00D353D1">
        <w:t xml:space="preserve">(PC 2022). </w:t>
      </w:r>
      <w:r w:rsidR="007562E0" w:rsidRPr="00D353D1">
        <w:t xml:space="preserve">These </w:t>
      </w:r>
      <w:r w:rsidR="00AC17B7">
        <w:t xml:space="preserve">conditions can influence </w:t>
      </w:r>
      <w:r w:rsidR="007562E0" w:rsidRPr="00D353D1">
        <w:t>learners towards higher education, where loan</w:t>
      </w:r>
      <w:r w:rsidR="00AC17B7">
        <w:t xml:space="preserve"> arrangements </w:t>
      </w:r>
      <w:r w:rsidR="007562E0" w:rsidRPr="00D353D1">
        <w:t xml:space="preserve">are </w:t>
      </w:r>
      <w:r w:rsidR="00703C09">
        <w:t xml:space="preserve">more consistent and </w:t>
      </w:r>
      <w:r w:rsidR="007D5CE0">
        <w:t xml:space="preserve">widely available </w:t>
      </w:r>
      <w:r w:rsidR="007562E0" w:rsidRPr="00D353D1">
        <w:t xml:space="preserve">(PC 2022). </w:t>
      </w:r>
      <w:r w:rsidR="007D5CE0">
        <w:t>U</w:t>
      </w:r>
      <w:r w:rsidRPr="00D353D1">
        <w:t xml:space="preserve">ncertainty </w:t>
      </w:r>
      <w:r w:rsidR="007D5CE0">
        <w:t xml:space="preserve">about </w:t>
      </w:r>
      <w:r w:rsidRPr="00D353D1">
        <w:t xml:space="preserve">financial support in the VET sector </w:t>
      </w:r>
      <w:r w:rsidR="007D5CE0">
        <w:t xml:space="preserve">also shapes decisions </w:t>
      </w:r>
      <w:r w:rsidRPr="00D353D1">
        <w:t>(Hargreaves and Osborne 2017).</w:t>
      </w:r>
      <w:r w:rsidR="002C4630">
        <w:t xml:space="preserve"> For instance, whether they are eligible for loans, </w:t>
      </w:r>
      <w:r w:rsidR="00EE5646">
        <w:t xml:space="preserve">payment plans, or </w:t>
      </w:r>
      <w:r w:rsidR="002C4630">
        <w:t>subsidies</w:t>
      </w:r>
      <w:r w:rsidR="00EE5646">
        <w:t xml:space="preserve"> for the course they study</w:t>
      </w:r>
      <w:r w:rsidR="00587037">
        <w:t>,</w:t>
      </w:r>
      <w:r w:rsidR="00EE5646">
        <w:t xml:space="preserve"> which can change depending on provider</w:t>
      </w:r>
      <w:r w:rsidR="00587037">
        <w:t>,</w:t>
      </w:r>
      <w:r w:rsidR="00EE5646">
        <w:t xml:space="preserve"> and confusion around their eligibility for income support where it is related to study load (Brown 2017). </w:t>
      </w:r>
    </w:p>
    <w:p w14:paraId="556EC3F6" w14:textId="1242B3E8" w:rsidR="00F05A27" w:rsidRPr="00F05A27" w:rsidRDefault="00F05A27" w:rsidP="00F05A27">
      <w:r>
        <w:t xml:space="preserve">Apprenticeships and traineeships </w:t>
      </w:r>
      <w:r w:rsidR="007D5CE0">
        <w:t xml:space="preserve">are </w:t>
      </w:r>
      <w:r>
        <w:t>valued highly</w:t>
      </w:r>
      <w:r w:rsidR="007D5CE0">
        <w:t xml:space="preserve"> –</w:t>
      </w:r>
      <w:r>
        <w:t xml:space="preserve"> particularly among men from lower</w:t>
      </w:r>
      <w:r w:rsidR="0EDCD509">
        <w:t xml:space="preserve"> </w:t>
      </w:r>
      <w:r>
        <w:t>socio</w:t>
      </w:r>
      <w:r w:rsidR="6049E9E3">
        <w:t>-</w:t>
      </w:r>
      <w:r>
        <w:t>economic backgrounds</w:t>
      </w:r>
      <w:r w:rsidR="007D5CE0">
        <w:t xml:space="preserve"> –</w:t>
      </w:r>
      <w:r>
        <w:t xml:space="preserve"> because of the possibility of financial security at a younger age (Stahl et al. 2025). Employment prospects for men with vocational qualifications are </w:t>
      </w:r>
      <w:r w:rsidR="005D1940">
        <w:t>strong</w:t>
      </w:r>
      <w:r w:rsidR="008B6AA4">
        <w:t xml:space="preserve">. For example, </w:t>
      </w:r>
      <w:r>
        <w:t xml:space="preserve">the full-time employment rate for </w:t>
      </w:r>
      <w:r w:rsidR="00F55179">
        <w:t>20–24-year-olds</w:t>
      </w:r>
      <w:r w:rsidR="00AE428E">
        <w:t xml:space="preserve"> </w:t>
      </w:r>
      <w:r>
        <w:t xml:space="preserve">holding </w:t>
      </w:r>
      <w:r w:rsidR="00C65766">
        <w:t xml:space="preserve">a </w:t>
      </w:r>
      <w:r>
        <w:t xml:space="preserve">Certificate III </w:t>
      </w:r>
      <w:r w:rsidRPr="3A7ED23E">
        <w:rPr>
          <w:color w:val="auto"/>
        </w:rPr>
        <w:t xml:space="preserve">in </w:t>
      </w:r>
      <w:r w:rsidR="00B973DE">
        <w:rPr>
          <w:color w:val="auto"/>
        </w:rPr>
        <w:t xml:space="preserve">the </w:t>
      </w:r>
      <w:r w:rsidRPr="3A7ED23E">
        <w:rPr>
          <w:color w:val="auto"/>
        </w:rPr>
        <w:t>engineering</w:t>
      </w:r>
      <w:r w:rsidR="00F76D07" w:rsidRPr="3A7ED23E">
        <w:rPr>
          <w:color w:val="auto"/>
        </w:rPr>
        <w:t xml:space="preserve"> </w:t>
      </w:r>
      <w:r w:rsidR="00B973DE">
        <w:rPr>
          <w:color w:val="auto"/>
        </w:rPr>
        <w:t xml:space="preserve">field of education </w:t>
      </w:r>
      <w:r w:rsidR="00767324" w:rsidRPr="3A7ED23E">
        <w:rPr>
          <w:color w:val="auto"/>
        </w:rPr>
        <w:t>(</w:t>
      </w:r>
      <w:r w:rsidR="00F76D07" w:rsidRPr="3A7ED23E">
        <w:rPr>
          <w:color w:val="auto"/>
        </w:rPr>
        <w:t>includ</w:t>
      </w:r>
      <w:r w:rsidR="00767324" w:rsidRPr="3A7ED23E">
        <w:rPr>
          <w:color w:val="auto"/>
        </w:rPr>
        <w:t>ing</w:t>
      </w:r>
      <w:r w:rsidR="00F76D07" w:rsidRPr="3A7ED23E">
        <w:rPr>
          <w:color w:val="auto"/>
        </w:rPr>
        <w:t xml:space="preserve"> the qualification </w:t>
      </w:r>
      <w:r w:rsidR="00D07E47" w:rsidRPr="3A7ED23E">
        <w:rPr>
          <w:color w:val="auto"/>
        </w:rPr>
        <w:t xml:space="preserve">for </w:t>
      </w:r>
      <w:r w:rsidR="00F76D07" w:rsidRPr="3A7ED23E">
        <w:rPr>
          <w:color w:val="auto"/>
        </w:rPr>
        <w:t>electrician</w:t>
      </w:r>
      <w:r w:rsidR="00D07E47" w:rsidRPr="3A7ED23E">
        <w:rPr>
          <w:color w:val="auto"/>
        </w:rPr>
        <w:t>s)</w:t>
      </w:r>
      <w:r w:rsidRPr="3A7ED23E">
        <w:rPr>
          <w:color w:val="auto"/>
        </w:rPr>
        <w:t xml:space="preserve"> </w:t>
      </w:r>
      <w:r w:rsidR="00D07E47" w:rsidRPr="3A7ED23E">
        <w:rPr>
          <w:color w:val="auto"/>
        </w:rPr>
        <w:t>is</w:t>
      </w:r>
      <w:r w:rsidRPr="3A7ED23E">
        <w:rPr>
          <w:color w:val="auto"/>
        </w:rPr>
        <w:t xml:space="preserve"> 80% (Norton and Cherastidtham 2019). </w:t>
      </w:r>
      <w:r w:rsidR="692E79A3" w:rsidRPr="3A7ED23E">
        <w:rPr>
          <w:color w:val="auto"/>
        </w:rPr>
        <w:t>I</w:t>
      </w:r>
      <w:r w:rsidR="00193431" w:rsidRPr="3A7ED23E">
        <w:rPr>
          <w:color w:val="auto"/>
        </w:rPr>
        <w:t>n the year after graduation, apprentices and trainees ha</w:t>
      </w:r>
      <w:r w:rsidR="00727685" w:rsidRPr="3A7ED23E">
        <w:rPr>
          <w:color w:val="auto"/>
        </w:rPr>
        <w:t>ve</w:t>
      </w:r>
      <w:r w:rsidR="00193431" w:rsidRPr="3A7ED23E">
        <w:rPr>
          <w:color w:val="auto"/>
        </w:rPr>
        <w:t xml:space="preserve"> the highest employment rates, income uplift and median income in comparison to</w:t>
      </w:r>
      <w:r w:rsidR="00E13D12">
        <w:rPr>
          <w:color w:val="auto"/>
        </w:rPr>
        <w:t xml:space="preserve"> non-apprentice and non-trainee</w:t>
      </w:r>
      <w:r w:rsidR="00193431" w:rsidRPr="3A7ED23E">
        <w:rPr>
          <w:color w:val="auto"/>
        </w:rPr>
        <w:t xml:space="preserve"> VET graduates </w:t>
      </w:r>
      <w:r w:rsidR="006E35A7" w:rsidRPr="3A7ED23E">
        <w:rPr>
          <w:color w:val="auto"/>
        </w:rPr>
        <w:t>(JSA 2025</w:t>
      </w:r>
      <w:r w:rsidR="001A07D3" w:rsidRPr="3A7ED23E">
        <w:rPr>
          <w:color w:val="auto"/>
        </w:rPr>
        <w:t>f</w:t>
      </w:r>
      <w:r w:rsidR="00CC099F" w:rsidRPr="3A7ED23E">
        <w:rPr>
          <w:color w:val="auto"/>
        </w:rPr>
        <w:t>).</w:t>
      </w:r>
      <w:r w:rsidR="00F45FAA">
        <w:rPr>
          <w:rStyle w:val="FootnoteReference"/>
          <w:color w:val="auto"/>
        </w:rPr>
        <w:footnoteReference w:id="3"/>
      </w:r>
    </w:p>
    <w:p w14:paraId="1560A9DC" w14:textId="5089D7DD" w:rsidR="00F05A27" w:rsidRPr="00F05A27" w:rsidRDefault="00F05A27" w:rsidP="00E225EB">
      <w:pPr>
        <w:pStyle w:val="Heading4"/>
      </w:pPr>
      <w:r w:rsidRPr="00F05A27">
        <w:t>A lack of cultural and social capital can create further barriers for underrepresented learners accessing tertiary education</w:t>
      </w:r>
    </w:p>
    <w:p w14:paraId="38610935" w14:textId="5DCD7041" w:rsidR="00F05A27" w:rsidRPr="00F05A27" w:rsidRDefault="00417DE1" w:rsidP="00F05A27">
      <w:r w:rsidRPr="00250C91">
        <w:t>F</w:t>
      </w:r>
      <w:r w:rsidR="00F05A27" w:rsidRPr="00250C91">
        <w:t xml:space="preserve">inancial and geographical constraints are not the only </w:t>
      </w:r>
      <w:r w:rsidRPr="00250C91">
        <w:t xml:space="preserve">factors </w:t>
      </w:r>
      <w:r w:rsidR="00F05A27" w:rsidRPr="00250C91">
        <w:t xml:space="preserve">shaping tertiary education choices. </w:t>
      </w:r>
      <w:r w:rsidR="008A2063" w:rsidRPr="00250C91">
        <w:t>Cultural and social capital</w:t>
      </w:r>
      <w:r w:rsidR="00725386">
        <w:t>,</w:t>
      </w:r>
      <w:r w:rsidR="00E83149">
        <w:t xml:space="preserve"> </w:t>
      </w:r>
      <w:r w:rsidR="00DD55C7" w:rsidRPr="00250C91">
        <w:t>including e</w:t>
      </w:r>
      <w:r w:rsidR="00F05A27" w:rsidRPr="00250C91">
        <w:t xml:space="preserve">xposure to family </w:t>
      </w:r>
      <w:r w:rsidR="00167E5C" w:rsidRPr="00F55179">
        <w:t xml:space="preserve">members </w:t>
      </w:r>
      <w:r w:rsidR="00F05A27" w:rsidRPr="00250C91">
        <w:t xml:space="preserve">and networks </w:t>
      </w:r>
      <w:r w:rsidR="008869C3" w:rsidRPr="00F55179">
        <w:t>with experience</w:t>
      </w:r>
      <w:r w:rsidR="00F05A27" w:rsidRPr="00250C91">
        <w:t xml:space="preserve"> in tertiary education</w:t>
      </w:r>
      <w:r w:rsidR="00725386">
        <w:t xml:space="preserve">, </w:t>
      </w:r>
      <w:r w:rsidR="002D1A5F" w:rsidRPr="00250C91">
        <w:t>and access to</w:t>
      </w:r>
      <w:r w:rsidR="00517E0E" w:rsidRPr="00250C91">
        <w:t xml:space="preserve"> </w:t>
      </w:r>
      <w:r w:rsidR="00F05A27" w:rsidRPr="00250C91">
        <w:t>support structures to assist in navigating and succeeding in tertiary education are important to building confidence amongst learners.</w:t>
      </w:r>
      <w:r w:rsidR="00F05A27" w:rsidRPr="00F05A27">
        <w:t xml:space="preserve"> </w:t>
      </w:r>
    </w:p>
    <w:p w14:paraId="7DAAF723" w14:textId="49A7802B" w:rsidR="00F05A27" w:rsidRPr="00F05A27" w:rsidRDefault="00F05A27" w:rsidP="00F05A27">
      <w:pPr>
        <w:rPr>
          <w:color w:val="F0404F" w:themeColor="accent6"/>
        </w:rPr>
      </w:pPr>
      <w:r>
        <w:t xml:space="preserve">Learners from underrepresented cohorts who experience educational </w:t>
      </w:r>
      <w:r w:rsidR="00725386">
        <w:t>disadvantage, such</w:t>
      </w:r>
      <w:r>
        <w:t xml:space="preserve"> as low</w:t>
      </w:r>
      <w:r w:rsidR="00D6384C">
        <w:t>-</w:t>
      </w:r>
      <w:r>
        <w:t xml:space="preserve">SES, regional and First Nations </w:t>
      </w:r>
      <w:r w:rsidR="00DE0E87">
        <w:t>learners</w:t>
      </w:r>
      <w:r w:rsidR="00725386">
        <w:t xml:space="preserve">, </w:t>
      </w:r>
      <w:r>
        <w:t xml:space="preserve">often </w:t>
      </w:r>
      <w:r w:rsidR="00EC6C58">
        <w:t xml:space="preserve">have lower school achievement, </w:t>
      </w:r>
      <w:r>
        <w:t>which can inhibit their ATAR achievement (Jackson</w:t>
      </w:r>
      <w:r w:rsidR="0040776C">
        <w:t xml:space="preserve"> et al.</w:t>
      </w:r>
      <w:r>
        <w:t xml:space="preserve"> 2023). </w:t>
      </w:r>
      <w:r w:rsidR="00B6402E">
        <w:t>L</w:t>
      </w:r>
      <w:r w:rsidR="45BB906A" w:rsidRPr="00D353D1">
        <w:t>imited</w:t>
      </w:r>
      <w:r w:rsidDel="00F05A27">
        <w:t xml:space="preserve"> </w:t>
      </w:r>
      <w:r>
        <w:t>cultural and social capital</w:t>
      </w:r>
      <w:r w:rsidR="62AE7AED">
        <w:t xml:space="preserve"> of these cohorts </w:t>
      </w:r>
      <w:r>
        <w:t xml:space="preserve">has implications for their capacity to </w:t>
      </w:r>
      <w:r w:rsidR="5AAC8885">
        <w:t xml:space="preserve">access </w:t>
      </w:r>
      <w:r>
        <w:t>higher education</w:t>
      </w:r>
      <w:r w:rsidR="001B3F1D">
        <w:t>, as they</w:t>
      </w:r>
      <w:r>
        <w:t xml:space="preserve"> may have more limited networks to help them navigate the system and complicated admissions and enrolments </w:t>
      </w:r>
      <w:r w:rsidR="5A1F91DD">
        <w:t xml:space="preserve">processes </w:t>
      </w:r>
      <w:r>
        <w:t>(Jackson</w:t>
      </w:r>
      <w:r w:rsidR="0040776C">
        <w:t xml:space="preserve"> et al. </w:t>
      </w:r>
      <w:r>
        <w:t xml:space="preserve">2023). </w:t>
      </w:r>
      <w:r w:rsidR="00AE049B">
        <w:t>These</w:t>
      </w:r>
      <w:r>
        <w:t xml:space="preserve"> learners are more likely to begin tertiary education later in life</w:t>
      </w:r>
      <w:r w:rsidR="00B57CFC">
        <w:t xml:space="preserve"> </w:t>
      </w:r>
      <w:r>
        <w:t>as mature</w:t>
      </w:r>
      <w:r w:rsidR="00B57CFC">
        <w:t>-</w:t>
      </w:r>
      <w:r>
        <w:t>aged learners (Heagney and Benson 2017</w:t>
      </w:r>
      <w:r w:rsidRPr="00D353D1">
        <w:t>).</w:t>
      </w:r>
      <w:r>
        <w:t xml:space="preserve"> </w:t>
      </w:r>
      <w:r w:rsidRPr="0D1ABB2F">
        <w:rPr>
          <w:color w:val="auto"/>
        </w:rPr>
        <w:t>Many mature</w:t>
      </w:r>
      <w:r w:rsidR="00E54C33">
        <w:rPr>
          <w:color w:val="auto"/>
        </w:rPr>
        <w:t>-</w:t>
      </w:r>
      <w:r w:rsidRPr="0D1ABB2F">
        <w:rPr>
          <w:color w:val="auto"/>
        </w:rPr>
        <w:t xml:space="preserve">aged learners </w:t>
      </w:r>
      <w:r w:rsidR="00543B72">
        <w:rPr>
          <w:color w:val="auto"/>
        </w:rPr>
        <w:t>are</w:t>
      </w:r>
      <w:r w:rsidRPr="0D1ABB2F">
        <w:rPr>
          <w:color w:val="auto"/>
        </w:rPr>
        <w:t xml:space="preserve"> first</w:t>
      </w:r>
      <w:r w:rsidR="00543B72">
        <w:rPr>
          <w:color w:val="auto"/>
        </w:rPr>
        <w:t>-</w:t>
      </w:r>
      <w:r w:rsidRPr="0D1ABB2F">
        <w:rPr>
          <w:color w:val="auto"/>
        </w:rPr>
        <w:t>in</w:t>
      </w:r>
      <w:r w:rsidR="00543B72">
        <w:rPr>
          <w:color w:val="auto"/>
        </w:rPr>
        <w:t>-</w:t>
      </w:r>
      <w:r w:rsidRPr="0D1ABB2F">
        <w:rPr>
          <w:color w:val="auto"/>
        </w:rPr>
        <w:t xml:space="preserve">family to </w:t>
      </w:r>
      <w:r w:rsidR="00543B72">
        <w:rPr>
          <w:color w:val="auto"/>
        </w:rPr>
        <w:t>enter</w:t>
      </w:r>
      <w:r w:rsidRPr="0D1ABB2F">
        <w:rPr>
          <w:color w:val="auto"/>
        </w:rPr>
        <w:t xml:space="preserve"> higher education, having decided to take a different route </w:t>
      </w:r>
      <w:r w:rsidR="007C146B" w:rsidRPr="0D1ABB2F">
        <w:rPr>
          <w:color w:val="auto"/>
        </w:rPr>
        <w:t>post</w:t>
      </w:r>
      <w:r w:rsidR="007C146B">
        <w:rPr>
          <w:color w:val="auto"/>
        </w:rPr>
        <w:t>-</w:t>
      </w:r>
      <w:r w:rsidRPr="0D1ABB2F">
        <w:rPr>
          <w:color w:val="auto"/>
        </w:rPr>
        <w:t xml:space="preserve">school, </w:t>
      </w:r>
      <w:r w:rsidR="00954F48">
        <w:rPr>
          <w:color w:val="auto"/>
        </w:rPr>
        <w:t xml:space="preserve">often </w:t>
      </w:r>
      <w:r w:rsidRPr="0D1ABB2F">
        <w:rPr>
          <w:color w:val="auto"/>
        </w:rPr>
        <w:t xml:space="preserve">without </w:t>
      </w:r>
      <w:r w:rsidR="00954F48">
        <w:rPr>
          <w:color w:val="auto"/>
        </w:rPr>
        <w:t xml:space="preserve">parental </w:t>
      </w:r>
      <w:r w:rsidRPr="0D1ABB2F">
        <w:rPr>
          <w:color w:val="auto"/>
        </w:rPr>
        <w:t xml:space="preserve">pressure learners </w:t>
      </w:r>
      <w:r w:rsidR="00B819F4">
        <w:rPr>
          <w:color w:val="auto"/>
        </w:rPr>
        <w:t xml:space="preserve">compared to learners </w:t>
      </w:r>
      <w:r w:rsidRPr="0D1ABB2F">
        <w:rPr>
          <w:color w:val="auto"/>
        </w:rPr>
        <w:t>with university-educated parents (Chapin</w:t>
      </w:r>
      <w:r w:rsidR="00E83149">
        <w:rPr>
          <w:color w:val="auto"/>
        </w:rPr>
        <w:t xml:space="preserve"> et al.</w:t>
      </w:r>
      <w:r w:rsidRPr="0D1ABB2F">
        <w:rPr>
          <w:color w:val="auto"/>
        </w:rPr>
        <w:t xml:space="preserve"> 2024). </w:t>
      </w:r>
    </w:p>
    <w:p w14:paraId="7483F123" w14:textId="12892283" w:rsidR="004A2E87" w:rsidRDefault="00F05A27" w:rsidP="00C55EC9">
      <w:r w:rsidRPr="00D353D1">
        <w:t xml:space="preserve">Some learners may also lack confidence in their ability to undertake tertiary study, especially if they had poor experiences in school (Stokes 2024). This </w:t>
      </w:r>
      <w:r w:rsidR="00C138F8">
        <w:t xml:space="preserve">challenge may </w:t>
      </w:r>
      <w:r w:rsidRPr="00D353D1">
        <w:t xml:space="preserve">be amplified for learners with disability, who may have been exposed to a ‘culture of low expectations’ from </w:t>
      </w:r>
      <w:r w:rsidR="001120AC">
        <w:t xml:space="preserve">an early </w:t>
      </w:r>
      <w:r w:rsidRPr="00D353D1">
        <w:t>age</w:t>
      </w:r>
      <w:r w:rsidR="001120AC">
        <w:t xml:space="preserve"> – a </w:t>
      </w:r>
      <w:r w:rsidRPr="00D353D1">
        <w:t xml:space="preserve">view </w:t>
      </w:r>
      <w:r w:rsidR="00473BE6">
        <w:t>that can also shape</w:t>
      </w:r>
      <w:r w:rsidRPr="00D353D1">
        <w:t xml:space="preserve"> parents’ expectations of their children (Parliament of Victoria 2021). As such, despite having similar aspirations as other young people, learners with disability are often </w:t>
      </w:r>
      <w:r w:rsidR="00205FAF">
        <w:t>steered</w:t>
      </w:r>
      <w:r w:rsidRPr="00D353D1">
        <w:t xml:space="preserve"> into pathways </w:t>
      </w:r>
      <w:r w:rsidR="00ED485F">
        <w:t xml:space="preserve">that </w:t>
      </w:r>
      <w:r w:rsidRPr="00D353D1">
        <w:t xml:space="preserve">do not </w:t>
      </w:r>
      <w:r w:rsidR="00ED485F">
        <w:t>align with their ambitions</w:t>
      </w:r>
      <w:r w:rsidRPr="00D353D1">
        <w:t xml:space="preserve"> (Parliament of Victoria 2021). </w:t>
      </w:r>
    </w:p>
    <w:p w14:paraId="24119C4C" w14:textId="53F83401" w:rsidR="004919A3" w:rsidRDefault="00044C0A" w:rsidP="00F46173">
      <w:pPr>
        <w:rPr>
          <w:lang w:eastAsia="en-US"/>
        </w:rPr>
      </w:pPr>
      <w:r>
        <w:t>The VET sector plays an important role in adult education, supporting those who potentially missed out</w:t>
      </w:r>
      <w:r w:rsidR="00813DBC">
        <w:t xml:space="preserve"> on educational opportunities either at school or in higher education</w:t>
      </w:r>
      <w:r>
        <w:t xml:space="preserve">. For instance, through pre-vocational and pre-apprenticeship courses, or through foundation skills programs, particularly at the Certificate I and II level. More generally, the VET sector is an important pathway for education re-engagement of early school </w:t>
      </w:r>
      <w:r w:rsidR="00761C05">
        <w:t>leavers</w:t>
      </w:r>
      <w:r>
        <w:t xml:space="preserve"> – with </w:t>
      </w:r>
      <w:r w:rsidR="00EA78A6">
        <w:t>63% of early school leavers undertaking VET study by the age of 25, based on the Lon</w:t>
      </w:r>
      <w:r w:rsidR="00761C05">
        <w:t>gitudinal Survey of Australian Youth</w:t>
      </w:r>
      <w:r w:rsidR="00EA78A6">
        <w:t xml:space="preserve"> (Lim 2022). </w:t>
      </w:r>
      <w:r w:rsidR="004A2E87">
        <w:t xml:space="preserve">Certificate IVs in tertiary preparation </w:t>
      </w:r>
      <w:r w:rsidR="00961BDA">
        <w:t xml:space="preserve">are a VET </w:t>
      </w:r>
      <w:r w:rsidR="00995653">
        <w:t>offering</w:t>
      </w:r>
      <w:r w:rsidR="00961BDA">
        <w:t xml:space="preserve"> that build study skills and confidence to support learners to engage in diploma or higher VET </w:t>
      </w:r>
      <w:proofErr w:type="gramStart"/>
      <w:r w:rsidR="00961BDA">
        <w:t>qualifications, or</w:t>
      </w:r>
      <w:proofErr w:type="gramEnd"/>
      <w:r w:rsidR="00961BDA">
        <w:t xml:space="preserve"> go onto higher education study (TAFE NSW 2026; </w:t>
      </w:r>
      <w:r w:rsidR="00363FF0">
        <w:t xml:space="preserve">TAFE Queensland 2026). </w:t>
      </w:r>
      <w:r w:rsidR="00995653">
        <w:t>In the higher education sector specifically, programs such as FFUR courses – preparatory programs for higher education entry that are fee-free for students – can help learners to enter or re-enter the tertiary system.</w:t>
      </w:r>
    </w:p>
    <w:tbl>
      <w:tblPr>
        <w:tblStyle w:val="TableGrid10"/>
        <w:tblW w:w="0" w:type="auto"/>
        <w:shd w:val="clear" w:color="auto" w:fill="D0DEFF" w:themeFill="text2" w:themeFillTint="1A"/>
        <w:tblLook w:val="04A0" w:firstRow="1" w:lastRow="0" w:firstColumn="1" w:lastColumn="0" w:noHBand="0" w:noVBand="1"/>
      </w:tblPr>
      <w:tblGrid>
        <w:gridCol w:w="567"/>
        <w:gridCol w:w="9072"/>
      </w:tblGrid>
      <w:tr w:rsidR="00E72E59" w:rsidRPr="00A34FA7" w14:paraId="713C45CC" w14:textId="77777777" w:rsidTr="00E225EB">
        <w:trPr>
          <w:cnfStyle w:val="100000000000" w:firstRow="1" w:lastRow="0" w:firstColumn="0" w:lastColumn="0" w:oddVBand="0" w:evenVBand="0" w:oddHBand="0" w:evenHBand="0" w:firstRowFirstColumn="0" w:firstRowLastColumn="0" w:lastRowFirstColumn="0" w:lastRowLastColumn="0"/>
          <w:trHeight w:val="414"/>
        </w:trPr>
        <w:tc>
          <w:tcPr>
            <w:tcW w:w="567" w:type="dxa"/>
            <w:shd w:val="clear" w:color="auto" w:fill="D0DEFF" w:themeFill="text2" w:themeFillTint="1A"/>
          </w:tcPr>
          <w:p w14:paraId="5DA254E7" w14:textId="5A7A4999" w:rsidR="00980220" w:rsidRPr="00E225EB" w:rsidRDefault="00980220" w:rsidP="00F46173">
            <w:pPr>
              <w:rPr>
                <w:rFonts w:eastAsiaTheme="minorEastAsia" w:cstheme="minorBidi"/>
                <w:color w:val="auto"/>
                <w:kern w:val="2"/>
                <w:sz w:val="22"/>
                <w:szCs w:val="22"/>
                <w:lang w:eastAsia="en-US"/>
                <w14:ligatures w14:val="standardContextual"/>
              </w:rPr>
            </w:pPr>
            <w:r w:rsidRPr="00E225EB">
              <w:rPr>
                <w:rFonts w:eastAsiaTheme="minorEastAsia" w:cstheme="minorBidi"/>
                <w:color w:val="auto"/>
                <w:kern w:val="2"/>
                <w:sz w:val="22"/>
                <w:szCs w:val="22"/>
                <w:lang w:eastAsia="en-US"/>
                <w14:ligatures w14:val="standardContextual"/>
              </w:rPr>
              <w:t>Q</w:t>
            </w:r>
            <w:r w:rsidR="00785601">
              <w:rPr>
                <w:rFonts w:eastAsiaTheme="minorEastAsia" w:cstheme="minorBidi"/>
                <w:color w:val="auto"/>
                <w:kern w:val="2"/>
                <w:sz w:val="22"/>
                <w:szCs w:val="22"/>
                <w:lang w:eastAsia="en-US"/>
                <w14:ligatures w14:val="standardContextual"/>
              </w:rPr>
              <w:t>3</w:t>
            </w:r>
          </w:p>
        </w:tc>
        <w:tc>
          <w:tcPr>
            <w:tcW w:w="9072" w:type="dxa"/>
            <w:shd w:val="clear" w:color="auto" w:fill="D0DEFF" w:themeFill="text2" w:themeFillTint="1A"/>
          </w:tcPr>
          <w:p w14:paraId="5FCDB241" w14:textId="454217C0" w:rsidR="00980220" w:rsidRPr="004A183B" w:rsidRDefault="004A183B" w:rsidP="00F46173">
            <w:pPr>
              <w:rPr>
                <w:rFonts w:eastAsiaTheme="minorEastAsia" w:cstheme="minorBidi"/>
                <w:bCs/>
                <w:color w:val="auto"/>
                <w:kern w:val="2"/>
                <w:sz w:val="22"/>
                <w:szCs w:val="22"/>
                <w:lang w:eastAsia="en-US"/>
                <w14:ligatures w14:val="standardContextual"/>
              </w:rPr>
            </w:pPr>
            <w:r w:rsidRPr="004A183B">
              <w:rPr>
                <w:rFonts w:eastAsiaTheme="minorEastAsia" w:cstheme="minorBidi"/>
                <w:bCs/>
                <w:color w:val="auto"/>
                <w:kern w:val="2"/>
                <w:sz w:val="22"/>
                <w:szCs w:val="22"/>
                <w:lang w:eastAsia="en-US"/>
                <w14:ligatures w14:val="standardContextual"/>
              </w:rPr>
              <w:t>Noting fiscal constraints, how could existing funding settings and incentives be better aligned to support learner choice and labour</w:t>
            </w:r>
            <w:r w:rsidRPr="004A183B">
              <w:rPr>
                <w:rFonts w:eastAsiaTheme="minorEastAsia" w:cstheme="minorBidi"/>
                <w:bCs/>
                <w:color w:val="auto"/>
                <w:kern w:val="2"/>
                <w:sz w:val="22"/>
                <w:szCs w:val="22"/>
                <w:lang w:eastAsia="en-US"/>
                <w14:ligatures w14:val="standardContextual"/>
              </w:rPr>
              <w:noBreakHyphen/>
              <w:t>market outcomes across VET and higher education?</w:t>
            </w:r>
          </w:p>
        </w:tc>
      </w:tr>
    </w:tbl>
    <w:p w14:paraId="5D622314" w14:textId="4165DD7F" w:rsidR="00F05A27" w:rsidRDefault="00F05A27" w:rsidP="00B53611">
      <w:pPr>
        <w:pStyle w:val="Heading2"/>
        <w:numPr>
          <w:ilvl w:val="1"/>
          <w:numId w:val="14"/>
        </w:numPr>
        <w:spacing w:before="160" w:after="80" w:line="259" w:lineRule="auto"/>
        <w:ind w:left="851" w:hanging="851"/>
        <w:rPr>
          <w:b w:val="0"/>
          <w:bCs w:val="0"/>
        </w:rPr>
      </w:pPr>
      <w:bookmarkStart w:id="37" w:name="_Toc214882472"/>
      <w:bookmarkStart w:id="38" w:name="_Toc229643974"/>
      <w:bookmarkEnd w:id="37"/>
      <w:r w:rsidRPr="00F05A27">
        <w:t>Transitioning between the sectors</w:t>
      </w:r>
      <w:bookmarkEnd w:id="38"/>
      <w:r w:rsidRPr="00F05A27">
        <w:t xml:space="preserve"> </w:t>
      </w:r>
    </w:p>
    <w:p w14:paraId="0F444215" w14:textId="3249CBC4" w:rsidR="008C3156" w:rsidRDefault="00EF20A3" w:rsidP="00CB6C9D">
      <w:r>
        <w:t>Although learners benefit significantly from completing standalone qualifications in both sectors, m</w:t>
      </w:r>
      <w:r w:rsidR="00FA2C27">
        <w:t xml:space="preserve">any learners engage with both </w:t>
      </w:r>
      <w:r w:rsidR="00D34426">
        <w:t xml:space="preserve">VET and higher education </w:t>
      </w:r>
      <w:r w:rsidR="00FA2C27">
        <w:t>across their lifetime</w:t>
      </w:r>
      <w:r w:rsidR="008C3156">
        <w:t>.</w:t>
      </w:r>
      <w:r>
        <w:t xml:space="preserve"> These </w:t>
      </w:r>
      <w:r w:rsidR="00B23150">
        <w:t>movements</w:t>
      </w:r>
      <w:r>
        <w:t xml:space="preserve"> are multidirectional, with learners moving from higher education into VET and vice versa. </w:t>
      </w:r>
    </w:p>
    <w:p w14:paraId="6AE81450" w14:textId="3ED6F132" w:rsidR="004767A9" w:rsidRDefault="004767A9" w:rsidP="00CB6C9D">
      <w:r>
        <w:t xml:space="preserve">Learners engage </w:t>
      </w:r>
      <w:r w:rsidR="50824630">
        <w:t>with</w:t>
      </w:r>
      <w:r>
        <w:t xml:space="preserve"> both sectors </w:t>
      </w:r>
      <w:r w:rsidR="006F60C6">
        <w:t xml:space="preserve">for </w:t>
      </w:r>
      <w:r>
        <w:t xml:space="preserve">varying reasons. Some occupations are served by both VET and higher education options, </w:t>
      </w:r>
      <w:r w:rsidR="006F60C6">
        <w:t xml:space="preserve">meaning </w:t>
      </w:r>
      <w:r>
        <w:t xml:space="preserve">a learner may complete an initial qualification in one sector and then </w:t>
      </w:r>
      <w:r w:rsidR="006F60C6">
        <w:t xml:space="preserve">pursue </w:t>
      </w:r>
      <w:r w:rsidR="00A16CB3">
        <w:t xml:space="preserve">further </w:t>
      </w:r>
      <w:r w:rsidR="00006CF8">
        <w:t xml:space="preserve">study </w:t>
      </w:r>
      <w:r w:rsidR="00A16CB3">
        <w:t xml:space="preserve">in the other sector to progress their career. For instance, an enrolled nurse with a Diploma of Nursing seeking to become a registered nurse will </w:t>
      </w:r>
      <w:r w:rsidR="722828DD">
        <w:t xml:space="preserve">need to </w:t>
      </w:r>
      <w:r w:rsidR="00A16CB3">
        <w:t>undertake a Bachelor of Nursing</w:t>
      </w:r>
      <w:r w:rsidR="00360A5C">
        <w:t xml:space="preserve">; or someone </w:t>
      </w:r>
      <w:r w:rsidR="0F4454C9">
        <w:t xml:space="preserve">with </w:t>
      </w:r>
      <w:r w:rsidR="00360A5C">
        <w:t xml:space="preserve">a Bachelor of Engineering (Honours) may </w:t>
      </w:r>
      <w:r w:rsidR="15940431">
        <w:t xml:space="preserve">choose to </w:t>
      </w:r>
      <w:r w:rsidR="289134BF">
        <w:t>study</w:t>
      </w:r>
      <w:r w:rsidR="00360A5C">
        <w:t xml:space="preserve"> a VET Diploma of Project Management</w:t>
      </w:r>
      <w:r w:rsidR="00DA2DE0">
        <w:t xml:space="preserve"> to broaden their skills</w:t>
      </w:r>
      <w:r w:rsidR="00360A5C">
        <w:t>.</w:t>
      </w:r>
      <w:r w:rsidR="00A16CB3">
        <w:t xml:space="preserve"> </w:t>
      </w:r>
      <w:r w:rsidR="6C469AA0">
        <w:t xml:space="preserve">An individual </w:t>
      </w:r>
      <w:r w:rsidR="00DE24A4">
        <w:t>looking</w:t>
      </w:r>
      <w:r w:rsidR="00A16CB3">
        <w:t xml:space="preserve"> to change jobs or industries</w:t>
      </w:r>
      <w:r w:rsidR="00DA2DE0">
        <w:t xml:space="preserve"> </w:t>
      </w:r>
      <w:r w:rsidR="00A16CB3">
        <w:t xml:space="preserve">may </w:t>
      </w:r>
      <w:r w:rsidR="0065332B">
        <w:t xml:space="preserve">find that the other sector </w:t>
      </w:r>
      <w:r w:rsidR="00A16CB3">
        <w:t>provide</w:t>
      </w:r>
      <w:r w:rsidR="0065332B">
        <w:t xml:space="preserve">s </w:t>
      </w:r>
      <w:r w:rsidR="00BB0112">
        <w:t xml:space="preserve">the most suitable </w:t>
      </w:r>
      <w:r w:rsidR="00A16CB3">
        <w:t xml:space="preserve">pathway. </w:t>
      </w:r>
      <w:r w:rsidR="00F94FBD">
        <w:t>Some l</w:t>
      </w:r>
      <w:r w:rsidR="00D21508">
        <w:t xml:space="preserve">earners exit a qualification early and switch sectors </w:t>
      </w:r>
      <w:r w:rsidR="00BB0112">
        <w:t xml:space="preserve">when </w:t>
      </w:r>
      <w:r w:rsidR="00D21508">
        <w:t xml:space="preserve">they recognise they will be better served by </w:t>
      </w:r>
      <w:r w:rsidR="00BB0112">
        <w:t xml:space="preserve">an alternative </w:t>
      </w:r>
      <w:r w:rsidR="00D21508">
        <w:t xml:space="preserve">pathway. </w:t>
      </w:r>
    </w:p>
    <w:p w14:paraId="4CCBA3D1" w14:textId="37C417D3" w:rsidR="00F94FBD" w:rsidRDefault="00F94FBD" w:rsidP="00CB6C9D">
      <w:r>
        <w:t xml:space="preserve">Some transitions are more common than others, depending on occupational </w:t>
      </w:r>
      <w:r w:rsidR="009432CA">
        <w:t xml:space="preserve">requirements </w:t>
      </w:r>
      <w:r>
        <w:t xml:space="preserve">and how each field of education is </w:t>
      </w:r>
      <w:r w:rsidR="009432CA">
        <w:t xml:space="preserve">delivered across </w:t>
      </w:r>
      <w:r>
        <w:t xml:space="preserve">the VET </w:t>
      </w:r>
      <w:r w:rsidR="009432CA">
        <w:t xml:space="preserve">and </w:t>
      </w:r>
      <w:r>
        <w:t>higher education sectors. Whil</w:t>
      </w:r>
      <w:r w:rsidR="009432CA">
        <w:t>e</w:t>
      </w:r>
      <w:r>
        <w:t xml:space="preserve"> many common pathways have </w:t>
      </w:r>
      <w:r w:rsidR="009432CA">
        <w:t xml:space="preserve">established </w:t>
      </w:r>
      <w:r w:rsidDel="009432CA">
        <w:t xml:space="preserve">consistent </w:t>
      </w:r>
      <w:r>
        <w:t xml:space="preserve">credit arrangements, learners may still </w:t>
      </w:r>
      <w:r w:rsidDel="009432CA">
        <w:t xml:space="preserve">experience difficulties in </w:t>
      </w:r>
      <w:r>
        <w:t>accessing credit transfer or recognition of prior learning</w:t>
      </w:r>
      <w:r w:rsidR="009432CA">
        <w:t xml:space="preserve">. </w:t>
      </w:r>
      <w:r w:rsidR="00E65F4E">
        <w:t>These difficulties often relate to</w:t>
      </w:r>
      <w:r>
        <w:t xml:space="preserve"> understanding their entitlement</w:t>
      </w:r>
      <w:r w:rsidR="00E65F4E">
        <w:t xml:space="preserve">s </w:t>
      </w:r>
      <w:r>
        <w:t xml:space="preserve">and </w:t>
      </w:r>
      <w:r w:rsidR="00E65F4E">
        <w:t xml:space="preserve">gathering </w:t>
      </w:r>
      <w:r>
        <w:t>the evidence required</w:t>
      </w:r>
      <w:r w:rsidR="00E65F4E">
        <w:t xml:space="preserve"> to support an application</w:t>
      </w:r>
      <w:r>
        <w:t>.</w:t>
      </w:r>
    </w:p>
    <w:p w14:paraId="5DD77074" w14:textId="7DEB2178" w:rsidR="00B47B5A" w:rsidRDefault="00E87C96" w:rsidP="00B53611">
      <w:pPr>
        <w:pStyle w:val="Heading3"/>
      </w:pPr>
      <w:bookmarkStart w:id="39" w:name="_Toc229643975"/>
      <w:r>
        <w:t>Multidirectional transitions</w:t>
      </w:r>
      <w:bookmarkEnd w:id="39"/>
    </w:p>
    <w:p w14:paraId="3D00E26F" w14:textId="5639C328" w:rsidR="00046847" w:rsidRDefault="00F05A27" w:rsidP="00F05A27">
      <w:r w:rsidRPr="00F05A27">
        <w:rPr>
          <w:rFonts w:eastAsia="Arial"/>
        </w:rPr>
        <w:t>In 202</w:t>
      </w:r>
      <w:r w:rsidR="00C709A4">
        <w:rPr>
          <w:rFonts w:eastAsia="Arial"/>
        </w:rPr>
        <w:t>4</w:t>
      </w:r>
      <w:r w:rsidRPr="00F05A27">
        <w:rPr>
          <w:rFonts w:eastAsia="Arial"/>
        </w:rPr>
        <w:t xml:space="preserve">, there were </w:t>
      </w:r>
      <w:r w:rsidR="00C709A4">
        <w:rPr>
          <w:rFonts w:eastAsia="Arial"/>
        </w:rPr>
        <w:t>413,133</w:t>
      </w:r>
      <w:r w:rsidRPr="00F05A27">
        <w:rPr>
          <w:rFonts w:eastAsia="Arial"/>
        </w:rPr>
        <w:t xml:space="preserve"> domestic </w:t>
      </w:r>
      <w:r w:rsidRPr="00F05A27">
        <w:t>commencements in</w:t>
      </w:r>
      <w:r w:rsidRPr="00F05A27">
        <w:rPr>
          <w:rFonts w:eastAsia="Arial"/>
        </w:rPr>
        <w:t xml:space="preserve"> higher education</w:t>
      </w:r>
      <w:r w:rsidR="00B926E3">
        <w:rPr>
          <w:rFonts w:eastAsia="Arial"/>
        </w:rPr>
        <w:t xml:space="preserve"> (Depa</w:t>
      </w:r>
      <w:r w:rsidR="007F6057">
        <w:rPr>
          <w:rFonts w:eastAsia="Arial"/>
        </w:rPr>
        <w:t>rtment of Education 202</w:t>
      </w:r>
      <w:r w:rsidR="008B2808">
        <w:rPr>
          <w:rFonts w:eastAsia="Arial"/>
        </w:rPr>
        <w:t>4</w:t>
      </w:r>
      <w:r w:rsidR="007F6057">
        <w:rPr>
          <w:rFonts w:eastAsia="Arial"/>
        </w:rPr>
        <w:t>)</w:t>
      </w:r>
      <w:r w:rsidRPr="00F05A27">
        <w:rPr>
          <w:rFonts w:eastAsia="Arial"/>
        </w:rPr>
        <w:t xml:space="preserve">. Of these, </w:t>
      </w:r>
      <w:r w:rsidR="00FE39D3">
        <w:rPr>
          <w:rFonts w:eastAsia="Arial"/>
        </w:rPr>
        <w:t>30,67</w:t>
      </w:r>
      <w:r w:rsidR="00CB10E6">
        <w:rPr>
          <w:rFonts w:eastAsia="Arial"/>
        </w:rPr>
        <w:t>3</w:t>
      </w:r>
      <w:r w:rsidRPr="00F05A27">
        <w:rPr>
          <w:rFonts w:eastAsia="Arial"/>
        </w:rPr>
        <w:t xml:space="preserve"> (</w:t>
      </w:r>
      <w:r w:rsidR="00CB10E6">
        <w:rPr>
          <w:rFonts w:eastAsia="Arial"/>
        </w:rPr>
        <w:t>7</w:t>
      </w:r>
      <w:r w:rsidRPr="00F05A27">
        <w:rPr>
          <w:rFonts w:eastAsia="Arial"/>
        </w:rPr>
        <w:t xml:space="preserve">%) had </w:t>
      </w:r>
      <w:r w:rsidRPr="00F05A27">
        <w:t>VET listed</w:t>
      </w:r>
      <w:r w:rsidRPr="00F05A27">
        <w:rPr>
          <w:rFonts w:eastAsia="Arial"/>
        </w:rPr>
        <w:t xml:space="preserve"> as their </w:t>
      </w:r>
      <w:r w:rsidR="00251DD3">
        <w:rPr>
          <w:rFonts w:eastAsia="Arial"/>
        </w:rPr>
        <w:t xml:space="preserve">primary </w:t>
      </w:r>
      <w:r w:rsidRPr="00F05A27">
        <w:rPr>
          <w:rFonts w:eastAsia="Arial"/>
        </w:rPr>
        <w:t>basis of admission.</w:t>
      </w:r>
      <w:r w:rsidRPr="00F05A27">
        <w:rPr>
          <w:vertAlign w:val="superscript"/>
        </w:rPr>
        <w:footnoteReference w:id="4"/>
      </w:r>
      <w:r w:rsidRPr="00F05A27">
        <w:t xml:space="preserve"> </w:t>
      </w:r>
      <w:r w:rsidR="001A2223">
        <w:t xml:space="preserve">Most </w:t>
      </w:r>
      <w:r w:rsidR="008525E5">
        <w:t>learners</w:t>
      </w:r>
      <w:r w:rsidR="00281DDE">
        <w:t xml:space="preserve"> </w:t>
      </w:r>
      <w:r w:rsidR="001A2223" w:rsidDel="000200E9">
        <w:t xml:space="preserve">admitted </w:t>
      </w:r>
      <w:r w:rsidR="001A2223">
        <w:t xml:space="preserve">on the basis of VET </w:t>
      </w:r>
      <w:r w:rsidR="001A2223" w:rsidDel="0059034C">
        <w:t>we</w:t>
      </w:r>
      <w:r w:rsidR="00495398" w:rsidDel="0059034C">
        <w:t xml:space="preserve">re </w:t>
      </w:r>
      <w:r w:rsidR="00495398">
        <w:t xml:space="preserve">enrolled in bachelor degrees, </w:t>
      </w:r>
      <w:r w:rsidR="0059034C">
        <w:t xml:space="preserve">accounting for </w:t>
      </w:r>
      <w:r w:rsidRPr="00F05A27">
        <w:t>8</w:t>
      </w:r>
      <w:r w:rsidR="00F42456">
        <w:t>1</w:t>
      </w:r>
      <w:r w:rsidRPr="00F05A27">
        <w:t xml:space="preserve">% of </w:t>
      </w:r>
      <w:r w:rsidR="0059034C">
        <w:t>this cohort</w:t>
      </w:r>
      <w:r w:rsidRPr="00F05A27">
        <w:t xml:space="preserve">. </w:t>
      </w:r>
      <w:r w:rsidR="00E3609C">
        <w:t>A further 13% commenced s</w:t>
      </w:r>
      <w:r w:rsidRPr="00F05A27">
        <w:t>ub-bachelor qualifications</w:t>
      </w:r>
      <w:r w:rsidR="0089416C" w:rsidDel="005A6387">
        <w:t xml:space="preserve"> </w:t>
      </w:r>
      <w:r w:rsidRPr="00F05A27" w:rsidDel="005A6387">
        <w:t>mostly</w:t>
      </w:r>
      <w:r w:rsidRPr="00F05A27">
        <w:t xml:space="preserve"> diplomas and </w:t>
      </w:r>
      <w:r w:rsidR="00633F3C" w:rsidRPr="00D353D1">
        <w:t>a</w:t>
      </w:r>
      <w:r w:rsidRPr="00D353D1">
        <w:t xml:space="preserve">ssociate </w:t>
      </w:r>
      <w:r w:rsidR="00633F3C" w:rsidRPr="00D353D1">
        <w:t>d</w:t>
      </w:r>
      <w:r w:rsidRPr="00D353D1">
        <w:t>egrees</w:t>
      </w:r>
      <w:r w:rsidR="0089416C" w:rsidRPr="00D353D1">
        <w:t>,</w:t>
      </w:r>
      <w:r w:rsidRPr="00F05A27">
        <w:t xml:space="preserve"> and 4% commenced postgraduate studies</w:t>
      </w:r>
      <w:r w:rsidR="0089416C">
        <w:t xml:space="preserve">, </w:t>
      </w:r>
      <w:r w:rsidRPr="00F05A27">
        <w:t xml:space="preserve">mostly </w:t>
      </w:r>
      <w:r w:rsidR="00633F3C" w:rsidRPr="00D353D1">
        <w:t>g</w:t>
      </w:r>
      <w:r w:rsidRPr="00D353D1">
        <w:t xml:space="preserve">raduate </w:t>
      </w:r>
      <w:r w:rsidRPr="00F05A27">
        <w:t xml:space="preserve">diplomas and </w:t>
      </w:r>
      <w:r w:rsidR="00633F3C" w:rsidRPr="00D353D1">
        <w:t>g</w:t>
      </w:r>
      <w:r w:rsidRPr="00D353D1">
        <w:t>raduate</w:t>
      </w:r>
      <w:r w:rsidR="00633F3C" w:rsidRPr="00D353D1">
        <w:t> </w:t>
      </w:r>
      <w:r w:rsidRPr="00F05A27">
        <w:t>certificates</w:t>
      </w:r>
      <w:r w:rsidRPr="00D353D1">
        <w:t>.</w:t>
      </w:r>
      <w:r w:rsidR="00B832F0">
        <w:t xml:space="preserve"> </w:t>
      </w:r>
      <w:r w:rsidR="000C7C2E">
        <w:t xml:space="preserve">In </w:t>
      </w:r>
      <w:r w:rsidR="005A6387">
        <w:t>the same year</w:t>
      </w:r>
      <w:r w:rsidR="00222C7D" w:rsidRPr="00222C7D">
        <w:t>, there were 1,</w:t>
      </w:r>
      <w:r w:rsidR="001A4A7B">
        <w:t>926,975</w:t>
      </w:r>
      <w:r w:rsidR="00222C7D" w:rsidRPr="00222C7D">
        <w:t xml:space="preserve"> domestic VET program commencements.</w:t>
      </w:r>
      <w:r w:rsidR="00222C7D">
        <w:t xml:space="preserve"> </w:t>
      </w:r>
      <w:r w:rsidR="00222C7D" w:rsidRPr="00222C7D">
        <w:t xml:space="preserve">Of these, </w:t>
      </w:r>
      <w:r w:rsidR="00C248A3">
        <w:t>211,440</w:t>
      </w:r>
      <w:r w:rsidR="00222C7D" w:rsidRPr="00222C7D">
        <w:t xml:space="preserve"> (around 11%) were by </w:t>
      </w:r>
      <w:r w:rsidR="005A6387">
        <w:t xml:space="preserve">learners </w:t>
      </w:r>
      <w:r w:rsidR="00222C7D" w:rsidRPr="00222C7D">
        <w:t>who had previously completed a bachelor degree or higher qualification</w:t>
      </w:r>
      <w:r w:rsidR="00B832F0">
        <w:t xml:space="preserve"> (NCVER 2025a)</w:t>
      </w:r>
      <w:r w:rsidR="00222C7D" w:rsidRPr="00222C7D">
        <w:t>.</w:t>
      </w:r>
      <w:r w:rsidR="00222C7D">
        <w:t xml:space="preserve"> </w:t>
      </w:r>
      <w:r w:rsidR="00222C7D" w:rsidRPr="00222C7D">
        <w:t>The</w:t>
      </w:r>
      <w:r w:rsidR="008860B6">
        <w:t xml:space="preserve"> </w:t>
      </w:r>
      <w:r w:rsidR="00222C7D" w:rsidRPr="00222C7D" w:rsidDel="008860B6">
        <w:t xml:space="preserve">top </w:t>
      </w:r>
      <w:r w:rsidR="00222C7D" w:rsidRPr="00222C7D">
        <w:t xml:space="preserve">programs span </w:t>
      </w:r>
      <w:r w:rsidR="00095AD6">
        <w:t xml:space="preserve">both </w:t>
      </w:r>
      <w:r w:rsidR="00222C7D" w:rsidRPr="00222C7D">
        <w:t xml:space="preserve">full qualifications and </w:t>
      </w:r>
      <w:r w:rsidR="00095AD6">
        <w:t>short courses</w:t>
      </w:r>
      <w:r w:rsidR="00222C7D" w:rsidRPr="00222C7D">
        <w:t>.</w:t>
      </w:r>
    </w:p>
    <w:p w14:paraId="61D5C7EC" w14:textId="37F7A2BD" w:rsidR="00657DE1" w:rsidRDefault="001B27E7" w:rsidP="00F6716F">
      <w:pPr>
        <w:pStyle w:val="Heading4"/>
      </w:pPr>
      <w:r>
        <w:t>Pathways from</w:t>
      </w:r>
      <w:r w:rsidR="003C054B">
        <w:t xml:space="preserve"> </w:t>
      </w:r>
      <w:r>
        <w:t>VET into higher education</w:t>
      </w:r>
    </w:p>
    <w:p w14:paraId="3BB7AB6E" w14:textId="44C98909" w:rsidR="00D55050" w:rsidRDefault="00B832F0">
      <w:r>
        <w:t>P</w:t>
      </w:r>
      <w:r w:rsidR="004E1066">
        <w:t>athways</w:t>
      </w:r>
      <w:r w:rsidR="0091777D">
        <w:t xml:space="preserve"> from VET into higher education </w:t>
      </w:r>
      <w:r w:rsidR="004E1066">
        <w:t xml:space="preserve">tend to be </w:t>
      </w:r>
      <w:r>
        <w:t xml:space="preserve">relatively </w:t>
      </w:r>
      <w:r w:rsidR="004E1066">
        <w:t>institutionalised and consistent</w:t>
      </w:r>
      <w:r w:rsidR="00465F03">
        <w:t>. These pathways</w:t>
      </w:r>
      <w:r w:rsidR="00D96F91">
        <w:t xml:space="preserve"> </w:t>
      </w:r>
      <w:r w:rsidR="00465F03">
        <w:t xml:space="preserve">tend to reflect occupational </w:t>
      </w:r>
      <w:r w:rsidR="002E5BFC">
        <w:t>requirements and</w:t>
      </w:r>
      <w:r w:rsidR="00465F03">
        <w:t xml:space="preserve"> are frequently supported through</w:t>
      </w:r>
      <w:r w:rsidR="00657DE1">
        <w:t xml:space="preserve"> </w:t>
      </w:r>
      <w:r w:rsidR="00A80A19">
        <w:t xml:space="preserve">the </w:t>
      </w:r>
      <w:r w:rsidR="00657DE1">
        <w:t xml:space="preserve">use of articulation agreements between VET and higher education providers. </w:t>
      </w:r>
    </w:p>
    <w:p w14:paraId="31009E89" w14:textId="77B61CC3" w:rsidR="00F05A27" w:rsidRPr="00F05A27" w:rsidRDefault="00C15796" w:rsidP="00F05A27">
      <w:pPr>
        <w:rPr>
          <w:rFonts w:eastAsia="Arial"/>
        </w:rPr>
      </w:pPr>
      <w:r>
        <w:rPr>
          <w:rFonts w:eastAsia="Arial"/>
        </w:rPr>
        <w:t>Learners</w:t>
      </w:r>
      <w:r w:rsidR="00F05A27" w:rsidRPr="00F05A27">
        <w:rPr>
          <w:rFonts w:eastAsia="Arial"/>
        </w:rPr>
        <w:t xml:space="preserve"> from low socio</w:t>
      </w:r>
      <w:r w:rsidR="00CB4079">
        <w:rPr>
          <w:rFonts w:eastAsia="Arial"/>
        </w:rPr>
        <w:t>-</w:t>
      </w:r>
      <w:r w:rsidR="00F05A27" w:rsidRPr="00F05A27">
        <w:rPr>
          <w:rFonts w:eastAsia="Arial"/>
        </w:rPr>
        <w:t xml:space="preserve">economic </w:t>
      </w:r>
      <w:r w:rsidR="002E750C">
        <w:rPr>
          <w:rFonts w:eastAsia="Arial"/>
        </w:rPr>
        <w:t>status</w:t>
      </w:r>
      <w:r w:rsidR="00F05A27" w:rsidRPr="00F05A27">
        <w:rPr>
          <w:rFonts w:eastAsia="Arial"/>
        </w:rPr>
        <w:t xml:space="preserve"> (SES) backgrounds</w:t>
      </w:r>
      <w:r w:rsidR="007E644B">
        <w:rPr>
          <w:rStyle w:val="FootnoteReference"/>
          <w:rFonts w:eastAsia="Arial"/>
        </w:rPr>
        <w:footnoteReference w:id="5"/>
      </w:r>
      <w:r w:rsidR="00F05A27" w:rsidRPr="00F05A27">
        <w:rPr>
          <w:rFonts w:eastAsia="Arial"/>
        </w:rPr>
        <w:t xml:space="preserve"> and </w:t>
      </w:r>
      <w:r w:rsidR="00F05A27" w:rsidRPr="00F05A27">
        <w:t>First Nations</w:t>
      </w:r>
      <w:r w:rsidR="00F05A27" w:rsidRPr="00F05A27">
        <w:rPr>
          <w:rFonts w:eastAsia="Arial"/>
        </w:rPr>
        <w:t xml:space="preserve"> </w:t>
      </w:r>
      <w:r>
        <w:rPr>
          <w:rFonts w:eastAsia="Arial"/>
        </w:rPr>
        <w:t>learners</w:t>
      </w:r>
      <w:r w:rsidR="00F05A27" w:rsidRPr="00F05A27">
        <w:rPr>
          <w:rFonts w:eastAsia="Arial"/>
        </w:rPr>
        <w:t xml:space="preserve"> more commonly use VET to </w:t>
      </w:r>
      <w:r w:rsidR="00F05A27" w:rsidRPr="00F05A27">
        <w:t>higher education</w:t>
      </w:r>
      <w:r w:rsidR="00F05A27" w:rsidRPr="00F05A27">
        <w:rPr>
          <w:rFonts w:eastAsia="Arial"/>
        </w:rPr>
        <w:t xml:space="preserve"> pathways</w:t>
      </w:r>
      <w:r w:rsidR="007E1F1A">
        <w:rPr>
          <w:rFonts w:eastAsia="Arial"/>
        </w:rPr>
        <w:t xml:space="preserve"> than other students</w:t>
      </w:r>
      <w:r w:rsidR="00F05A27" w:rsidRPr="00F05A27">
        <w:rPr>
          <w:rFonts w:eastAsia="Arial"/>
        </w:rPr>
        <w:t xml:space="preserve">. </w:t>
      </w:r>
      <w:r w:rsidR="00D55050">
        <w:rPr>
          <w:rFonts w:eastAsia="Arial"/>
        </w:rPr>
        <w:t>In 2024, 11%</w:t>
      </w:r>
      <w:r w:rsidR="000F2949">
        <w:rPr>
          <w:rFonts w:eastAsia="Arial"/>
        </w:rPr>
        <w:t xml:space="preserve"> </w:t>
      </w:r>
      <w:r w:rsidR="004849A5">
        <w:rPr>
          <w:rFonts w:eastAsia="Arial"/>
        </w:rPr>
        <w:t>o</w:t>
      </w:r>
      <w:r w:rsidR="005E3D19">
        <w:rPr>
          <w:rFonts w:eastAsia="Arial"/>
        </w:rPr>
        <w:t xml:space="preserve">f </w:t>
      </w:r>
      <w:r>
        <w:rPr>
          <w:rFonts w:eastAsia="Arial"/>
        </w:rPr>
        <w:t>learners</w:t>
      </w:r>
      <w:r w:rsidR="005E3D19">
        <w:rPr>
          <w:rFonts w:eastAsia="Arial"/>
        </w:rPr>
        <w:t xml:space="preserve"> from low SES backgrounds and 12% of First Nations </w:t>
      </w:r>
      <w:r w:rsidR="00DD6B6E">
        <w:rPr>
          <w:rFonts w:eastAsia="Arial"/>
        </w:rPr>
        <w:t xml:space="preserve">learners </w:t>
      </w:r>
      <w:r w:rsidR="00F05A27" w:rsidRPr="00F05A27">
        <w:rPr>
          <w:rFonts w:eastAsia="Arial"/>
        </w:rPr>
        <w:t xml:space="preserve">had </w:t>
      </w:r>
      <w:r w:rsidR="00F05A27" w:rsidRPr="00F05A27">
        <w:t>VET listed</w:t>
      </w:r>
      <w:r w:rsidR="00F05A27" w:rsidRPr="00F05A27">
        <w:rPr>
          <w:rFonts w:eastAsia="Arial"/>
        </w:rPr>
        <w:t xml:space="preserve"> as their </w:t>
      </w:r>
      <w:r w:rsidR="00251DD3">
        <w:rPr>
          <w:rFonts w:eastAsia="Arial"/>
        </w:rPr>
        <w:t xml:space="preserve">primary </w:t>
      </w:r>
      <w:r w:rsidR="00F05A27" w:rsidRPr="00F05A27">
        <w:rPr>
          <w:rFonts w:eastAsia="Arial"/>
        </w:rPr>
        <w:t>basis of admission</w:t>
      </w:r>
      <w:r w:rsidR="007A211C">
        <w:rPr>
          <w:rFonts w:eastAsia="Arial"/>
        </w:rPr>
        <w:t>,</w:t>
      </w:r>
      <w:r w:rsidR="00F05A27" w:rsidRPr="00F05A27">
        <w:rPr>
          <w:rFonts w:eastAsia="Arial"/>
        </w:rPr>
        <w:t xml:space="preserve"> compared to </w:t>
      </w:r>
      <w:r w:rsidR="00857ACB">
        <w:rPr>
          <w:rFonts w:eastAsia="Arial"/>
        </w:rPr>
        <w:t>7</w:t>
      </w:r>
      <w:r w:rsidR="00F05A27" w:rsidRPr="00F05A27">
        <w:rPr>
          <w:rFonts w:eastAsia="Arial"/>
        </w:rPr>
        <w:t xml:space="preserve">% of all commencing </w:t>
      </w:r>
      <w:r>
        <w:rPr>
          <w:rFonts w:eastAsia="Arial"/>
        </w:rPr>
        <w:t>learners</w:t>
      </w:r>
      <w:r w:rsidR="00F05A27" w:rsidRPr="00F05A27">
        <w:rPr>
          <w:rFonts w:eastAsia="Arial"/>
        </w:rPr>
        <w:t xml:space="preserve">. First Nations </w:t>
      </w:r>
      <w:r w:rsidR="00DD6B6E">
        <w:rPr>
          <w:rFonts w:eastAsia="Arial"/>
        </w:rPr>
        <w:t>learner</w:t>
      </w:r>
      <w:r w:rsidR="00580C9A">
        <w:rPr>
          <w:rFonts w:eastAsia="Arial"/>
        </w:rPr>
        <w:t>s</w:t>
      </w:r>
      <w:r>
        <w:rPr>
          <w:rFonts w:eastAsia="Arial"/>
        </w:rPr>
        <w:t xml:space="preserve"> </w:t>
      </w:r>
      <w:r w:rsidR="00F05A27" w:rsidRPr="00F05A27" w:rsidDel="00C15796">
        <w:rPr>
          <w:rFonts w:eastAsia="Arial"/>
        </w:rPr>
        <w:t xml:space="preserve">made up </w:t>
      </w:r>
      <w:r w:rsidR="00F05A27" w:rsidRPr="00F05A27">
        <w:rPr>
          <w:rFonts w:eastAsia="Arial"/>
        </w:rPr>
        <w:t xml:space="preserve">2.6% of </w:t>
      </w:r>
      <w:r w:rsidR="00F05A27" w:rsidRPr="00F05A27" w:rsidDel="00C15796">
        <w:rPr>
          <w:rFonts w:eastAsia="Arial"/>
        </w:rPr>
        <w:t xml:space="preserve">total </w:t>
      </w:r>
      <w:r w:rsidR="00F05A27" w:rsidRPr="00F05A27">
        <w:rPr>
          <w:rFonts w:eastAsia="Arial"/>
        </w:rPr>
        <w:t>commencements (10,</w:t>
      </w:r>
      <w:r w:rsidR="00551A98">
        <w:rPr>
          <w:rFonts w:eastAsia="Arial"/>
        </w:rPr>
        <w:t>8</w:t>
      </w:r>
      <w:r w:rsidR="00F05A27" w:rsidRPr="00F05A27">
        <w:rPr>
          <w:rFonts w:eastAsia="Arial"/>
        </w:rPr>
        <w:t>50)</w:t>
      </w:r>
      <w:r w:rsidR="00EC0824" w:rsidRPr="00D353D1" w:rsidDel="00DE5EAD">
        <w:rPr>
          <w:rFonts w:eastAsia="Arial"/>
        </w:rPr>
        <w:t>,</w:t>
      </w:r>
      <w:r w:rsidR="00F05A27" w:rsidRPr="00F05A27" w:rsidDel="00DE5EAD">
        <w:rPr>
          <w:rFonts w:eastAsia="Arial"/>
        </w:rPr>
        <w:t xml:space="preserve"> </w:t>
      </w:r>
      <w:r w:rsidR="0024597A">
        <w:rPr>
          <w:rFonts w:eastAsia="Arial"/>
        </w:rPr>
        <w:t>and</w:t>
      </w:r>
      <w:r w:rsidR="00F05A27" w:rsidRPr="00F05A27">
        <w:rPr>
          <w:rFonts w:eastAsia="Arial"/>
        </w:rPr>
        <w:t xml:space="preserve"> </w:t>
      </w:r>
      <w:r w:rsidR="00F05A27" w:rsidRPr="00F05A27" w:rsidDel="00DE5EAD">
        <w:rPr>
          <w:rFonts w:eastAsia="Arial"/>
        </w:rPr>
        <w:t xml:space="preserve">those coming through a VET pathway </w:t>
      </w:r>
      <w:r w:rsidR="0024597A">
        <w:rPr>
          <w:rFonts w:eastAsia="Arial"/>
        </w:rPr>
        <w:t xml:space="preserve">accounted for </w:t>
      </w:r>
      <w:r w:rsidR="00F05A27" w:rsidRPr="00F05A27">
        <w:rPr>
          <w:rFonts w:eastAsia="Arial"/>
        </w:rPr>
        <w:t>0.3% (</w:t>
      </w:r>
      <w:r w:rsidR="00735C8A" w:rsidRPr="00F05A27">
        <w:rPr>
          <w:rFonts w:eastAsia="Arial"/>
        </w:rPr>
        <w:t>1</w:t>
      </w:r>
      <w:r w:rsidR="00735C8A">
        <w:rPr>
          <w:rFonts w:eastAsia="Arial"/>
        </w:rPr>
        <w:t>312</w:t>
      </w:r>
      <w:r w:rsidR="00F05A27" w:rsidRPr="00F05A27">
        <w:rPr>
          <w:rFonts w:eastAsia="Arial"/>
        </w:rPr>
        <w:t>)</w:t>
      </w:r>
      <w:r w:rsidR="0024597A">
        <w:rPr>
          <w:rFonts w:eastAsia="Arial"/>
        </w:rPr>
        <w:t xml:space="preserve"> of all students</w:t>
      </w:r>
      <w:r w:rsidR="00F05A27" w:rsidRPr="00F05A27">
        <w:rPr>
          <w:rFonts w:eastAsia="Arial"/>
        </w:rPr>
        <w:t xml:space="preserve">. </w:t>
      </w:r>
      <w:r w:rsidR="00F05A27" w:rsidRPr="00F05A27" w:rsidDel="00AF64D6">
        <w:rPr>
          <w:rFonts w:eastAsia="Arial"/>
        </w:rPr>
        <w:t>In</w:t>
      </w:r>
      <w:r w:rsidR="00EC0824" w:rsidDel="00AF64D6">
        <w:rPr>
          <w:rFonts w:eastAsia="Arial"/>
        </w:rPr>
        <w:t> </w:t>
      </w:r>
      <w:r w:rsidR="00F05A27" w:rsidRPr="00F05A27" w:rsidDel="00AF64D6">
        <w:rPr>
          <w:rFonts w:eastAsia="Arial"/>
        </w:rPr>
        <w:t>202</w:t>
      </w:r>
      <w:r w:rsidR="00E2627C" w:rsidDel="00AF64D6">
        <w:rPr>
          <w:rFonts w:eastAsia="Arial"/>
        </w:rPr>
        <w:t>4</w:t>
      </w:r>
      <w:r w:rsidR="00F05A27" w:rsidRPr="00F05A27" w:rsidDel="00AF64D6">
        <w:rPr>
          <w:rFonts w:eastAsia="Arial"/>
        </w:rPr>
        <w:t>,</w:t>
      </w:r>
      <w:r w:rsidR="00F05A27" w:rsidRPr="00F05A27">
        <w:rPr>
          <w:rFonts w:eastAsia="Arial"/>
        </w:rPr>
        <w:t xml:space="preserve"> 16% of commencing </w:t>
      </w:r>
      <w:r w:rsidR="00F05A27" w:rsidRPr="00F05A27" w:rsidDel="00AF64D6">
        <w:rPr>
          <w:rFonts w:eastAsia="Arial"/>
        </w:rPr>
        <w:t>students</w:t>
      </w:r>
      <w:r w:rsidR="00F05A27" w:rsidRPr="00F05A27" w:rsidDel="000C558F">
        <w:rPr>
          <w:rFonts w:eastAsia="Arial"/>
        </w:rPr>
        <w:t xml:space="preserve"> came</w:t>
      </w:r>
      <w:r w:rsidR="00F05A27" w:rsidRPr="00F05A27">
        <w:rPr>
          <w:rFonts w:eastAsia="Arial"/>
        </w:rPr>
        <w:t xml:space="preserve"> from low SES backgrounds (</w:t>
      </w:r>
      <w:r w:rsidR="000D05C2">
        <w:rPr>
          <w:rFonts w:eastAsia="Arial"/>
        </w:rPr>
        <w:t>68,514</w:t>
      </w:r>
      <w:r w:rsidR="00F05A27" w:rsidRPr="00F05A27">
        <w:rPr>
          <w:rFonts w:eastAsia="Arial"/>
        </w:rPr>
        <w:t xml:space="preserve">), </w:t>
      </w:r>
      <w:r w:rsidR="00F05A27" w:rsidRPr="00F05A27" w:rsidDel="000C558F">
        <w:rPr>
          <w:rFonts w:eastAsia="Arial"/>
        </w:rPr>
        <w:t>w</w:t>
      </w:r>
      <w:r w:rsidR="00F05A27" w:rsidRPr="00F05A27">
        <w:rPr>
          <w:rFonts w:eastAsia="Arial"/>
        </w:rPr>
        <w:t xml:space="preserve">ith </w:t>
      </w:r>
      <w:r w:rsidR="00DF3787">
        <w:rPr>
          <w:rFonts w:eastAsia="Arial"/>
        </w:rPr>
        <w:t xml:space="preserve">those </w:t>
      </w:r>
      <w:r w:rsidR="00DF3787" w:rsidRPr="00F05A27">
        <w:rPr>
          <w:rFonts w:eastAsia="Arial"/>
        </w:rPr>
        <w:t xml:space="preserve">admitted based on a </w:t>
      </w:r>
      <w:r w:rsidR="00DF3787">
        <w:rPr>
          <w:rFonts w:eastAsia="Arial"/>
        </w:rPr>
        <w:t>previous</w:t>
      </w:r>
      <w:r w:rsidR="00DF3787" w:rsidRPr="00F05A27">
        <w:rPr>
          <w:rFonts w:eastAsia="Arial"/>
        </w:rPr>
        <w:t xml:space="preserve"> VET qualification</w:t>
      </w:r>
      <w:r w:rsidR="001658D5">
        <w:rPr>
          <w:rFonts w:eastAsia="Arial"/>
        </w:rPr>
        <w:t xml:space="preserve"> </w:t>
      </w:r>
      <w:r w:rsidR="00DF3787">
        <w:rPr>
          <w:rFonts w:eastAsia="Arial"/>
        </w:rPr>
        <w:t xml:space="preserve">accounting for </w:t>
      </w:r>
      <w:r w:rsidR="00F05A27" w:rsidRPr="00F05A27">
        <w:rPr>
          <w:rFonts w:eastAsia="Arial"/>
        </w:rPr>
        <w:t>2% (</w:t>
      </w:r>
      <w:r w:rsidR="00A16CD8" w:rsidRPr="00F05A27">
        <w:rPr>
          <w:rFonts w:eastAsia="Arial"/>
        </w:rPr>
        <w:t>7</w:t>
      </w:r>
      <w:r w:rsidR="00A16CD8">
        <w:rPr>
          <w:rFonts w:eastAsia="Arial"/>
        </w:rPr>
        <w:t>517</w:t>
      </w:r>
      <w:r w:rsidR="00F05A27" w:rsidRPr="00F05A27">
        <w:rPr>
          <w:rFonts w:eastAsia="Arial"/>
        </w:rPr>
        <w:t xml:space="preserve">) </w:t>
      </w:r>
      <w:r w:rsidR="004B1AF1">
        <w:rPr>
          <w:rFonts w:eastAsia="Arial"/>
        </w:rPr>
        <w:t>commencements</w:t>
      </w:r>
      <w:r w:rsidR="00DF3787">
        <w:rPr>
          <w:rFonts w:eastAsia="Arial"/>
        </w:rPr>
        <w:t>.</w:t>
      </w:r>
    </w:p>
    <w:p w14:paraId="7FCEC761" w14:textId="0F18D13E" w:rsidR="00F05A27" w:rsidRPr="00F05A27" w:rsidRDefault="00F05A27" w:rsidP="00F05A27">
      <w:pPr>
        <w:spacing w:after="280"/>
        <w:rPr>
          <w:rFonts w:eastAsia="Arial"/>
        </w:rPr>
      </w:pPr>
      <w:r w:rsidRPr="00F05A27">
        <w:rPr>
          <w:rFonts w:eastAsia="Arial"/>
        </w:rPr>
        <w:t xml:space="preserve">The most common VET to higher education </w:t>
      </w:r>
      <w:r w:rsidRPr="00F05A27">
        <w:t xml:space="preserve">pathways </w:t>
      </w:r>
      <w:proofErr w:type="gramStart"/>
      <w:r w:rsidRPr="00F05A27">
        <w:t>are</w:t>
      </w:r>
      <w:proofErr w:type="gramEnd"/>
      <w:r w:rsidRPr="00F05A27">
        <w:rPr>
          <w:rFonts w:eastAsia="Arial"/>
        </w:rPr>
        <w:t xml:space="preserve"> in Nursing and Teacher Education. Of the 71 narrow fields of education in the Australian Standard Classification of Education, </w:t>
      </w:r>
      <w:r w:rsidRPr="00F05A27">
        <w:t xml:space="preserve">these </w:t>
      </w:r>
      <w:r w:rsidRPr="00F05A27" w:rsidDel="00057557">
        <w:t>2</w:t>
      </w:r>
      <w:r w:rsidRPr="00F05A27">
        <w:t xml:space="preserve"> fields </w:t>
      </w:r>
      <w:r w:rsidR="00057557">
        <w:t xml:space="preserve">accounted for </w:t>
      </w:r>
      <w:r w:rsidRPr="00F05A27">
        <w:rPr>
          <w:rFonts w:eastAsia="Arial"/>
        </w:rPr>
        <w:t>39% of all higher education commencements on the basis of VET in 202</w:t>
      </w:r>
      <w:r w:rsidR="00436E80">
        <w:rPr>
          <w:rFonts w:eastAsia="Arial"/>
        </w:rPr>
        <w:t>4</w:t>
      </w:r>
      <w:r w:rsidR="006C3C32">
        <w:rPr>
          <w:rFonts w:eastAsia="Arial"/>
        </w:rPr>
        <w:t>, shown in figure 5</w:t>
      </w:r>
      <w:r w:rsidRPr="00F05A27">
        <w:rPr>
          <w:rFonts w:eastAsia="Arial"/>
        </w:rPr>
        <w:t>.</w:t>
      </w:r>
      <w:r w:rsidR="006C3C32">
        <w:rPr>
          <w:rFonts w:eastAsia="Arial"/>
          <w:bCs/>
        </w:rPr>
        <w:t xml:space="preserve"> The</w:t>
      </w:r>
      <w:r w:rsidR="006C3C32" w:rsidRPr="00F55179">
        <w:rPr>
          <w:rFonts w:eastAsia="Arial"/>
          <w:bCs/>
        </w:rPr>
        <w:t xml:space="preserve"> six leading fields of education for VET to higher education transitions were</w:t>
      </w:r>
      <w:r w:rsidR="006C3C32" w:rsidRPr="007B0E2E">
        <w:rPr>
          <w:rFonts w:eastAsia="Arial"/>
          <w:bCs/>
        </w:rPr>
        <w:t xml:space="preserve"> </w:t>
      </w:r>
      <w:r w:rsidR="006C3C32" w:rsidRPr="00F02496">
        <w:rPr>
          <w:rFonts w:eastAsia="Arial"/>
        </w:rPr>
        <w:t>Nursing (</w:t>
      </w:r>
      <w:r w:rsidR="006C3C32" w:rsidRPr="00F02496">
        <w:rPr>
          <w:rFonts w:eastAsia="Arial"/>
          <w:bCs/>
        </w:rPr>
        <w:t>22</w:t>
      </w:r>
      <w:r w:rsidR="006C3C32" w:rsidRPr="00F02496">
        <w:rPr>
          <w:rFonts w:eastAsia="Arial"/>
        </w:rPr>
        <w:t>%), Teacher Education (</w:t>
      </w:r>
      <w:r w:rsidR="006C3C32" w:rsidRPr="00F02496">
        <w:rPr>
          <w:rFonts w:eastAsia="Arial"/>
          <w:bCs/>
        </w:rPr>
        <w:t>17</w:t>
      </w:r>
      <w:r w:rsidR="006C3C32" w:rsidRPr="00F02496">
        <w:rPr>
          <w:rFonts w:eastAsia="Arial"/>
        </w:rPr>
        <w:t>%), Other Health (6%), Business and Management (</w:t>
      </w:r>
      <w:r w:rsidR="006C3C32" w:rsidRPr="00F02496">
        <w:rPr>
          <w:rFonts w:eastAsia="Arial"/>
          <w:bCs/>
        </w:rPr>
        <w:t>6</w:t>
      </w:r>
      <w:r w:rsidR="006C3C32" w:rsidRPr="00F02496">
        <w:rPr>
          <w:rFonts w:eastAsia="Arial"/>
        </w:rPr>
        <w:t xml:space="preserve">%), Human Welfare Studies and Services (5%) and Behavioural Science (5%). </w:t>
      </w:r>
      <w:r w:rsidR="006C3C32">
        <w:rPr>
          <w:rFonts w:eastAsia="Arial"/>
          <w:bCs/>
        </w:rPr>
        <w:t>Together, t</w:t>
      </w:r>
      <w:r w:rsidR="006C3C32" w:rsidRPr="00F02496">
        <w:rPr>
          <w:rFonts w:eastAsia="Arial"/>
          <w:bCs/>
        </w:rPr>
        <w:t>hese</w:t>
      </w:r>
      <w:r w:rsidR="006C3C32" w:rsidRPr="00F02496">
        <w:rPr>
          <w:rFonts w:eastAsia="Arial"/>
        </w:rPr>
        <w:t xml:space="preserve"> </w:t>
      </w:r>
      <w:r w:rsidR="006C3C32" w:rsidRPr="00F02496" w:rsidDel="00CF611B">
        <w:rPr>
          <w:rFonts w:eastAsia="Arial"/>
        </w:rPr>
        <w:t>top 6</w:t>
      </w:r>
      <w:r w:rsidR="006C3C32" w:rsidRPr="001D7A60">
        <w:rPr>
          <w:rFonts w:eastAsia="Arial"/>
        </w:rPr>
        <w:t xml:space="preserve"> </w:t>
      </w:r>
      <w:r w:rsidR="006C3C32" w:rsidRPr="00F02496">
        <w:rPr>
          <w:rFonts w:eastAsia="Arial"/>
        </w:rPr>
        <w:t>fields made up 61% of commencements</w:t>
      </w:r>
      <w:r w:rsidR="006C3C32" w:rsidRPr="00F02496" w:rsidDel="00CF611B">
        <w:rPr>
          <w:rFonts w:eastAsia="Arial"/>
        </w:rPr>
        <w:t xml:space="preserve"> based on a VET qualification</w:t>
      </w:r>
      <w:r w:rsidRPr="00F05A27">
        <w:rPr>
          <w:rFonts w:eastAsia="Arial"/>
        </w:rPr>
        <w:t>.</w:t>
      </w:r>
    </w:p>
    <w:p w14:paraId="1817AB55" w14:textId="6BFDBE5B" w:rsidR="00612C80" w:rsidRDefault="00DD4EEC" w:rsidP="00AF3C6A">
      <w:pPr>
        <w:pStyle w:val="Caption"/>
      </w:pPr>
      <w:r>
        <w:rPr>
          <w:noProof/>
        </w:rPr>
        <w:drawing>
          <wp:inline distT="0" distB="0" distL="0" distR="0" wp14:anchorId="46DAE378" wp14:editId="03786560">
            <wp:extent cx="6120765" cy="3103880"/>
            <wp:effectExtent l="0" t="0" r="0" b="1270"/>
            <wp:docPr id="107917580" name="Picture 6" descr="A column graph showing the proportion of all students who were admitted on the basis of VET by narrow field of education. Fields are not listed, but are split to show that the top two fields make up the highest proportion - 17-22%, with most other fields only accounting for less than 2% of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7580" name="Picture 6" descr="A column graph showing the proportion of all students who were admitted on the basis of VET by narrow field of education. Fields are not listed, but are split to show that the top two fields make up the highest proportion - 17-22%, with most other fields only accounting for less than 2% of students."/>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20765" cy="3103880"/>
                    </a:xfrm>
                    <a:prstGeom prst="rect">
                      <a:avLst/>
                    </a:prstGeom>
                  </pic:spPr>
                </pic:pic>
              </a:graphicData>
            </a:graphic>
          </wp:inline>
        </w:drawing>
      </w:r>
    </w:p>
    <w:p w14:paraId="6C37CD3C" w14:textId="5D0FFCB1" w:rsidR="00AF3C6A" w:rsidRDefault="00AF3C6A" w:rsidP="00AF3C6A">
      <w:pPr>
        <w:pStyle w:val="Caption"/>
      </w:pPr>
      <w:bookmarkStart w:id="40" w:name="_Toc228799279"/>
      <w:r>
        <w:t xml:space="preserve">Figure </w:t>
      </w:r>
      <w:r>
        <w:fldChar w:fldCharType="begin"/>
      </w:r>
      <w:r>
        <w:instrText xml:space="preserve"> SEQ Figure \* ARABIC </w:instrText>
      </w:r>
      <w:r>
        <w:fldChar w:fldCharType="separate"/>
      </w:r>
      <w:r w:rsidR="008645D3">
        <w:rPr>
          <w:noProof/>
        </w:rPr>
        <w:t>5</w:t>
      </w:r>
      <w:r>
        <w:fldChar w:fldCharType="end"/>
      </w:r>
      <w:r>
        <w:t>: Students admitted on the basis of VET by narrow field of education (%) (2024)</w:t>
      </w:r>
      <w:bookmarkEnd w:id="40"/>
    </w:p>
    <w:p w14:paraId="5ECCB759" w14:textId="191AAA09" w:rsidR="00AF3C6A" w:rsidRPr="00AF3C6A" w:rsidRDefault="00AF3C6A" w:rsidP="00AF3C6A">
      <w:pPr>
        <w:pStyle w:val="Source"/>
      </w:pPr>
      <w:r>
        <w:t xml:space="preserve">Department of Education internal data, 2025. </w:t>
      </w:r>
    </w:p>
    <w:p w14:paraId="3E9B68CE" w14:textId="6F23961C" w:rsidR="00F05A27" w:rsidRDefault="00F05A27" w:rsidP="000D0A92">
      <w:pPr>
        <w:rPr>
          <w:rFonts w:eastAsia="Arial"/>
        </w:rPr>
      </w:pPr>
      <w:r w:rsidRPr="0D1ABB2F">
        <w:rPr>
          <w:rFonts w:eastAsia="Arial"/>
        </w:rPr>
        <w:t>Th</w:t>
      </w:r>
      <w:r w:rsidR="006C3C32">
        <w:rPr>
          <w:rFonts w:eastAsia="Arial"/>
        </w:rPr>
        <w:t>is</w:t>
      </w:r>
      <w:r w:rsidRPr="0D1ABB2F">
        <w:rPr>
          <w:rFonts w:eastAsia="Arial"/>
        </w:rPr>
        <w:t xml:space="preserve"> data shows how professional practice requirements can </w:t>
      </w:r>
      <w:r w:rsidRPr="0D1ABB2F" w:rsidDel="00CF611B">
        <w:rPr>
          <w:rFonts w:eastAsia="Arial"/>
        </w:rPr>
        <w:t xml:space="preserve">influence </w:t>
      </w:r>
      <w:r w:rsidRPr="0D1ABB2F">
        <w:rPr>
          <w:rFonts w:eastAsia="Arial"/>
        </w:rPr>
        <w:t>cross-sector pathways.</w:t>
      </w:r>
      <w:r w:rsidR="00E56C6E">
        <w:rPr>
          <w:rFonts w:eastAsia="Arial"/>
        </w:rPr>
        <w:t xml:space="preserve"> </w:t>
      </w:r>
      <w:r w:rsidRPr="00F05A27">
        <w:rPr>
          <w:rFonts w:eastAsia="Arial"/>
        </w:rPr>
        <w:t xml:space="preserve">In nursing, enrolled nurses are primarily trained through </w:t>
      </w:r>
      <w:r w:rsidRPr="00F05A27" w:rsidDel="00CF611B">
        <w:rPr>
          <w:rFonts w:eastAsia="Arial"/>
        </w:rPr>
        <w:t>a</w:t>
      </w:r>
      <w:r w:rsidRPr="00F05A27">
        <w:rPr>
          <w:rFonts w:eastAsia="Arial"/>
        </w:rPr>
        <w:t xml:space="preserve"> VET Diploma of Nursing while registered nurses are trained through a higher education Bachelor of Nursing. Both </w:t>
      </w:r>
      <w:r w:rsidR="00CF611B">
        <w:rPr>
          <w:rFonts w:eastAsia="Arial"/>
        </w:rPr>
        <w:t xml:space="preserve">qualifications </w:t>
      </w:r>
      <w:r w:rsidRPr="00F05A27">
        <w:rPr>
          <w:rFonts w:eastAsia="Arial"/>
        </w:rPr>
        <w:t xml:space="preserve">are accredited by the Australian Nursing and Midwifery Accreditation Council, and many </w:t>
      </w:r>
      <w:r w:rsidR="00CF611B">
        <w:rPr>
          <w:rFonts w:eastAsia="Arial"/>
        </w:rPr>
        <w:t xml:space="preserve">learners </w:t>
      </w:r>
      <w:r w:rsidRPr="00F05A27">
        <w:rPr>
          <w:rFonts w:eastAsia="Arial"/>
        </w:rPr>
        <w:t xml:space="preserve">with a diploma transition into higher education to complete a </w:t>
      </w:r>
      <w:r w:rsidRPr="00F05A27" w:rsidDel="00F955D7">
        <w:rPr>
          <w:rFonts w:eastAsia="Arial"/>
        </w:rPr>
        <w:t>bachelor</w:t>
      </w:r>
      <w:r w:rsidRPr="00F05A27">
        <w:rPr>
          <w:rFonts w:eastAsia="Arial"/>
        </w:rPr>
        <w:t xml:space="preserve"> degree.</w:t>
      </w:r>
    </w:p>
    <w:p w14:paraId="6A9350F1" w14:textId="12D8814E" w:rsidR="006C3C32" w:rsidRDefault="006C3C32" w:rsidP="000D0A92">
      <w:pPr>
        <w:rPr>
          <w:rFonts w:eastAsia="Arial"/>
        </w:rPr>
      </w:pPr>
      <w:r w:rsidRPr="3A7ED23E">
        <w:rPr>
          <w:rFonts w:eastAsia="Arial"/>
        </w:rPr>
        <w:t>In teacher education, the most common pathway is between the VET Diploma of Early Childhood Education and Care (linked to family day care coordinator roles) into a bachelor degree in teacher education. Pathways are most commonly associated with early childhood education, such as a Bachelor of Education (Early Childhood Teaching), linked to early childhood teacher roles, however many learners transition into primary education teaching, while</w:t>
      </w:r>
      <w:r w:rsidRPr="3A7ED23E" w:rsidDel="00F05A27">
        <w:rPr>
          <w:rFonts w:eastAsia="Arial"/>
        </w:rPr>
        <w:t xml:space="preserve"> </w:t>
      </w:r>
      <w:r w:rsidRPr="3A7ED23E">
        <w:rPr>
          <w:rFonts w:eastAsia="Arial"/>
        </w:rPr>
        <w:t>some go into secondary education teaching. Early childhood education qualifications in VET and higher education are accredited by the Australian Children’s Education and Care Quality Authority.</w:t>
      </w:r>
    </w:p>
    <w:p w14:paraId="70B514AD" w14:textId="4662FA9A" w:rsidR="0039688A" w:rsidRPr="00F05A27" w:rsidRDefault="0039688A" w:rsidP="000D0A92">
      <w:pPr>
        <w:rPr>
          <w:rFonts w:eastAsia="Arial"/>
          <w:b/>
          <w:iCs/>
          <w:color w:val="auto"/>
          <w:szCs w:val="18"/>
        </w:rPr>
      </w:pPr>
      <w:r w:rsidRPr="3A7ED23E">
        <w:rPr>
          <w:rFonts w:eastAsia="Arial"/>
        </w:rPr>
        <w:t>The number of commencements in higher education on the basis of VET is also related to the size of the VET cohorts and the rate of transition to higher education</w:t>
      </w:r>
      <w:r>
        <w:rPr>
          <w:rFonts w:eastAsia="Arial"/>
        </w:rPr>
        <w:t xml:space="preserve"> (see figure 6)</w:t>
      </w:r>
      <w:r w:rsidRPr="3A7ED23E">
        <w:rPr>
          <w:rFonts w:eastAsia="Arial"/>
        </w:rPr>
        <w:t>. In 2024, the most popular VET qualifications for domestic government-funded learners were in early childhood education and care, and individual support (NCVER 2025</w:t>
      </w:r>
      <w:r>
        <w:rPr>
          <w:rFonts w:eastAsia="Arial"/>
        </w:rPr>
        <w:t>a</w:t>
      </w:r>
      <w:r w:rsidRPr="3A7ED23E">
        <w:rPr>
          <w:rFonts w:eastAsia="Arial"/>
        </w:rPr>
        <w:t>). Teacher education commencements in higher education on the basis of VET are lower than nursing because fewer students progress to higher education in the year following completion, only around 11% (JSA 2023). By comparison, the Diploma of Nursing has the highest progression to higher education of any VET qualification, with 35% of graduates progressing to higher education (JSA 2023).</w:t>
      </w:r>
    </w:p>
    <w:tbl>
      <w:tblPr>
        <w:tblStyle w:val="TableGrid20"/>
        <w:tblpPr w:leftFromText="180" w:rightFromText="180" w:vertAnchor="text" w:tblpY="1"/>
        <w:tblW w:w="5000" w:type="pct"/>
        <w:tblLook w:val="04A0" w:firstRow="1" w:lastRow="0" w:firstColumn="1" w:lastColumn="0" w:noHBand="0" w:noVBand="1"/>
      </w:tblPr>
      <w:tblGrid>
        <w:gridCol w:w="3567"/>
        <w:gridCol w:w="3031"/>
        <w:gridCol w:w="3031"/>
      </w:tblGrid>
      <w:tr w:rsidR="00E72E59" w:rsidRPr="00440B51" w14:paraId="771FE120" w14:textId="77777777" w:rsidTr="001B2BC6">
        <w:trPr>
          <w:cnfStyle w:val="100000000000" w:firstRow="1" w:lastRow="0" w:firstColumn="0" w:lastColumn="0" w:oddVBand="0" w:evenVBand="0" w:oddHBand="0" w:evenHBand="0" w:firstRowFirstColumn="0" w:firstRowLastColumn="0" w:lastRowFirstColumn="0" w:lastRowLastColumn="0"/>
        </w:trPr>
        <w:tc>
          <w:tcPr>
            <w:tcW w:w="1852" w:type="pct"/>
          </w:tcPr>
          <w:p w14:paraId="4B8F6BAF" w14:textId="77777777" w:rsidR="00F878CE" w:rsidRPr="00440B51" w:rsidRDefault="00F878CE" w:rsidP="00E225EB">
            <w:pPr>
              <w:spacing w:after="0"/>
              <w:rPr>
                <w:rFonts w:eastAsia="Arial"/>
              </w:rPr>
            </w:pPr>
            <w:r w:rsidRPr="00440B51">
              <w:rPr>
                <w:rFonts w:eastAsia="Arial"/>
              </w:rPr>
              <w:t>Program title</w:t>
            </w:r>
          </w:p>
        </w:tc>
        <w:tc>
          <w:tcPr>
            <w:tcW w:w="1574" w:type="pct"/>
          </w:tcPr>
          <w:p w14:paraId="4ECEE8C9" w14:textId="77777777" w:rsidR="00F878CE" w:rsidRPr="00440B51" w:rsidRDefault="00F878CE" w:rsidP="00E225EB">
            <w:pPr>
              <w:spacing w:after="0"/>
              <w:rPr>
                <w:rFonts w:eastAsia="Arial"/>
              </w:rPr>
            </w:pPr>
            <w:r w:rsidRPr="00440B51">
              <w:rPr>
                <w:rFonts w:eastAsia="Arial"/>
              </w:rPr>
              <w:t>Field of Education</w:t>
            </w:r>
          </w:p>
        </w:tc>
        <w:tc>
          <w:tcPr>
            <w:tcW w:w="1574" w:type="pct"/>
          </w:tcPr>
          <w:p w14:paraId="72C53910" w14:textId="77777777" w:rsidR="00F878CE" w:rsidRPr="00440B51" w:rsidRDefault="00F878CE" w:rsidP="00E225EB">
            <w:pPr>
              <w:spacing w:after="0"/>
              <w:rPr>
                <w:rFonts w:eastAsia="Arial"/>
              </w:rPr>
            </w:pPr>
            <w:r w:rsidRPr="00440B51">
              <w:rPr>
                <w:rFonts w:eastAsia="Arial"/>
              </w:rPr>
              <w:t>Progression to Higher Education</w:t>
            </w:r>
          </w:p>
        </w:tc>
      </w:tr>
      <w:tr w:rsidR="00E72E59" w:rsidRPr="00440B51" w14:paraId="58FC02DB" w14:textId="77777777" w:rsidTr="001B2BC6">
        <w:tc>
          <w:tcPr>
            <w:tcW w:w="1852" w:type="pct"/>
          </w:tcPr>
          <w:p w14:paraId="1D0C8A8E" w14:textId="77777777" w:rsidR="00F878CE" w:rsidRPr="00440B51" w:rsidRDefault="00F878CE" w:rsidP="00E225EB">
            <w:pPr>
              <w:spacing w:after="0"/>
              <w:rPr>
                <w:rFonts w:eastAsia="Arial"/>
              </w:rPr>
            </w:pPr>
            <w:r w:rsidRPr="00440B51">
              <w:rPr>
                <w:rFonts w:eastAsia="Arial"/>
              </w:rPr>
              <w:t>Diploma of Nursing</w:t>
            </w:r>
          </w:p>
        </w:tc>
        <w:tc>
          <w:tcPr>
            <w:tcW w:w="1574" w:type="pct"/>
          </w:tcPr>
          <w:p w14:paraId="0835C28F" w14:textId="77777777" w:rsidR="00F878CE" w:rsidRPr="00440B51" w:rsidRDefault="00F878CE" w:rsidP="00E225EB">
            <w:pPr>
              <w:spacing w:after="0"/>
              <w:rPr>
                <w:rFonts w:eastAsia="Arial"/>
              </w:rPr>
            </w:pPr>
            <w:r w:rsidRPr="00440B51">
              <w:rPr>
                <w:rFonts w:eastAsia="Arial"/>
              </w:rPr>
              <w:t>Health</w:t>
            </w:r>
          </w:p>
        </w:tc>
        <w:tc>
          <w:tcPr>
            <w:tcW w:w="1574" w:type="pct"/>
          </w:tcPr>
          <w:p w14:paraId="11759030" w14:textId="77777777" w:rsidR="00F878CE" w:rsidRPr="00440B51" w:rsidRDefault="00F878CE" w:rsidP="00E225EB">
            <w:pPr>
              <w:spacing w:after="0"/>
              <w:rPr>
                <w:rFonts w:eastAsia="Arial"/>
              </w:rPr>
            </w:pPr>
            <w:r w:rsidRPr="00440B51">
              <w:rPr>
                <w:rFonts w:eastAsia="Arial"/>
              </w:rPr>
              <w:t>35.0%</w:t>
            </w:r>
          </w:p>
        </w:tc>
      </w:tr>
      <w:tr w:rsidR="00E72E59" w:rsidRPr="00440B51" w14:paraId="199BD674" w14:textId="77777777" w:rsidTr="001B2BC6">
        <w:tc>
          <w:tcPr>
            <w:tcW w:w="1852" w:type="pct"/>
          </w:tcPr>
          <w:p w14:paraId="57066E50" w14:textId="77777777" w:rsidR="00F878CE" w:rsidRPr="00440B51" w:rsidRDefault="00F878CE" w:rsidP="00E225EB">
            <w:pPr>
              <w:spacing w:after="0"/>
              <w:rPr>
                <w:rFonts w:eastAsia="Arial"/>
              </w:rPr>
            </w:pPr>
            <w:r w:rsidRPr="00440B51">
              <w:rPr>
                <w:rFonts w:eastAsia="Arial"/>
              </w:rPr>
              <w:t>Diploma of Information Technology</w:t>
            </w:r>
          </w:p>
        </w:tc>
        <w:tc>
          <w:tcPr>
            <w:tcW w:w="1574" w:type="pct"/>
          </w:tcPr>
          <w:p w14:paraId="4A8BB0F3" w14:textId="77777777" w:rsidR="00F878CE" w:rsidRPr="00440B51" w:rsidRDefault="00F878CE" w:rsidP="00E225EB">
            <w:pPr>
              <w:spacing w:after="0"/>
              <w:rPr>
                <w:rFonts w:eastAsia="Arial"/>
              </w:rPr>
            </w:pPr>
            <w:r w:rsidRPr="00440B51">
              <w:rPr>
                <w:rFonts w:eastAsia="Arial"/>
              </w:rPr>
              <w:t>Information Technology</w:t>
            </w:r>
          </w:p>
        </w:tc>
        <w:tc>
          <w:tcPr>
            <w:tcW w:w="1574" w:type="pct"/>
          </w:tcPr>
          <w:p w14:paraId="6C102EB8" w14:textId="77777777" w:rsidR="00F878CE" w:rsidRPr="00440B51" w:rsidRDefault="00F878CE" w:rsidP="00E225EB">
            <w:pPr>
              <w:spacing w:after="0"/>
              <w:rPr>
                <w:rFonts w:eastAsia="Arial"/>
              </w:rPr>
            </w:pPr>
            <w:r w:rsidRPr="00440B51">
              <w:rPr>
                <w:rFonts w:eastAsia="Arial"/>
              </w:rPr>
              <w:t>29.5%</w:t>
            </w:r>
          </w:p>
        </w:tc>
      </w:tr>
      <w:tr w:rsidR="00E72E59" w:rsidRPr="00440B51" w14:paraId="6CABD128" w14:textId="77777777" w:rsidTr="001B2BC6">
        <w:tc>
          <w:tcPr>
            <w:tcW w:w="1852" w:type="pct"/>
          </w:tcPr>
          <w:p w14:paraId="0A7EE155" w14:textId="77777777" w:rsidR="00F878CE" w:rsidRPr="00440B51" w:rsidRDefault="00F878CE" w:rsidP="00E225EB">
            <w:pPr>
              <w:spacing w:after="0"/>
              <w:rPr>
                <w:rFonts w:eastAsia="Arial"/>
              </w:rPr>
            </w:pPr>
            <w:r w:rsidRPr="00440B51">
              <w:rPr>
                <w:rFonts w:eastAsia="Arial"/>
              </w:rPr>
              <w:t>Diploma of Business</w:t>
            </w:r>
          </w:p>
        </w:tc>
        <w:tc>
          <w:tcPr>
            <w:tcW w:w="1574" w:type="pct"/>
          </w:tcPr>
          <w:p w14:paraId="02DC0BED" w14:textId="77777777" w:rsidR="00F878CE" w:rsidRPr="00440B51" w:rsidRDefault="00F878CE" w:rsidP="00E225EB">
            <w:pPr>
              <w:spacing w:after="0"/>
              <w:rPr>
                <w:rFonts w:eastAsia="Arial"/>
              </w:rPr>
            </w:pPr>
            <w:r w:rsidRPr="00440B51">
              <w:rPr>
                <w:rFonts w:eastAsia="Arial"/>
              </w:rPr>
              <w:t>Management &amp; Commerce</w:t>
            </w:r>
          </w:p>
        </w:tc>
        <w:tc>
          <w:tcPr>
            <w:tcW w:w="1574" w:type="pct"/>
          </w:tcPr>
          <w:p w14:paraId="4EC222CB" w14:textId="77777777" w:rsidR="00F878CE" w:rsidRPr="00440B51" w:rsidRDefault="00F878CE" w:rsidP="00E225EB">
            <w:pPr>
              <w:spacing w:after="0"/>
              <w:rPr>
                <w:rFonts w:eastAsia="Arial"/>
              </w:rPr>
            </w:pPr>
            <w:r w:rsidRPr="00440B51">
              <w:rPr>
                <w:rFonts w:eastAsia="Arial"/>
              </w:rPr>
              <w:t>23.5%</w:t>
            </w:r>
          </w:p>
        </w:tc>
      </w:tr>
      <w:tr w:rsidR="00E72E59" w:rsidRPr="00440B51" w14:paraId="1B0C6B09" w14:textId="77777777" w:rsidTr="001B2BC6">
        <w:tc>
          <w:tcPr>
            <w:tcW w:w="1852" w:type="pct"/>
          </w:tcPr>
          <w:p w14:paraId="1683E73E" w14:textId="77777777" w:rsidR="00F878CE" w:rsidRPr="00440B51" w:rsidRDefault="00F878CE" w:rsidP="00E225EB">
            <w:pPr>
              <w:spacing w:after="0"/>
              <w:rPr>
                <w:rFonts w:eastAsia="Arial"/>
              </w:rPr>
            </w:pPr>
            <w:r w:rsidRPr="00440B51">
              <w:rPr>
                <w:rFonts w:eastAsia="Arial"/>
              </w:rPr>
              <w:t>Diploma of Screen and Media</w:t>
            </w:r>
          </w:p>
        </w:tc>
        <w:tc>
          <w:tcPr>
            <w:tcW w:w="1574" w:type="pct"/>
          </w:tcPr>
          <w:p w14:paraId="1D387DEB" w14:textId="77777777" w:rsidR="00F878CE" w:rsidRPr="00440B51" w:rsidRDefault="00F878CE" w:rsidP="00E225EB">
            <w:pPr>
              <w:spacing w:after="0"/>
              <w:rPr>
                <w:rFonts w:eastAsia="Arial"/>
              </w:rPr>
            </w:pPr>
            <w:r w:rsidRPr="00440B51">
              <w:rPr>
                <w:rFonts w:eastAsia="Arial"/>
              </w:rPr>
              <w:t>Creative Arts</w:t>
            </w:r>
          </w:p>
        </w:tc>
        <w:tc>
          <w:tcPr>
            <w:tcW w:w="1574" w:type="pct"/>
          </w:tcPr>
          <w:p w14:paraId="1B435400" w14:textId="772DE51F" w:rsidR="00F878CE" w:rsidRPr="00440B51" w:rsidRDefault="00F878CE" w:rsidP="00E225EB">
            <w:pPr>
              <w:spacing w:after="0"/>
              <w:rPr>
                <w:rFonts w:eastAsia="Arial"/>
              </w:rPr>
            </w:pPr>
            <w:r w:rsidRPr="00440B51">
              <w:rPr>
                <w:rFonts w:eastAsia="Arial"/>
              </w:rPr>
              <w:t>20.9</w:t>
            </w:r>
            <w:r>
              <w:rPr>
                <w:rFonts w:eastAsia="Arial"/>
              </w:rPr>
              <w:t>%</w:t>
            </w:r>
          </w:p>
        </w:tc>
      </w:tr>
      <w:tr w:rsidR="00E72E59" w:rsidRPr="00440B51" w14:paraId="3B63AEBC" w14:textId="77777777" w:rsidTr="001B2BC6">
        <w:tc>
          <w:tcPr>
            <w:tcW w:w="1852" w:type="pct"/>
          </w:tcPr>
          <w:p w14:paraId="4673073F" w14:textId="77777777" w:rsidR="00F878CE" w:rsidRPr="00440B51" w:rsidRDefault="00F878CE" w:rsidP="00E225EB">
            <w:pPr>
              <w:spacing w:after="0"/>
              <w:rPr>
                <w:rFonts w:eastAsia="Arial"/>
              </w:rPr>
            </w:pPr>
            <w:r w:rsidRPr="00440B51">
              <w:rPr>
                <w:rFonts w:eastAsia="Arial"/>
              </w:rPr>
              <w:t>Diploma of Accounting</w:t>
            </w:r>
          </w:p>
        </w:tc>
        <w:tc>
          <w:tcPr>
            <w:tcW w:w="1574" w:type="pct"/>
          </w:tcPr>
          <w:p w14:paraId="3547B2E6" w14:textId="77777777" w:rsidR="00F878CE" w:rsidRPr="00440B51" w:rsidRDefault="00F878CE" w:rsidP="00E225EB">
            <w:pPr>
              <w:spacing w:after="0"/>
              <w:rPr>
                <w:rFonts w:eastAsia="Arial"/>
              </w:rPr>
            </w:pPr>
            <w:r w:rsidRPr="00440B51">
              <w:rPr>
                <w:rFonts w:eastAsia="Arial"/>
              </w:rPr>
              <w:t>Mixed Field Programmes</w:t>
            </w:r>
          </w:p>
        </w:tc>
        <w:tc>
          <w:tcPr>
            <w:tcW w:w="1574" w:type="pct"/>
          </w:tcPr>
          <w:p w14:paraId="1AA6F6E7" w14:textId="77777777" w:rsidR="00F878CE" w:rsidRPr="00440B51" w:rsidRDefault="00F878CE" w:rsidP="00E225EB">
            <w:pPr>
              <w:spacing w:after="0"/>
              <w:rPr>
                <w:rFonts w:eastAsia="Arial"/>
              </w:rPr>
            </w:pPr>
            <w:r w:rsidRPr="00440B51">
              <w:rPr>
                <w:rFonts w:eastAsia="Arial"/>
              </w:rPr>
              <w:t>20.6%</w:t>
            </w:r>
          </w:p>
        </w:tc>
      </w:tr>
    </w:tbl>
    <w:p w14:paraId="6B1070CA" w14:textId="192266A7" w:rsidR="00F05A27" w:rsidRDefault="00440B51" w:rsidP="00440B51">
      <w:pPr>
        <w:pStyle w:val="Caption"/>
      </w:pPr>
      <w:bookmarkStart w:id="41" w:name="_Toc228799280"/>
      <w:r>
        <w:t xml:space="preserve">Figure </w:t>
      </w:r>
      <w:r>
        <w:fldChar w:fldCharType="begin"/>
      </w:r>
      <w:r>
        <w:instrText xml:space="preserve"> SEQ Figure \* ARABIC </w:instrText>
      </w:r>
      <w:r>
        <w:fldChar w:fldCharType="separate"/>
      </w:r>
      <w:r w:rsidR="008645D3">
        <w:rPr>
          <w:noProof/>
        </w:rPr>
        <w:t>6</w:t>
      </w:r>
      <w:r>
        <w:fldChar w:fldCharType="end"/>
      </w:r>
      <w:r>
        <w:t>: Top 5 VET qualifications leading to higher education enrolments</w:t>
      </w:r>
      <w:r w:rsidR="00A857B9">
        <w:t xml:space="preserve"> in the year following completion</w:t>
      </w:r>
      <w:bookmarkEnd w:id="41"/>
    </w:p>
    <w:p w14:paraId="6E4D32BF" w14:textId="073EAFC7" w:rsidR="00F878CE" w:rsidRDefault="00440B51" w:rsidP="0039688A">
      <w:pPr>
        <w:pStyle w:val="Source"/>
        <w:rPr>
          <w:rFonts w:eastAsia="Arial"/>
        </w:rPr>
      </w:pPr>
      <w:r>
        <w:rPr>
          <w:rFonts w:eastAsia="Arial"/>
        </w:rPr>
        <w:t>Jobs and Skills Australia 202</w:t>
      </w:r>
      <w:r w:rsidR="00823033">
        <w:rPr>
          <w:rFonts w:eastAsia="Arial"/>
        </w:rPr>
        <w:t xml:space="preserve">3. Data sourced from the Multi-Agency Data Integration Project (MADIP), 2002-2021, VET National Data Asset, ABS Datalab. Findings based on use of MADIP data. </w:t>
      </w:r>
    </w:p>
    <w:p w14:paraId="05DE09F5" w14:textId="77777777" w:rsidR="00A45B61" w:rsidRDefault="00A36E6E" w:rsidP="00F05A27">
      <w:pPr>
        <w:rPr>
          <w:rFonts w:eastAsia="Arial"/>
        </w:rPr>
      </w:pPr>
      <w:r>
        <w:rPr>
          <w:rFonts w:eastAsia="Arial"/>
        </w:rPr>
        <w:t>The popularity of different pathways</w:t>
      </w:r>
      <w:r w:rsidR="009E71AB">
        <w:rPr>
          <w:rFonts w:eastAsia="Arial"/>
        </w:rPr>
        <w:t xml:space="preserve"> </w:t>
      </w:r>
      <w:r w:rsidR="00DC27E0">
        <w:rPr>
          <w:rFonts w:eastAsia="Arial"/>
        </w:rPr>
        <w:t xml:space="preserve">is connected to the extent to which the higher education and </w:t>
      </w:r>
      <w:r w:rsidR="00F878CE">
        <w:rPr>
          <w:rFonts w:eastAsia="Arial"/>
        </w:rPr>
        <w:t>V</w:t>
      </w:r>
      <w:r w:rsidR="00DC27E0">
        <w:rPr>
          <w:rFonts w:eastAsia="Arial"/>
        </w:rPr>
        <w:t xml:space="preserve">ET qualifications are connected, and how they are recognised in different occupations. </w:t>
      </w:r>
      <w:r w:rsidR="5C7C1053" w:rsidRPr="0D1ABB2F">
        <w:rPr>
          <w:rFonts w:eastAsia="Arial"/>
        </w:rPr>
        <w:t>Wheelahan et al. (2015) identified four broad types of qualification</w:t>
      </w:r>
      <w:r w:rsidR="002347A0">
        <w:rPr>
          <w:rFonts w:eastAsia="Arial"/>
        </w:rPr>
        <w:t xml:space="preserve"> pathways</w:t>
      </w:r>
      <w:r w:rsidR="000E73AC">
        <w:rPr>
          <w:rFonts w:eastAsia="Arial"/>
        </w:rPr>
        <w:t>,</w:t>
      </w:r>
      <w:r w:rsidR="5C7C1053" w:rsidRPr="0D1ABB2F">
        <w:rPr>
          <w:rFonts w:eastAsia="Arial"/>
        </w:rPr>
        <w:t xml:space="preserve"> based on the strength of their links to occupations and </w:t>
      </w:r>
      <w:r w:rsidR="00C92174">
        <w:rPr>
          <w:rFonts w:eastAsia="Arial"/>
        </w:rPr>
        <w:t xml:space="preserve">to </w:t>
      </w:r>
      <w:r w:rsidR="5C7C1053" w:rsidRPr="0D1ABB2F">
        <w:rPr>
          <w:rFonts w:eastAsia="Arial"/>
        </w:rPr>
        <w:t xml:space="preserve">VET and higher </w:t>
      </w:r>
      <w:r w:rsidR="00C92174">
        <w:rPr>
          <w:rFonts w:eastAsia="Arial"/>
        </w:rPr>
        <w:t xml:space="preserve">education </w:t>
      </w:r>
      <w:r w:rsidR="5C7C1053" w:rsidRPr="0D1ABB2F">
        <w:rPr>
          <w:rFonts w:eastAsia="Arial"/>
        </w:rPr>
        <w:t>pathways within the same field of education</w:t>
      </w:r>
      <w:r w:rsidR="006A25C6">
        <w:rPr>
          <w:rFonts w:eastAsia="Arial"/>
        </w:rPr>
        <w:t>,</w:t>
      </w:r>
      <w:r w:rsidR="008B3CD1">
        <w:rPr>
          <w:rFonts w:eastAsia="Arial"/>
        </w:rPr>
        <w:t xml:space="preserve"> as</w:t>
      </w:r>
      <w:r w:rsidR="006A25C6">
        <w:rPr>
          <w:rFonts w:eastAsia="Arial"/>
        </w:rPr>
        <w:t xml:space="preserve"> shown in figure 7</w:t>
      </w:r>
      <w:r w:rsidR="5C7C1053" w:rsidRPr="0D1ABB2F">
        <w:rPr>
          <w:rFonts w:eastAsia="Arial"/>
        </w:rPr>
        <w:t xml:space="preserve">. In fields with weak occupational links but strong pathways, such as business, qualifications </w:t>
      </w:r>
      <w:r w:rsidR="5C7C1053" w:rsidRPr="0D1ABB2F" w:rsidDel="0067518B">
        <w:rPr>
          <w:rFonts w:eastAsia="Arial"/>
        </w:rPr>
        <w:t xml:space="preserve">are used to </w:t>
      </w:r>
      <w:r w:rsidR="5C7C1053" w:rsidRPr="0D1ABB2F">
        <w:rPr>
          <w:rFonts w:eastAsia="Arial"/>
        </w:rPr>
        <w:t xml:space="preserve">screen applicants and studying higher level qualifications can </w:t>
      </w:r>
      <w:r w:rsidR="5C7C1053" w:rsidRPr="0D1ABB2F" w:rsidDel="000751B0">
        <w:rPr>
          <w:rFonts w:eastAsia="Arial"/>
        </w:rPr>
        <w:t>help with securing a</w:t>
      </w:r>
      <w:r w:rsidR="5C7C1053" w:rsidRPr="0D1ABB2F">
        <w:rPr>
          <w:rFonts w:eastAsia="Arial"/>
        </w:rPr>
        <w:t xml:space="preserve"> better job. Nursing</w:t>
      </w:r>
      <w:r w:rsidR="004B6E35">
        <w:rPr>
          <w:rFonts w:eastAsia="Arial"/>
        </w:rPr>
        <w:t xml:space="preserve"> </w:t>
      </w:r>
      <w:r w:rsidR="5C7C1053" w:rsidRPr="0D1ABB2F" w:rsidDel="004B6E35">
        <w:rPr>
          <w:rFonts w:eastAsia="Arial"/>
        </w:rPr>
        <w:t xml:space="preserve">is an example of qualifications with </w:t>
      </w:r>
      <w:r w:rsidR="5C7C1053" w:rsidRPr="0D1ABB2F">
        <w:rPr>
          <w:rFonts w:eastAsia="Arial"/>
        </w:rPr>
        <w:t>strong occupational links and</w:t>
      </w:r>
      <w:r w:rsidR="5C7C1053" w:rsidRPr="0D1ABB2F" w:rsidDel="00C26FB7">
        <w:rPr>
          <w:rFonts w:eastAsia="Arial"/>
        </w:rPr>
        <w:t xml:space="preserve">, as described above, </w:t>
      </w:r>
      <w:r w:rsidR="5C7C1053" w:rsidRPr="0D1ABB2F">
        <w:rPr>
          <w:rFonts w:eastAsia="Arial"/>
        </w:rPr>
        <w:t>strong pathways</w:t>
      </w:r>
      <w:r w:rsidR="5C7C1053" w:rsidRPr="0D1ABB2F" w:rsidDel="00C111B2">
        <w:rPr>
          <w:rFonts w:eastAsia="Arial"/>
        </w:rPr>
        <w:t xml:space="preserve"> between the sectors</w:t>
      </w:r>
      <w:r w:rsidR="5C7C1053" w:rsidRPr="0D1ABB2F">
        <w:rPr>
          <w:rFonts w:eastAsia="Arial"/>
        </w:rPr>
        <w:t xml:space="preserve">. </w:t>
      </w:r>
      <w:r w:rsidR="00DC27E0">
        <w:rPr>
          <w:rFonts w:eastAsia="Arial"/>
        </w:rPr>
        <w:t xml:space="preserve">This </w:t>
      </w:r>
      <w:r w:rsidR="00531506">
        <w:rPr>
          <w:rFonts w:eastAsia="Arial"/>
        </w:rPr>
        <w:t>may explain the popularity of this VET to higher education pathway.</w:t>
      </w:r>
    </w:p>
    <w:p w14:paraId="248C9D0A" w14:textId="47A79052" w:rsidR="00F05A27" w:rsidRPr="00E231F5" w:rsidRDefault="00C111B2" w:rsidP="00E231F5">
      <w:pPr>
        <w:rPr>
          <w:rFonts w:eastAsia="Arial"/>
        </w:rPr>
      </w:pPr>
      <w:r>
        <w:rPr>
          <w:rFonts w:eastAsia="Arial"/>
        </w:rPr>
        <w:t xml:space="preserve">Some </w:t>
      </w:r>
      <w:r w:rsidR="001C44E4">
        <w:rPr>
          <w:rFonts w:eastAsia="Arial"/>
        </w:rPr>
        <w:t>fields</w:t>
      </w:r>
      <w:r w:rsidR="00613C7E">
        <w:rPr>
          <w:rFonts w:eastAsia="Arial"/>
        </w:rPr>
        <w:t xml:space="preserve"> have</w:t>
      </w:r>
      <w:r w:rsidR="5C7C1053" w:rsidRPr="0D1ABB2F" w:rsidDel="00683050">
        <w:rPr>
          <w:rFonts w:eastAsia="Arial"/>
        </w:rPr>
        <w:t xml:space="preserve"> </w:t>
      </w:r>
      <w:r w:rsidR="5C7C1053" w:rsidRPr="0D1ABB2F">
        <w:rPr>
          <w:rFonts w:eastAsia="Arial"/>
        </w:rPr>
        <w:t xml:space="preserve">strong occupational links but weak </w:t>
      </w:r>
      <w:r w:rsidR="001C44E4">
        <w:rPr>
          <w:rFonts w:eastAsia="Arial"/>
        </w:rPr>
        <w:t xml:space="preserve">qualification </w:t>
      </w:r>
      <w:r w:rsidR="5C7C1053" w:rsidRPr="0D1ABB2F">
        <w:rPr>
          <w:rFonts w:eastAsia="Arial"/>
        </w:rPr>
        <w:t>pathways</w:t>
      </w:r>
      <w:r w:rsidR="5C7C1053" w:rsidRPr="0D1ABB2F" w:rsidDel="008E16F9">
        <w:rPr>
          <w:rFonts w:eastAsia="Arial"/>
        </w:rPr>
        <w:t>, such as engineering</w:t>
      </w:r>
      <w:r w:rsidR="5C7C1053" w:rsidRPr="0D1ABB2F">
        <w:rPr>
          <w:rFonts w:eastAsia="Arial"/>
        </w:rPr>
        <w:t xml:space="preserve">. </w:t>
      </w:r>
      <w:r w:rsidR="5C7C1053" w:rsidRPr="0D1ABB2F" w:rsidDel="008E16F9">
        <w:rPr>
          <w:rFonts w:eastAsia="Arial"/>
        </w:rPr>
        <w:t xml:space="preserve">The </w:t>
      </w:r>
      <w:r w:rsidR="5C7C1053" w:rsidRPr="0D1ABB2F">
        <w:rPr>
          <w:rFonts w:eastAsia="Arial"/>
        </w:rPr>
        <w:t>Certificate III in Electrotechnology Electrician</w:t>
      </w:r>
      <w:r w:rsidR="005158F5">
        <w:rPr>
          <w:rFonts w:eastAsia="Arial"/>
        </w:rPr>
        <w:t>,</w:t>
      </w:r>
      <w:r w:rsidR="5C7C1053" w:rsidRPr="0D1ABB2F" w:rsidDel="008E16F9">
        <w:rPr>
          <w:rFonts w:eastAsia="Arial"/>
        </w:rPr>
        <w:t xml:space="preserve"> </w:t>
      </w:r>
      <w:r w:rsidR="5C7C1053" w:rsidRPr="0D1ABB2F">
        <w:rPr>
          <w:rFonts w:eastAsia="Arial"/>
        </w:rPr>
        <w:t>classified under Engineering and Related Technologies</w:t>
      </w:r>
      <w:r w:rsidR="005158F5">
        <w:rPr>
          <w:rFonts w:eastAsia="Arial"/>
        </w:rPr>
        <w:t>,</w:t>
      </w:r>
      <w:r w:rsidR="5C7C1053" w:rsidRPr="0D1ABB2F">
        <w:rPr>
          <w:rFonts w:eastAsia="Arial"/>
        </w:rPr>
        <w:t xml:space="preserve"> has one of the lowest progression rates to higher education at 1.17%</w:t>
      </w:r>
      <w:r w:rsidR="005158F5">
        <w:rPr>
          <w:rFonts w:eastAsia="Arial"/>
        </w:rPr>
        <w:t xml:space="preserve">, </w:t>
      </w:r>
      <w:r w:rsidR="5C7C1053" w:rsidRPr="0D1ABB2F">
        <w:rPr>
          <w:rFonts w:eastAsia="Arial"/>
        </w:rPr>
        <w:t xml:space="preserve">but </w:t>
      </w:r>
      <w:r w:rsidR="5C7C1053" w:rsidRPr="0D1ABB2F" w:rsidDel="008E16F9">
        <w:rPr>
          <w:rFonts w:eastAsia="Arial"/>
        </w:rPr>
        <w:t xml:space="preserve">also some of the </w:t>
      </w:r>
      <w:r w:rsidR="5C7C1053" w:rsidRPr="0D1ABB2F">
        <w:rPr>
          <w:rFonts w:eastAsia="Arial"/>
        </w:rPr>
        <w:t>high</w:t>
      </w:r>
      <w:r w:rsidR="5C7C1053" w:rsidRPr="0D1ABB2F" w:rsidDel="008E16F9">
        <w:rPr>
          <w:rFonts w:eastAsia="Arial"/>
        </w:rPr>
        <w:t>est</w:t>
      </w:r>
      <w:r w:rsidR="5C7C1053" w:rsidRPr="0D1ABB2F" w:rsidDel="00D22013">
        <w:rPr>
          <w:rFonts w:eastAsia="Arial"/>
        </w:rPr>
        <w:t xml:space="preserve"> rates of</w:t>
      </w:r>
      <w:r w:rsidR="5C7C1053" w:rsidRPr="0D1ABB2F">
        <w:rPr>
          <w:rFonts w:eastAsia="Arial"/>
        </w:rPr>
        <w:t xml:space="preserve"> employment, median income and median </w:t>
      </w:r>
      <w:r w:rsidR="5C7C1053" w:rsidRPr="0D1ABB2F" w:rsidDel="008354D6">
        <w:rPr>
          <w:rFonts w:eastAsia="Arial"/>
        </w:rPr>
        <w:t xml:space="preserve">change in income </w:t>
      </w:r>
      <w:r w:rsidR="5C7C1053" w:rsidRPr="0D1ABB2F">
        <w:rPr>
          <w:rFonts w:eastAsia="Arial"/>
        </w:rPr>
        <w:t xml:space="preserve">after training (JSA 2023). </w:t>
      </w:r>
      <w:r w:rsidR="5C7C1053" w:rsidRPr="0D1ABB2F" w:rsidDel="000C0556">
        <w:rPr>
          <w:rFonts w:eastAsia="Arial"/>
        </w:rPr>
        <w:t xml:space="preserve">Lastly, there are </w:t>
      </w:r>
      <w:r w:rsidR="5C7C1053" w:rsidRPr="0D1ABB2F">
        <w:rPr>
          <w:rFonts w:eastAsia="Arial"/>
        </w:rPr>
        <w:t xml:space="preserve">qualifications with </w:t>
      </w:r>
      <w:r w:rsidR="003A0EC5">
        <w:rPr>
          <w:rFonts w:eastAsia="Arial"/>
        </w:rPr>
        <w:t xml:space="preserve">both </w:t>
      </w:r>
      <w:r w:rsidR="5C7C1053" w:rsidRPr="0D1ABB2F">
        <w:rPr>
          <w:rFonts w:eastAsia="Arial"/>
        </w:rPr>
        <w:t xml:space="preserve">weak </w:t>
      </w:r>
      <w:r w:rsidR="007D149E">
        <w:rPr>
          <w:rFonts w:eastAsia="Arial"/>
        </w:rPr>
        <w:t xml:space="preserve">occupational </w:t>
      </w:r>
      <w:r w:rsidR="5C7C1053" w:rsidRPr="0D1ABB2F">
        <w:rPr>
          <w:rFonts w:eastAsia="Arial"/>
        </w:rPr>
        <w:t>links and pathways</w:t>
      </w:r>
      <w:r w:rsidR="007D149E">
        <w:rPr>
          <w:rFonts w:eastAsia="Arial"/>
        </w:rPr>
        <w:t>,</w:t>
      </w:r>
      <w:r w:rsidR="79BA89AD" w:rsidRPr="0D1ABB2F">
        <w:rPr>
          <w:rFonts w:eastAsia="Arial"/>
        </w:rPr>
        <w:t xml:space="preserve"> such </w:t>
      </w:r>
      <w:r w:rsidR="00E65FB3">
        <w:rPr>
          <w:rFonts w:eastAsia="Arial"/>
        </w:rPr>
        <w:t xml:space="preserve">as </w:t>
      </w:r>
      <w:r w:rsidR="79BA89AD" w:rsidRPr="0D1ABB2F" w:rsidDel="00E65FB3">
        <w:rPr>
          <w:rFonts w:eastAsia="Arial"/>
        </w:rPr>
        <w:t xml:space="preserve">those in </w:t>
      </w:r>
      <w:r w:rsidR="79BA89AD" w:rsidRPr="0D1ABB2F">
        <w:rPr>
          <w:rFonts w:eastAsia="Arial"/>
        </w:rPr>
        <w:t>science or the humanities</w:t>
      </w:r>
      <w:r w:rsidR="5C7C1053" w:rsidRPr="0D1ABB2F">
        <w:rPr>
          <w:rFonts w:eastAsia="Arial"/>
        </w:rPr>
        <w:t xml:space="preserve">. Pathways </w:t>
      </w:r>
      <w:r w:rsidR="00C7194A">
        <w:rPr>
          <w:rFonts w:eastAsia="Arial"/>
        </w:rPr>
        <w:t>for these qualification</w:t>
      </w:r>
      <w:r w:rsidR="003A0EC5">
        <w:rPr>
          <w:rFonts w:eastAsia="Arial"/>
        </w:rPr>
        <w:t>s</w:t>
      </w:r>
      <w:r w:rsidR="5C7C1053" w:rsidRPr="0D1ABB2F" w:rsidDel="00C7194A">
        <w:rPr>
          <w:rFonts w:eastAsia="Arial"/>
        </w:rPr>
        <w:t xml:space="preserve"> </w:t>
      </w:r>
      <w:r w:rsidR="5C7C1053" w:rsidRPr="0D1ABB2F">
        <w:rPr>
          <w:rFonts w:eastAsia="Arial"/>
        </w:rPr>
        <w:t>are weak because “the pure disciplines are not offered in the VET sector” (Wheelahan et al. 2015).</w:t>
      </w:r>
      <w:r w:rsidR="00531506">
        <w:rPr>
          <w:rFonts w:eastAsia="Arial"/>
        </w:rPr>
        <w:t xml:space="preserve"> This is why there tends to be less established pathways between the VET and higher education sectors in these fields.</w:t>
      </w:r>
      <w:r w:rsidR="00E231F5" w:rsidRPr="00E231F5">
        <w:rPr>
          <w:rFonts w:eastAsia="Arial"/>
          <w:noProof/>
        </w:rPr>
        <w:t xml:space="preserve"> </w:t>
      </w:r>
    </w:p>
    <w:p w14:paraId="41713BCF" w14:textId="59AE00D5" w:rsidR="00F05A27" w:rsidRDefault="00BD0B26" w:rsidP="00BD0B26">
      <w:pPr>
        <w:rPr>
          <w:rFonts w:eastAsia="Arial"/>
          <w:b/>
        </w:rPr>
      </w:pPr>
      <w:r w:rsidRPr="00BD0B26">
        <w:rPr>
          <w:rFonts w:eastAsia="Arial"/>
          <w:noProof/>
        </w:rPr>
        <w:drawing>
          <wp:inline distT="0" distB="0" distL="0" distR="0" wp14:anchorId="01E19D8A" wp14:editId="3FCB4333">
            <wp:extent cx="6119551" cy="1902941"/>
            <wp:effectExtent l="0" t="0" r="0" b="2540"/>
            <wp:docPr id="1549436727" name="Picture 1" descr="A graph with four quadrants to show how different fields of education have qualifications with strong or weak links to occupations, and whether they are strong or weak pathways between VET and higher education qual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36727" name="Picture 1" descr="A graph with four quadrants to show how different fields of education have qualifications with strong or weak links to occupations, and whether they are strong or weak pathways between VET and higher education qualifications."/>
                    <pic:cNvPicPr/>
                  </pic:nvPicPr>
                  <pic:blipFill rotWithShape="1">
                    <a:blip r:embed="rId24"/>
                    <a:srcRect t="14214" b="10285"/>
                    <a:stretch>
                      <a:fillRect/>
                    </a:stretch>
                  </pic:blipFill>
                  <pic:spPr bwMode="auto">
                    <a:xfrm>
                      <a:off x="0" y="0"/>
                      <a:ext cx="6120765" cy="1903319"/>
                    </a:xfrm>
                    <a:prstGeom prst="rect">
                      <a:avLst/>
                    </a:prstGeom>
                    <a:ln>
                      <a:noFill/>
                    </a:ln>
                    <a:extLst>
                      <a:ext uri="{53640926-AAD7-44D8-BBD7-CCE9431645EC}">
                        <a14:shadowObscured xmlns:a14="http://schemas.microsoft.com/office/drawing/2010/main"/>
                      </a:ext>
                    </a:extLst>
                  </pic:spPr>
                </pic:pic>
              </a:graphicData>
            </a:graphic>
          </wp:inline>
        </w:drawing>
      </w:r>
      <w:bookmarkStart w:id="42" w:name="_Toc228799281"/>
      <w:r w:rsidR="00F05A27" w:rsidRPr="00F05A27">
        <w:rPr>
          <w:b/>
        </w:rPr>
        <w:t xml:space="preserve">Figure </w:t>
      </w:r>
      <w:r w:rsidR="00F05A27" w:rsidRPr="00F05A27">
        <w:rPr>
          <w:b/>
        </w:rPr>
        <w:fldChar w:fldCharType="begin"/>
      </w:r>
      <w:r w:rsidR="00F05A27" w:rsidRPr="00F05A27">
        <w:rPr>
          <w:b/>
        </w:rPr>
        <w:instrText xml:space="preserve"> SEQ Figure \* ARABIC </w:instrText>
      </w:r>
      <w:r w:rsidR="00F05A27" w:rsidRPr="00F05A27">
        <w:rPr>
          <w:b/>
        </w:rPr>
        <w:fldChar w:fldCharType="separate"/>
      </w:r>
      <w:r w:rsidR="008645D3">
        <w:rPr>
          <w:b/>
          <w:noProof/>
        </w:rPr>
        <w:t>7</w:t>
      </w:r>
      <w:r w:rsidR="00F05A27" w:rsidRPr="00F05A27">
        <w:rPr>
          <w:b/>
        </w:rPr>
        <w:fldChar w:fldCharType="end"/>
      </w:r>
      <w:r w:rsidR="00F05A27" w:rsidRPr="00F05A27">
        <w:rPr>
          <w:b/>
        </w:rPr>
        <w:t>: VET and higher education pathways and links to occupations</w:t>
      </w:r>
      <w:bookmarkEnd w:id="42"/>
    </w:p>
    <w:p w14:paraId="6A77950D" w14:textId="487D6D30" w:rsidR="00C8799B" w:rsidRDefault="00C8799B" w:rsidP="00BD0B26">
      <w:pPr>
        <w:rPr>
          <w:rFonts w:eastAsia="Arial"/>
        </w:rPr>
      </w:pPr>
      <w:r>
        <w:rPr>
          <w:rFonts w:eastAsia="Arial"/>
        </w:rPr>
        <w:t xml:space="preserve">The prevalence of VET in schools </w:t>
      </w:r>
      <w:r w:rsidR="003D1BF3">
        <w:rPr>
          <w:rFonts w:eastAsia="Arial"/>
        </w:rPr>
        <w:t xml:space="preserve">programs </w:t>
      </w:r>
      <w:r w:rsidR="00DB2325">
        <w:rPr>
          <w:rFonts w:eastAsia="Arial"/>
        </w:rPr>
        <w:t>is another</w:t>
      </w:r>
      <w:r w:rsidR="008A1009">
        <w:rPr>
          <w:rFonts w:eastAsia="Arial"/>
        </w:rPr>
        <w:t xml:space="preserve"> contribut</w:t>
      </w:r>
      <w:r w:rsidR="00DB2325">
        <w:rPr>
          <w:rFonts w:eastAsia="Arial"/>
        </w:rPr>
        <w:t>or</w:t>
      </w:r>
      <w:r w:rsidR="008A1009">
        <w:rPr>
          <w:rFonts w:eastAsia="Arial"/>
        </w:rPr>
        <w:t xml:space="preserve"> to</w:t>
      </w:r>
      <w:r w:rsidR="003D1BF3">
        <w:rPr>
          <w:rFonts w:eastAsia="Arial"/>
        </w:rPr>
        <w:t xml:space="preserve"> the</w:t>
      </w:r>
      <w:r w:rsidR="008A1009">
        <w:rPr>
          <w:rFonts w:eastAsia="Arial"/>
        </w:rPr>
        <w:t xml:space="preserve"> high</w:t>
      </w:r>
      <w:r w:rsidR="003D1BF3">
        <w:rPr>
          <w:rFonts w:eastAsia="Arial"/>
        </w:rPr>
        <w:t xml:space="preserve"> number of learners who undertake both VET and higher education in their lifetime. In 2024</w:t>
      </w:r>
      <w:r w:rsidR="00E03F57">
        <w:rPr>
          <w:rFonts w:eastAsia="Arial"/>
        </w:rPr>
        <w:t>, 266,765 students participated in VET in schools – an estimated 27.8% of the school population aged 15-19 in Australia (NCVER 2025</w:t>
      </w:r>
      <w:r w:rsidR="00A617BF">
        <w:rPr>
          <w:rFonts w:eastAsia="Arial"/>
        </w:rPr>
        <w:t>c</w:t>
      </w:r>
      <w:r w:rsidR="00E03F57">
        <w:rPr>
          <w:rFonts w:eastAsia="Arial"/>
        </w:rPr>
        <w:t>)</w:t>
      </w:r>
      <w:r w:rsidR="0019343D">
        <w:rPr>
          <w:rFonts w:eastAsia="Arial"/>
        </w:rPr>
        <w:t xml:space="preserve">. </w:t>
      </w:r>
      <w:r w:rsidR="006E6864">
        <w:rPr>
          <w:rFonts w:eastAsia="Arial"/>
        </w:rPr>
        <w:t>The</w:t>
      </w:r>
      <w:r w:rsidR="00DE08CC">
        <w:rPr>
          <w:rFonts w:eastAsia="Arial"/>
        </w:rPr>
        <w:t xml:space="preserve"> Certificate II </w:t>
      </w:r>
      <w:r w:rsidR="006E6864">
        <w:rPr>
          <w:rFonts w:eastAsia="Arial"/>
        </w:rPr>
        <w:t xml:space="preserve">was </w:t>
      </w:r>
      <w:r w:rsidR="00DE08CC">
        <w:rPr>
          <w:rFonts w:eastAsia="Arial"/>
        </w:rPr>
        <w:t>the most popular qualification type based on 2024 commencing program enrolments</w:t>
      </w:r>
      <w:r w:rsidR="006E6864">
        <w:rPr>
          <w:rFonts w:eastAsia="Arial"/>
        </w:rPr>
        <w:t xml:space="preserve">, with </w:t>
      </w:r>
      <w:r w:rsidR="00541203">
        <w:rPr>
          <w:rFonts w:eastAsia="Arial"/>
        </w:rPr>
        <w:t>the Tourism, Travel and Hospitality and Sport and Recreation training packages the most popular</w:t>
      </w:r>
      <w:r w:rsidR="00DE08CC">
        <w:rPr>
          <w:rFonts w:eastAsia="Arial"/>
        </w:rPr>
        <w:t xml:space="preserve"> (NCVER 2025</w:t>
      </w:r>
      <w:r w:rsidR="006E6864">
        <w:rPr>
          <w:rFonts w:eastAsia="Arial"/>
        </w:rPr>
        <w:t>c</w:t>
      </w:r>
      <w:r w:rsidR="00DE08CC">
        <w:rPr>
          <w:rFonts w:eastAsia="Arial"/>
        </w:rPr>
        <w:t xml:space="preserve">). </w:t>
      </w:r>
      <w:r w:rsidR="00AC26B5">
        <w:rPr>
          <w:rFonts w:eastAsia="Arial"/>
        </w:rPr>
        <w:t xml:space="preserve">As such, there is </w:t>
      </w:r>
      <w:r w:rsidR="008953EC">
        <w:rPr>
          <w:rFonts w:eastAsia="Arial"/>
        </w:rPr>
        <w:t xml:space="preserve">likely to be a substantial proportion of higher education </w:t>
      </w:r>
      <w:r w:rsidR="00937BA1">
        <w:rPr>
          <w:rFonts w:eastAsia="Arial"/>
        </w:rPr>
        <w:t xml:space="preserve">students with a previous VET qualification that </w:t>
      </w:r>
      <w:r w:rsidR="002C46D9">
        <w:rPr>
          <w:rFonts w:eastAsia="Arial"/>
        </w:rPr>
        <w:t>does not</w:t>
      </w:r>
      <w:r w:rsidR="00937BA1">
        <w:rPr>
          <w:rFonts w:eastAsia="Arial"/>
        </w:rPr>
        <w:t xml:space="preserve"> link directly to their higher education </w:t>
      </w:r>
      <w:r w:rsidR="003B153F">
        <w:rPr>
          <w:rFonts w:eastAsia="Arial"/>
        </w:rPr>
        <w:t>qualification and</w:t>
      </w:r>
      <w:r w:rsidR="002C46D9">
        <w:rPr>
          <w:rFonts w:eastAsia="Arial"/>
        </w:rPr>
        <w:t xml:space="preserve"> is unlikely to be considered for credit</w:t>
      </w:r>
      <w:r w:rsidR="00E84627">
        <w:rPr>
          <w:rFonts w:eastAsia="Arial"/>
        </w:rPr>
        <w:t xml:space="preserve">. </w:t>
      </w:r>
    </w:p>
    <w:p w14:paraId="0693DE4C" w14:textId="355EBB55" w:rsidR="00145D2F" w:rsidRDefault="00582315" w:rsidP="00F05A27">
      <w:pPr>
        <w:keepNext/>
        <w:tabs>
          <w:tab w:val="left" w:pos="1134"/>
        </w:tabs>
        <w:spacing w:before="0"/>
        <w:rPr>
          <w:rFonts w:eastAsia="Arial"/>
          <w:color w:val="auto"/>
        </w:rPr>
      </w:pPr>
      <w:r w:rsidRPr="7FA0667E">
        <w:rPr>
          <w:rFonts w:eastAsia="Arial"/>
          <w:color w:val="auto"/>
        </w:rPr>
        <w:t xml:space="preserve">For </w:t>
      </w:r>
      <w:r w:rsidRPr="7FA0667E" w:rsidDel="004212CB">
        <w:rPr>
          <w:rFonts w:eastAsia="Arial"/>
          <w:color w:val="auto"/>
        </w:rPr>
        <w:t xml:space="preserve">students that </w:t>
      </w:r>
      <w:r w:rsidR="005743BF" w:rsidRPr="7FA0667E">
        <w:rPr>
          <w:rFonts w:eastAsia="Arial"/>
          <w:color w:val="auto"/>
        </w:rPr>
        <w:t xml:space="preserve">transition into higher education, </w:t>
      </w:r>
      <w:r w:rsidR="005743BF" w:rsidRPr="7FA0667E" w:rsidDel="00B24A42">
        <w:rPr>
          <w:rFonts w:eastAsia="Arial"/>
          <w:color w:val="auto"/>
        </w:rPr>
        <w:t xml:space="preserve">there is </w:t>
      </w:r>
      <w:r w:rsidR="00134FD0" w:rsidRPr="7FA0667E" w:rsidDel="00B24A42">
        <w:rPr>
          <w:rFonts w:eastAsia="Arial"/>
          <w:color w:val="auto"/>
        </w:rPr>
        <w:t>mixed</w:t>
      </w:r>
      <w:r w:rsidR="005743BF" w:rsidRPr="7FA0667E" w:rsidDel="00B24A42">
        <w:rPr>
          <w:rFonts w:eastAsia="Arial"/>
          <w:color w:val="auto"/>
        </w:rPr>
        <w:t xml:space="preserve"> </w:t>
      </w:r>
      <w:r w:rsidR="005743BF" w:rsidRPr="7FA0667E">
        <w:rPr>
          <w:rFonts w:eastAsia="Arial"/>
          <w:color w:val="auto"/>
        </w:rPr>
        <w:t xml:space="preserve">evidence about </w:t>
      </w:r>
      <w:r w:rsidR="005743BF" w:rsidRPr="7FA0667E" w:rsidDel="00B24A42">
        <w:rPr>
          <w:rFonts w:eastAsia="Arial"/>
          <w:color w:val="auto"/>
        </w:rPr>
        <w:t>th</w:t>
      </w:r>
      <w:r w:rsidR="005949E0" w:rsidRPr="7FA0667E" w:rsidDel="00B24A42">
        <w:rPr>
          <w:rFonts w:eastAsia="Arial"/>
          <w:color w:val="auto"/>
        </w:rPr>
        <w:t xml:space="preserve">eir </w:t>
      </w:r>
      <w:r w:rsidR="005949E0" w:rsidRPr="7FA0667E">
        <w:rPr>
          <w:rFonts w:eastAsia="Arial"/>
          <w:color w:val="auto"/>
        </w:rPr>
        <w:t>performance.</w:t>
      </w:r>
      <w:r w:rsidR="005E5FE4" w:rsidRPr="7FA0667E">
        <w:rPr>
          <w:rFonts w:eastAsia="Arial"/>
          <w:color w:val="auto"/>
        </w:rPr>
        <w:t xml:space="preserve"> Li et al.</w:t>
      </w:r>
      <w:r w:rsidR="006A4937" w:rsidRPr="7FA0667E">
        <w:rPr>
          <w:rFonts w:eastAsia="Arial"/>
          <w:color w:val="auto"/>
        </w:rPr>
        <w:t xml:space="preserve"> (2023)</w:t>
      </w:r>
      <w:r w:rsidR="00E6423C" w:rsidRPr="7FA0667E">
        <w:rPr>
          <w:rFonts w:eastAsia="Arial"/>
          <w:color w:val="auto"/>
        </w:rPr>
        <w:t xml:space="preserve"> analysed data from </w:t>
      </w:r>
      <w:r w:rsidR="00300581" w:rsidRPr="7FA0667E">
        <w:rPr>
          <w:rFonts w:eastAsia="Arial"/>
          <w:color w:val="auto"/>
        </w:rPr>
        <w:t xml:space="preserve">around 80,000 students across 16 Australian universities </w:t>
      </w:r>
      <w:r w:rsidR="00300581" w:rsidRPr="7FA0667E" w:rsidDel="00545052">
        <w:rPr>
          <w:rFonts w:eastAsia="Arial"/>
          <w:color w:val="auto"/>
        </w:rPr>
        <w:t xml:space="preserve">and </w:t>
      </w:r>
      <w:r w:rsidR="00300581" w:rsidRPr="7FA0667E">
        <w:rPr>
          <w:rFonts w:eastAsia="Arial"/>
          <w:color w:val="auto"/>
        </w:rPr>
        <w:t xml:space="preserve">found that </w:t>
      </w:r>
      <w:r w:rsidR="00D946A6" w:rsidRPr="7FA0667E" w:rsidDel="001B7F42">
        <w:rPr>
          <w:rFonts w:eastAsia="Arial"/>
          <w:color w:val="auto"/>
        </w:rPr>
        <w:t xml:space="preserve">the </w:t>
      </w:r>
      <w:r w:rsidR="00D946A6" w:rsidRPr="7FA0667E">
        <w:rPr>
          <w:rFonts w:eastAsia="Arial"/>
          <w:color w:val="auto"/>
        </w:rPr>
        <w:t xml:space="preserve">weighted average mark </w:t>
      </w:r>
      <w:r w:rsidR="00D946A6" w:rsidRPr="7FA0667E" w:rsidDel="008D74B4">
        <w:rPr>
          <w:rFonts w:eastAsia="Arial"/>
          <w:color w:val="auto"/>
        </w:rPr>
        <w:t xml:space="preserve">of students </w:t>
      </w:r>
      <w:r w:rsidR="00857D54" w:rsidRPr="7FA0667E" w:rsidDel="008D74B4">
        <w:rPr>
          <w:rFonts w:eastAsia="Arial"/>
          <w:color w:val="auto"/>
        </w:rPr>
        <w:t xml:space="preserve">using VET pathways was lower than </w:t>
      </w:r>
      <w:r w:rsidR="00AB7ECA" w:rsidRPr="7FA0667E">
        <w:rPr>
          <w:rFonts w:eastAsia="Arial"/>
          <w:color w:val="auto"/>
        </w:rPr>
        <w:t xml:space="preserve">secondary </w:t>
      </w:r>
      <w:r w:rsidR="00AB7ECA" w:rsidRPr="7FA0667E" w:rsidDel="004E5368">
        <w:rPr>
          <w:rFonts w:eastAsia="Arial"/>
          <w:color w:val="auto"/>
        </w:rPr>
        <w:t>education</w:t>
      </w:r>
      <w:r w:rsidR="00AB7ECA" w:rsidRPr="7FA0667E">
        <w:rPr>
          <w:rFonts w:eastAsia="Arial"/>
          <w:color w:val="auto"/>
        </w:rPr>
        <w:t xml:space="preserve"> pathway </w:t>
      </w:r>
      <w:r w:rsidR="00AB7ECA" w:rsidRPr="7FA0667E" w:rsidDel="00F94AE4">
        <w:rPr>
          <w:rFonts w:eastAsia="Arial"/>
          <w:color w:val="auto"/>
        </w:rPr>
        <w:t>students,</w:t>
      </w:r>
      <w:r w:rsidR="002678C7" w:rsidRPr="7FA0667E" w:rsidDel="00F94AE4">
        <w:rPr>
          <w:rFonts w:eastAsia="Arial"/>
          <w:color w:val="auto"/>
        </w:rPr>
        <w:t xml:space="preserve"> but</w:t>
      </w:r>
      <w:r w:rsidR="002678C7" w:rsidRPr="7FA0667E">
        <w:rPr>
          <w:rFonts w:eastAsia="Arial"/>
          <w:color w:val="auto"/>
        </w:rPr>
        <w:t xml:space="preserve"> </w:t>
      </w:r>
      <w:r w:rsidR="000E15B3" w:rsidRPr="7FA0667E">
        <w:rPr>
          <w:rFonts w:eastAsia="Arial"/>
          <w:color w:val="auto"/>
        </w:rPr>
        <w:t xml:space="preserve">the study </w:t>
      </w:r>
      <w:r w:rsidR="002678C7" w:rsidRPr="7FA0667E">
        <w:rPr>
          <w:rFonts w:eastAsia="Arial"/>
          <w:color w:val="auto"/>
        </w:rPr>
        <w:t xml:space="preserve">did not examine </w:t>
      </w:r>
      <w:r w:rsidR="00810EA0" w:rsidRPr="7FA0667E" w:rsidDel="00BC41B3">
        <w:rPr>
          <w:rFonts w:eastAsia="Arial"/>
          <w:color w:val="auto"/>
        </w:rPr>
        <w:t xml:space="preserve">whether those students completed their </w:t>
      </w:r>
      <w:r w:rsidR="007B6D16" w:rsidRPr="7FA0667E" w:rsidDel="00BC41B3">
        <w:rPr>
          <w:rFonts w:eastAsia="Arial"/>
          <w:color w:val="auto"/>
        </w:rPr>
        <w:t>qualifications</w:t>
      </w:r>
      <w:r w:rsidR="002678C7" w:rsidRPr="7FA0667E">
        <w:rPr>
          <w:rFonts w:eastAsia="Arial"/>
          <w:color w:val="auto"/>
        </w:rPr>
        <w:t>.</w:t>
      </w:r>
      <w:r w:rsidR="00D36BBE" w:rsidRPr="00D36BBE">
        <w:t xml:space="preserve"> </w:t>
      </w:r>
      <w:r w:rsidR="00D36BBE" w:rsidRPr="00D36BBE">
        <w:rPr>
          <w:rFonts w:eastAsia="Arial"/>
          <w:color w:val="auto"/>
        </w:rPr>
        <w:t xml:space="preserve">Department of Education data shows that the attrition rate for commencing domestic undergraduate students at Table A universities with VET as their primary basis of admission is higher than the overall attrition rate for 2023, with an attrition rate of 20.8% compared to 13.7% for all students </w:t>
      </w:r>
      <w:r w:rsidR="00570C36" w:rsidRPr="7FA0667E">
        <w:rPr>
          <w:rFonts w:eastAsia="Arial"/>
          <w:color w:val="auto"/>
        </w:rPr>
        <w:t xml:space="preserve">(DoE 2025b). </w:t>
      </w:r>
      <w:r w:rsidR="002C46D9" w:rsidRPr="7FA0667E">
        <w:rPr>
          <w:rFonts w:eastAsia="Arial"/>
          <w:color w:val="auto"/>
        </w:rPr>
        <w:t>However, o</w:t>
      </w:r>
      <w:r w:rsidR="006468B3" w:rsidRPr="7FA0667E">
        <w:rPr>
          <w:rFonts w:eastAsia="Arial"/>
          <w:color w:val="auto"/>
        </w:rPr>
        <w:t>ther</w:t>
      </w:r>
      <w:r w:rsidR="00BC41B3" w:rsidRPr="7FA0667E">
        <w:rPr>
          <w:rFonts w:eastAsia="Arial"/>
          <w:color w:val="auto"/>
        </w:rPr>
        <w:t xml:space="preserve"> </w:t>
      </w:r>
      <w:r w:rsidR="00FF0A37" w:rsidRPr="7FA0667E" w:rsidDel="00BC41B3">
        <w:rPr>
          <w:rFonts w:eastAsia="Arial"/>
          <w:color w:val="auto"/>
        </w:rPr>
        <w:t xml:space="preserve">studies </w:t>
      </w:r>
      <w:r w:rsidR="00D44492" w:rsidRPr="7FA0667E">
        <w:rPr>
          <w:rFonts w:eastAsia="Arial"/>
          <w:color w:val="auto"/>
        </w:rPr>
        <w:t xml:space="preserve">within single institutions </w:t>
      </w:r>
      <w:r w:rsidR="002C630F" w:rsidRPr="7FA0667E">
        <w:rPr>
          <w:rFonts w:eastAsia="Arial"/>
          <w:color w:val="auto"/>
        </w:rPr>
        <w:t xml:space="preserve">have found </w:t>
      </w:r>
      <w:r w:rsidR="0032494B" w:rsidRPr="7FA0667E">
        <w:rPr>
          <w:rFonts w:eastAsia="Arial"/>
          <w:color w:val="auto"/>
        </w:rPr>
        <w:t>VET</w:t>
      </w:r>
      <w:r w:rsidR="00F526F9" w:rsidRPr="7FA0667E">
        <w:rPr>
          <w:rFonts w:eastAsia="Arial"/>
          <w:color w:val="auto"/>
        </w:rPr>
        <w:t xml:space="preserve"> entry </w:t>
      </w:r>
      <w:r w:rsidR="005C467A" w:rsidRPr="7FA0667E">
        <w:rPr>
          <w:rFonts w:eastAsia="Arial"/>
          <w:color w:val="auto"/>
        </w:rPr>
        <w:t>learners</w:t>
      </w:r>
      <w:r w:rsidR="00F526F9" w:rsidRPr="7FA0667E" w:rsidDel="005C467A">
        <w:rPr>
          <w:rFonts w:eastAsia="Arial"/>
          <w:color w:val="auto"/>
        </w:rPr>
        <w:t xml:space="preserve"> </w:t>
      </w:r>
      <w:r w:rsidR="003E0F7F" w:rsidRPr="7FA0667E" w:rsidDel="005C467A">
        <w:rPr>
          <w:rFonts w:eastAsia="Arial"/>
          <w:color w:val="auto"/>
        </w:rPr>
        <w:t>have</w:t>
      </w:r>
      <w:r w:rsidR="003E0F7F" w:rsidRPr="7FA0667E">
        <w:rPr>
          <w:rFonts w:eastAsia="Arial"/>
          <w:color w:val="auto"/>
        </w:rPr>
        <w:t xml:space="preserve"> perform</w:t>
      </w:r>
      <w:r w:rsidR="003E0F7F" w:rsidRPr="7FA0667E" w:rsidDel="005C467A">
        <w:rPr>
          <w:rFonts w:eastAsia="Arial"/>
          <w:color w:val="auto"/>
        </w:rPr>
        <w:t>ed</w:t>
      </w:r>
      <w:r w:rsidR="003E0F7F" w:rsidRPr="7FA0667E">
        <w:rPr>
          <w:rFonts w:eastAsia="Arial"/>
          <w:color w:val="auto"/>
        </w:rPr>
        <w:t xml:space="preserve"> as well </w:t>
      </w:r>
      <w:r w:rsidR="005C467A" w:rsidRPr="7FA0667E">
        <w:rPr>
          <w:rFonts w:eastAsia="Arial"/>
          <w:color w:val="auto"/>
        </w:rPr>
        <w:t xml:space="preserve">as, </w:t>
      </w:r>
      <w:r w:rsidR="003E0F7F" w:rsidRPr="7FA0667E">
        <w:rPr>
          <w:rFonts w:eastAsia="Arial"/>
          <w:color w:val="auto"/>
        </w:rPr>
        <w:t xml:space="preserve">or better than </w:t>
      </w:r>
      <w:r w:rsidR="003E0A71" w:rsidRPr="7FA0667E">
        <w:rPr>
          <w:rFonts w:eastAsia="Arial"/>
          <w:color w:val="auto"/>
        </w:rPr>
        <w:t>secondary school e</w:t>
      </w:r>
      <w:r w:rsidR="000C25EE" w:rsidRPr="7FA0667E">
        <w:rPr>
          <w:rFonts w:eastAsia="Arial"/>
          <w:color w:val="auto"/>
        </w:rPr>
        <w:t xml:space="preserve">ntrants </w:t>
      </w:r>
      <w:r w:rsidR="00293A99" w:rsidRPr="7FA0667E">
        <w:rPr>
          <w:rFonts w:eastAsia="Arial"/>
          <w:color w:val="auto"/>
        </w:rPr>
        <w:t xml:space="preserve">or the general </w:t>
      </w:r>
      <w:r w:rsidR="00A1026B" w:rsidRPr="7FA0667E">
        <w:rPr>
          <w:rFonts w:eastAsia="Arial"/>
          <w:color w:val="auto"/>
        </w:rPr>
        <w:t xml:space="preserve">learner </w:t>
      </w:r>
      <w:r w:rsidR="00293A99" w:rsidRPr="7FA0667E">
        <w:rPr>
          <w:rFonts w:eastAsia="Arial"/>
          <w:color w:val="auto"/>
        </w:rPr>
        <w:t xml:space="preserve">population </w:t>
      </w:r>
      <w:r w:rsidR="000C25EE" w:rsidRPr="7FA0667E">
        <w:rPr>
          <w:rFonts w:eastAsia="Arial"/>
          <w:color w:val="auto"/>
        </w:rPr>
        <w:t>(</w:t>
      </w:r>
      <w:r w:rsidR="000D5F7B" w:rsidRPr="7FA0667E">
        <w:rPr>
          <w:rFonts w:eastAsia="Arial"/>
          <w:color w:val="auto"/>
        </w:rPr>
        <w:t xml:space="preserve">Langworthy and Johns 2012; </w:t>
      </w:r>
      <w:r w:rsidR="000C25EE" w:rsidRPr="7FA0667E">
        <w:rPr>
          <w:rFonts w:eastAsia="Arial"/>
          <w:color w:val="auto"/>
        </w:rPr>
        <w:t>Vanderburg</w:t>
      </w:r>
      <w:r w:rsidR="0006411F" w:rsidRPr="7FA0667E">
        <w:rPr>
          <w:rFonts w:eastAsia="Arial"/>
          <w:color w:val="auto"/>
        </w:rPr>
        <w:t xml:space="preserve"> et al. 2023</w:t>
      </w:r>
      <w:r w:rsidR="0076052B" w:rsidRPr="7FA0667E">
        <w:rPr>
          <w:rFonts w:eastAsia="Arial"/>
          <w:color w:val="auto"/>
        </w:rPr>
        <w:t>)</w:t>
      </w:r>
      <w:r w:rsidR="00C12294" w:rsidRPr="7FA0667E">
        <w:rPr>
          <w:rFonts w:eastAsia="Arial"/>
          <w:color w:val="auto"/>
        </w:rPr>
        <w:t xml:space="preserve">. </w:t>
      </w:r>
      <w:r w:rsidR="0076052B" w:rsidRPr="7FA0667E">
        <w:rPr>
          <w:rFonts w:eastAsia="Arial"/>
          <w:color w:val="auto"/>
        </w:rPr>
        <w:t xml:space="preserve">Cram (2011) </w:t>
      </w:r>
      <w:r w:rsidR="00556B92" w:rsidRPr="7FA0667E">
        <w:rPr>
          <w:rFonts w:eastAsia="Arial"/>
          <w:color w:val="auto"/>
        </w:rPr>
        <w:t xml:space="preserve">similarly </w:t>
      </w:r>
      <w:r w:rsidR="00785D14" w:rsidRPr="7FA0667E">
        <w:rPr>
          <w:rFonts w:eastAsia="Arial"/>
          <w:color w:val="auto"/>
        </w:rPr>
        <w:t>found that</w:t>
      </w:r>
      <w:r w:rsidR="00556B92" w:rsidRPr="7FA0667E">
        <w:rPr>
          <w:rFonts w:eastAsia="Arial"/>
          <w:color w:val="auto"/>
        </w:rPr>
        <w:t>,</w:t>
      </w:r>
      <w:r w:rsidR="00785D14" w:rsidRPr="7FA0667E">
        <w:rPr>
          <w:rFonts w:eastAsia="Arial"/>
          <w:color w:val="auto"/>
        </w:rPr>
        <w:t xml:space="preserve"> </w:t>
      </w:r>
      <w:r w:rsidR="009B7DDB" w:rsidRPr="7FA0667E">
        <w:rPr>
          <w:rFonts w:eastAsia="Arial"/>
          <w:color w:val="auto"/>
        </w:rPr>
        <w:t>between 2007</w:t>
      </w:r>
      <w:r w:rsidR="00556B92" w:rsidRPr="7FA0667E">
        <w:rPr>
          <w:rFonts w:eastAsia="Arial"/>
          <w:color w:val="auto"/>
        </w:rPr>
        <w:t xml:space="preserve"> and </w:t>
      </w:r>
      <w:r w:rsidR="009B7DDB" w:rsidRPr="7FA0667E">
        <w:rPr>
          <w:rFonts w:eastAsia="Arial"/>
          <w:color w:val="auto"/>
        </w:rPr>
        <w:t>2009, U</w:t>
      </w:r>
      <w:r w:rsidR="00556B92" w:rsidRPr="7FA0667E">
        <w:rPr>
          <w:rFonts w:eastAsia="Arial"/>
          <w:color w:val="auto"/>
        </w:rPr>
        <w:t xml:space="preserve">niversity of </w:t>
      </w:r>
      <w:r w:rsidR="009B7DDB" w:rsidRPr="7FA0667E">
        <w:rPr>
          <w:rFonts w:eastAsia="Arial"/>
          <w:color w:val="auto"/>
        </w:rPr>
        <w:t>C</w:t>
      </w:r>
      <w:r w:rsidR="00556B92" w:rsidRPr="7FA0667E">
        <w:rPr>
          <w:rFonts w:eastAsia="Arial"/>
          <w:color w:val="auto"/>
        </w:rPr>
        <w:t>anberra</w:t>
      </w:r>
      <w:r w:rsidR="009B7DDB" w:rsidRPr="7FA0667E">
        <w:rPr>
          <w:rFonts w:eastAsia="Arial"/>
          <w:color w:val="auto"/>
        </w:rPr>
        <w:t xml:space="preserve"> students </w:t>
      </w:r>
      <w:r w:rsidR="00556B92" w:rsidRPr="7FA0667E">
        <w:rPr>
          <w:rFonts w:eastAsia="Arial"/>
          <w:color w:val="auto"/>
        </w:rPr>
        <w:t xml:space="preserve">entering from the Canberra Institute of Technology </w:t>
      </w:r>
      <w:r w:rsidR="00B013E1" w:rsidRPr="7FA0667E">
        <w:rPr>
          <w:rFonts w:eastAsia="Arial"/>
          <w:color w:val="auto"/>
        </w:rPr>
        <w:t xml:space="preserve">(CIT) </w:t>
      </w:r>
      <w:r w:rsidR="009B7DDB" w:rsidRPr="7FA0667E">
        <w:rPr>
          <w:rFonts w:eastAsia="Arial"/>
          <w:color w:val="auto"/>
        </w:rPr>
        <w:t>had higher unit success rates and retention rates that non-CIT students.</w:t>
      </w:r>
      <w:r w:rsidR="00145F1C" w:rsidRPr="7FA0667E">
        <w:rPr>
          <w:rFonts w:eastAsia="Arial"/>
          <w:color w:val="auto"/>
        </w:rPr>
        <w:t xml:space="preserve"> </w:t>
      </w:r>
      <w:r w:rsidR="00795119" w:rsidRPr="7FA0667E">
        <w:rPr>
          <w:rFonts w:eastAsia="Arial"/>
          <w:color w:val="auto"/>
        </w:rPr>
        <w:t xml:space="preserve">Learners could be supported individually through counselling to identify </w:t>
      </w:r>
      <w:r w:rsidR="00713F6D" w:rsidRPr="7FA0667E">
        <w:rPr>
          <w:rFonts w:eastAsia="Arial"/>
          <w:color w:val="auto"/>
        </w:rPr>
        <w:t xml:space="preserve">any gaps and potential bridging programs, though this </w:t>
      </w:r>
      <w:r w:rsidR="00DB0C0B" w:rsidRPr="7FA0667E">
        <w:rPr>
          <w:rFonts w:eastAsia="Arial"/>
          <w:color w:val="auto"/>
        </w:rPr>
        <w:t>is labour intensive (PhillipsKPA 2019).</w:t>
      </w:r>
    </w:p>
    <w:p w14:paraId="58DA33F9" w14:textId="1AA22D16" w:rsidR="00046847" w:rsidRDefault="00046847" w:rsidP="00E225EB">
      <w:pPr>
        <w:pStyle w:val="Heading4"/>
      </w:pPr>
      <w:r>
        <w:t>Pathways from higher education into VET</w:t>
      </w:r>
    </w:p>
    <w:p w14:paraId="5B3733A1" w14:textId="6E9449E8" w:rsidR="00ED7C1A" w:rsidRDefault="003C054B" w:rsidP="0078728A">
      <w:r>
        <w:t xml:space="preserve">Of the 211,440 commencing program enrolments in VET by students with a bachelor degree or higher, </w:t>
      </w:r>
      <w:r w:rsidR="00E53A8B">
        <w:t>the</w:t>
      </w:r>
      <w:r w:rsidR="00046847" w:rsidRPr="00222C7D">
        <w:t xml:space="preserve"> top 20</w:t>
      </w:r>
      <w:r w:rsidR="00046847">
        <w:t xml:space="preserve"> pathways </w:t>
      </w:r>
      <w:r w:rsidR="00046847" w:rsidRPr="00222C7D" w:rsidDel="000A6F0A">
        <w:t xml:space="preserve">comprise </w:t>
      </w:r>
      <w:r w:rsidR="00046847" w:rsidRPr="00222C7D">
        <w:t>4</w:t>
      </w:r>
      <w:r w:rsidR="00046847">
        <w:t>2</w:t>
      </w:r>
      <w:r w:rsidR="00046847" w:rsidRPr="00222C7D">
        <w:t>% of th</w:t>
      </w:r>
      <w:r w:rsidR="00046847" w:rsidRPr="00222C7D" w:rsidDel="000A6F0A">
        <w:t>e</w:t>
      </w:r>
      <w:r w:rsidR="00046847" w:rsidRPr="00222C7D">
        <w:t xml:space="preserve"> cohort.</w:t>
      </w:r>
      <w:r w:rsidR="00046847">
        <w:t xml:space="preserve"> The</w:t>
      </w:r>
      <w:r w:rsidR="00046847" w:rsidDel="000A6F0A">
        <w:t xml:space="preserve"> </w:t>
      </w:r>
      <w:r w:rsidR="00046847">
        <w:t>five most common programs, listed below</w:t>
      </w:r>
      <w:r w:rsidR="007E7357">
        <w:t xml:space="preserve"> in figure 8</w:t>
      </w:r>
      <w:r w:rsidR="00046847">
        <w:t xml:space="preserve">, </w:t>
      </w:r>
      <w:r w:rsidR="00046847" w:rsidDel="00F86C56">
        <w:t xml:space="preserve">are </w:t>
      </w:r>
      <w:r w:rsidR="00046847">
        <w:t>a mix of first aid courses and some of the most common VET qualifications</w:t>
      </w:r>
      <w:r w:rsidR="00046847" w:rsidDel="00A13870">
        <w:t xml:space="preserve">, which are tied </w:t>
      </w:r>
      <w:r w:rsidR="00046847">
        <w:t xml:space="preserve">to occupational requirements. </w:t>
      </w:r>
      <w:r w:rsidR="001756A4">
        <w:t xml:space="preserve">The VET sector plays an important role in workplace training for </w:t>
      </w:r>
      <w:r w:rsidR="00C05C16">
        <w:t xml:space="preserve">mandated </w:t>
      </w:r>
      <w:r w:rsidR="001756A4">
        <w:t xml:space="preserve">safety and emergency preparedness through the provision of specific units of competency – which are often required to be repeated </w:t>
      </w:r>
      <w:r w:rsidR="00EC2AE5">
        <w:t>to maintain the currency of a skill. This inclu</w:t>
      </w:r>
      <w:r w:rsidR="0059517E">
        <w:t xml:space="preserve">des </w:t>
      </w:r>
      <w:r w:rsidR="00600778">
        <w:t xml:space="preserve">the courses in first aid management, and other work, health and safety courses that </w:t>
      </w:r>
      <w:r w:rsidR="00593926">
        <w:t xml:space="preserve">are often employer-sponsored </w:t>
      </w:r>
      <w:r w:rsidR="003E6528">
        <w:t>(</w:t>
      </w:r>
      <w:r w:rsidR="00862D97">
        <w:t xml:space="preserve">Palmer 2021). </w:t>
      </w:r>
      <w:r w:rsidR="00ED7C1A">
        <w:t>When limited to just VET qualifications, the most common pathways for students with bachelor or higher degrees tend to be in the management and commerce and education broad fields of education, associated with finance and real estate qualification requirements, courses in leadership and project management, and early childhood education and care.</w:t>
      </w:r>
    </w:p>
    <w:p w14:paraId="2F95B36E" w14:textId="63B846CB" w:rsidR="00046847" w:rsidRDefault="00046847" w:rsidP="00C55EC9"/>
    <w:p w14:paraId="48E78C1A" w14:textId="77777777" w:rsidR="001B2DC3" w:rsidRDefault="001B2DC3" w:rsidP="00C55EC9"/>
    <w:p w14:paraId="4728D02A" w14:textId="77777777" w:rsidR="001B2DC3" w:rsidRDefault="001B2DC3" w:rsidP="00C55EC9"/>
    <w:p w14:paraId="79AE0B49" w14:textId="77777777" w:rsidR="001B2DC3" w:rsidRDefault="001B2DC3" w:rsidP="00C55EC9"/>
    <w:tbl>
      <w:tblPr>
        <w:tblStyle w:val="TableGrid20"/>
        <w:tblW w:w="9918" w:type="dxa"/>
        <w:tblLook w:val="04A0" w:firstRow="1" w:lastRow="0" w:firstColumn="1" w:lastColumn="0" w:noHBand="0" w:noVBand="1"/>
      </w:tblPr>
      <w:tblGrid>
        <w:gridCol w:w="6091"/>
        <w:gridCol w:w="3827"/>
      </w:tblGrid>
      <w:tr w:rsidR="00E72E59" w:rsidRPr="004D6A4B" w14:paraId="1EB6B993" w14:textId="77777777">
        <w:trPr>
          <w:cnfStyle w:val="100000000000" w:firstRow="1" w:lastRow="0" w:firstColumn="0" w:lastColumn="0" w:oddVBand="0" w:evenVBand="0" w:oddHBand="0" w:evenHBand="0" w:firstRowFirstColumn="0" w:firstRowLastColumn="0" w:lastRowFirstColumn="0" w:lastRowLastColumn="0"/>
          <w:trHeight w:val="416"/>
        </w:trPr>
        <w:tc>
          <w:tcPr>
            <w:tcW w:w="6091" w:type="dxa"/>
            <w:hideMark/>
          </w:tcPr>
          <w:p w14:paraId="1D114D38" w14:textId="77777777" w:rsidR="00046847" w:rsidRPr="004D6A4B" w:rsidRDefault="00046847">
            <w:pPr>
              <w:rPr>
                <w:sz w:val="36"/>
                <w:szCs w:val="36"/>
              </w:rPr>
            </w:pPr>
            <w:r w:rsidRPr="004D6A4B">
              <w:t>Program name</w:t>
            </w:r>
          </w:p>
        </w:tc>
        <w:tc>
          <w:tcPr>
            <w:tcW w:w="3827" w:type="dxa"/>
            <w:hideMark/>
          </w:tcPr>
          <w:p w14:paraId="3BCC110B" w14:textId="77777777" w:rsidR="00046847" w:rsidRPr="004D6A4B" w:rsidRDefault="00046847">
            <w:pPr>
              <w:rPr>
                <w:sz w:val="36"/>
                <w:szCs w:val="36"/>
              </w:rPr>
            </w:pPr>
            <w:r w:rsidRPr="004D6A4B">
              <w:t>202</w:t>
            </w:r>
            <w:r>
              <w:t>4</w:t>
            </w:r>
            <w:r w:rsidRPr="004D6A4B">
              <w:t xml:space="preserve"> domestic commencements</w:t>
            </w:r>
          </w:p>
        </w:tc>
      </w:tr>
      <w:tr w:rsidR="00E72E59" w:rsidRPr="004D6A4B" w14:paraId="53D50E40" w14:textId="77777777">
        <w:trPr>
          <w:trHeight w:val="335"/>
        </w:trPr>
        <w:tc>
          <w:tcPr>
            <w:tcW w:w="6091" w:type="dxa"/>
          </w:tcPr>
          <w:p w14:paraId="62FA096D" w14:textId="77777777" w:rsidR="00046847" w:rsidRPr="002C4447" w:rsidRDefault="00046847">
            <w:r w:rsidRPr="002C4447">
              <w:t>Certificate IV in Training and Assessment</w:t>
            </w:r>
          </w:p>
        </w:tc>
        <w:tc>
          <w:tcPr>
            <w:tcW w:w="3827" w:type="dxa"/>
          </w:tcPr>
          <w:p w14:paraId="2D489050" w14:textId="77777777" w:rsidR="00046847" w:rsidRPr="004541B5" w:rsidRDefault="00046847">
            <w:r>
              <w:t>10,340</w:t>
            </w:r>
          </w:p>
        </w:tc>
      </w:tr>
      <w:tr w:rsidR="00E72E59" w:rsidRPr="004D6A4B" w14:paraId="270D6367" w14:textId="77777777">
        <w:trPr>
          <w:trHeight w:val="335"/>
        </w:trPr>
        <w:tc>
          <w:tcPr>
            <w:tcW w:w="6091" w:type="dxa"/>
          </w:tcPr>
          <w:p w14:paraId="2F908824" w14:textId="77777777" w:rsidR="00046847" w:rsidRPr="004D6A4B" w:rsidRDefault="00046847">
            <w:r w:rsidRPr="002C4447">
              <w:t>Certificate III in Individual Support</w:t>
            </w:r>
          </w:p>
        </w:tc>
        <w:tc>
          <w:tcPr>
            <w:tcW w:w="3827" w:type="dxa"/>
          </w:tcPr>
          <w:p w14:paraId="56C38D37" w14:textId="77777777" w:rsidR="00046847" w:rsidRPr="004D6A4B" w:rsidRDefault="00046847">
            <w:r>
              <w:t>10,230</w:t>
            </w:r>
          </w:p>
        </w:tc>
      </w:tr>
      <w:tr w:rsidR="00E72E59" w:rsidRPr="004D6A4B" w14:paraId="279791FD" w14:textId="77777777">
        <w:trPr>
          <w:trHeight w:val="335"/>
        </w:trPr>
        <w:tc>
          <w:tcPr>
            <w:tcW w:w="6091" w:type="dxa"/>
            <w:hideMark/>
          </w:tcPr>
          <w:p w14:paraId="47AB39E3" w14:textId="77777777" w:rsidR="00046847" w:rsidRPr="004D6A4B" w:rsidRDefault="00046847">
            <w:pPr>
              <w:rPr>
                <w:sz w:val="36"/>
                <w:szCs w:val="36"/>
              </w:rPr>
            </w:pPr>
            <w:r w:rsidRPr="002C4447">
              <w:t>Course in First Aid Management of Anaphylaxis</w:t>
            </w:r>
          </w:p>
        </w:tc>
        <w:tc>
          <w:tcPr>
            <w:tcW w:w="3827" w:type="dxa"/>
            <w:hideMark/>
          </w:tcPr>
          <w:p w14:paraId="0ED8A0A5" w14:textId="77777777" w:rsidR="00046847" w:rsidRPr="004D6A4B" w:rsidRDefault="00046847">
            <w:pPr>
              <w:rPr>
                <w:sz w:val="36"/>
                <w:szCs w:val="36"/>
              </w:rPr>
            </w:pPr>
            <w:r w:rsidRPr="004541B5">
              <w:t>8,250</w:t>
            </w:r>
          </w:p>
        </w:tc>
      </w:tr>
      <w:tr w:rsidR="00E72E59" w:rsidRPr="004D6A4B" w14:paraId="5EFEB335" w14:textId="77777777">
        <w:trPr>
          <w:trHeight w:val="335"/>
        </w:trPr>
        <w:tc>
          <w:tcPr>
            <w:tcW w:w="6091" w:type="dxa"/>
            <w:hideMark/>
          </w:tcPr>
          <w:p w14:paraId="7CC86BA7" w14:textId="77777777" w:rsidR="00046847" w:rsidRPr="004D6A4B" w:rsidRDefault="00046847">
            <w:pPr>
              <w:rPr>
                <w:sz w:val="36"/>
                <w:szCs w:val="36"/>
              </w:rPr>
            </w:pPr>
            <w:r w:rsidRPr="002C4447">
              <w:t>Course in the Management of Asthma Risks and Emergencies in the Workplace</w:t>
            </w:r>
          </w:p>
        </w:tc>
        <w:tc>
          <w:tcPr>
            <w:tcW w:w="3827" w:type="dxa"/>
            <w:hideMark/>
          </w:tcPr>
          <w:p w14:paraId="2FD6D038" w14:textId="77777777" w:rsidR="00046847" w:rsidRPr="004D6A4B" w:rsidRDefault="00046847">
            <w:pPr>
              <w:rPr>
                <w:sz w:val="36"/>
                <w:szCs w:val="36"/>
              </w:rPr>
            </w:pPr>
            <w:r w:rsidRPr="004541B5">
              <w:t>6,335</w:t>
            </w:r>
          </w:p>
        </w:tc>
      </w:tr>
      <w:tr w:rsidR="00E72E59" w:rsidRPr="004D6A4B" w14:paraId="43A83199" w14:textId="77777777">
        <w:trPr>
          <w:trHeight w:val="335"/>
        </w:trPr>
        <w:tc>
          <w:tcPr>
            <w:tcW w:w="6091" w:type="dxa"/>
            <w:hideMark/>
          </w:tcPr>
          <w:p w14:paraId="6C2DE14D" w14:textId="77777777" w:rsidR="00046847" w:rsidRPr="004D6A4B" w:rsidRDefault="00046847">
            <w:pPr>
              <w:rPr>
                <w:sz w:val="36"/>
                <w:szCs w:val="36"/>
              </w:rPr>
            </w:pPr>
            <w:r w:rsidRPr="002C4447">
              <w:t>Certificate IV in Real Estate Practice</w:t>
            </w:r>
          </w:p>
        </w:tc>
        <w:tc>
          <w:tcPr>
            <w:tcW w:w="3827" w:type="dxa"/>
            <w:hideMark/>
          </w:tcPr>
          <w:p w14:paraId="37293A23" w14:textId="77777777" w:rsidR="00046847" w:rsidRPr="004D6A4B" w:rsidRDefault="00046847" w:rsidP="00C55EC9">
            <w:pPr>
              <w:keepNext/>
              <w:rPr>
                <w:sz w:val="36"/>
                <w:szCs w:val="36"/>
              </w:rPr>
            </w:pPr>
            <w:r w:rsidRPr="004541B5">
              <w:t>6,300</w:t>
            </w:r>
          </w:p>
        </w:tc>
      </w:tr>
    </w:tbl>
    <w:p w14:paraId="4633F16B" w14:textId="7E792182" w:rsidR="0078728A" w:rsidRDefault="0078728A">
      <w:pPr>
        <w:pStyle w:val="Caption"/>
        <w:rPr>
          <w:noProof/>
        </w:rPr>
      </w:pPr>
      <w:bookmarkStart w:id="43" w:name="_Toc228799282"/>
      <w:r>
        <w:t xml:space="preserve">Figure </w:t>
      </w:r>
      <w:r>
        <w:fldChar w:fldCharType="begin"/>
      </w:r>
      <w:r>
        <w:instrText xml:space="preserve"> SEQ Figure \* ARABIC </w:instrText>
      </w:r>
      <w:r>
        <w:fldChar w:fldCharType="separate"/>
      </w:r>
      <w:r w:rsidR="008645D3">
        <w:rPr>
          <w:noProof/>
        </w:rPr>
        <w:t>8</w:t>
      </w:r>
      <w:r>
        <w:fldChar w:fldCharType="end"/>
      </w:r>
      <w:r>
        <w:t>:</w:t>
      </w:r>
      <w:r>
        <w:rPr>
          <w:noProof/>
        </w:rPr>
        <w:t xml:space="preserve"> T</w:t>
      </w:r>
      <w:r w:rsidRPr="006B594F">
        <w:rPr>
          <w:noProof/>
        </w:rPr>
        <w:t>op 5 VET programs for students with a Bachelor Degree or Higher</w:t>
      </w:r>
      <w:bookmarkEnd w:id="43"/>
    </w:p>
    <w:p w14:paraId="01D9D9ED" w14:textId="6B398FA5" w:rsidR="00E53A8B" w:rsidRDefault="00271B65" w:rsidP="00C55EC9">
      <w:pPr>
        <w:pStyle w:val="Source"/>
      </w:pPr>
      <w:r w:rsidRPr="00271B65">
        <w:t>NCVER 2025a, Total VET students and courses 2024: program enrolments, DataBuilder</w:t>
      </w:r>
    </w:p>
    <w:p w14:paraId="022E53CD" w14:textId="21C7E3FF" w:rsidR="00533573" w:rsidRDefault="00BF573D" w:rsidP="00294972">
      <w:r>
        <w:t xml:space="preserve">Jobs and Skills Australia found that of students who enrolled in both VET and higher education </w:t>
      </w:r>
      <w:r w:rsidR="00887550">
        <w:t xml:space="preserve">from 2014 to 2022, </w:t>
      </w:r>
      <w:r w:rsidR="00FA62DA">
        <w:t xml:space="preserve">slightly </w:t>
      </w:r>
      <w:r w:rsidR="00887550">
        <w:t xml:space="preserve">more students enrolled in higher education first </w:t>
      </w:r>
      <w:r w:rsidR="00FA62DA">
        <w:t>–</w:t>
      </w:r>
      <w:r w:rsidR="00660085">
        <w:t xml:space="preserve"> </w:t>
      </w:r>
      <w:r w:rsidR="00FA62DA">
        <w:t>accounting for 52% of this cohort (JSA 2025b)</w:t>
      </w:r>
      <w:r w:rsidR="00887550">
        <w:t xml:space="preserve">. </w:t>
      </w:r>
      <w:r w:rsidR="006B117E">
        <w:t xml:space="preserve">The pathway from VET to higher education is often </w:t>
      </w:r>
      <w:r w:rsidR="00FA62DA">
        <w:t xml:space="preserve">quite direct, </w:t>
      </w:r>
      <w:r w:rsidR="006B117E">
        <w:t xml:space="preserve">with </w:t>
      </w:r>
      <w:r w:rsidR="00533573">
        <w:t xml:space="preserve">most </w:t>
      </w:r>
      <w:r w:rsidR="006B117E">
        <w:t xml:space="preserve">students </w:t>
      </w:r>
      <w:r w:rsidR="00FA62DA">
        <w:t xml:space="preserve">(57%) who </w:t>
      </w:r>
      <w:r w:rsidR="006B117E">
        <w:t>en</w:t>
      </w:r>
      <w:r w:rsidR="00F63373">
        <w:t xml:space="preserve">ter higher education </w:t>
      </w:r>
      <w:r w:rsidR="00FA62DA">
        <w:t xml:space="preserve">after completing a VET qualifications doing so </w:t>
      </w:r>
      <w:r w:rsidR="00F63373">
        <w:t>within a year</w:t>
      </w:r>
      <w:r w:rsidR="00FA62DA">
        <w:t xml:space="preserve">. In comparison, </w:t>
      </w:r>
      <w:r w:rsidR="003570CD">
        <w:t xml:space="preserve">only around 36% of </w:t>
      </w:r>
      <w:r w:rsidR="00FA62DA">
        <w:t xml:space="preserve">students who move from </w:t>
      </w:r>
      <w:r w:rsidR="00F63373">
        <w:t>higher education into VET</w:t>
      </w:r>
      <w:r w:rsidR="003570CD">
        <w:t xml:space="preserve"> did so within a year and</w:t>
      </w:r>
      <w:r w:rsidR="00F63373">
        <w:t xml:space="preserve"> 25% of </w:t>
      </w:r>
      <w:r w:rsidR="003570CD">
        <w:t>students</w:t>
      </w:r>
      <w:r w:rsidR="00F63373">
        <w:t xml:space="preserve"> </w:t>
      </w:r>
      <w:r w:rsidR="00533573">
        <w:t>enrolled in VET 4 or more years later (JSA 2025b</w:t>
      </w:r>
      <w:r w:rsidR="003261BD">
        <w:t>). This</w:t>
      </w:r>
      <w:r w:rsidR="003570CD">
        <w:t xml:space="preserve"> gap</w:t>
      </w:r>
      <w:r w:rsidR="00533573">
        <w:t xml:space="preserve"> may be reflective of the courses that learners are undertaking on these pathways. For example, the Diploma of Project Management</w:t>
      </w:r>
      <w:r w:rsidR="00963F1D">
        <w:t>, Diploma of Hospitality Management</w:t>
      </w:r>
      <w:r w:rsidR="003678D3">
        <w:t xml:space="preserve"> and</w:t>
      </w:r>
      <w:r w:rsidR="00533573">
        <w:t xml:space="preserve"> Diploma of Leadership and Management are some of the most common VET program enrolments for learners with a bachelor degree or highe</w:t>
      </w:r>
      <w:r w:rsidR="001D18CA">
        <w:t>r (NCVER 2025a)</w:t>
      </w:r>
      <w:r w:rsidR="00CE59CD">
        <w:t xml:space="preserve">. </w:t>
      </w:r>
      <w:r w:rsidR="00BD0B26">
        <w:t>These qualifications lead to leadership and management roles, and learners may be undertaking these qualifications following years of experience in industry in order to further progress their careers.</w:t>
      </w:r>
    </w:p>
    <w:p w14:paraId="6B623956" w14:textId="33A42F1B" w:rsidR="00D554A0" w:rsidRPr="00E225EB" w:rsidRDefault="00D554A0" w:rsidP="00E225EB">
      <w:r>
        <w:t xml:space="preserve">Other common qualifications include </w:t>
      </w:r>
      <w:r w:rsidR="00523630">
        <w:t xml:space="preserve">certificates </w:t>
      </w:r>
      <w:r w:rsidR="00D52FF8">
        <w:t xml:space="preserve">related </w:t>
      </w:r>
      <w:r w:rsidR="00485488">
        <w:t>to specific industry requirements, such as in early childhood</w:t>
      </w:r>
      <w:r w:rsidR="00074758">
        <w:t xml:space="preserve"> education and care, or accounting and bookkeeping</w:t>
      </w:r>
      <w:r w:rsidR="00485488">
        <w:t xml:space="preserve">. </w:t>
      </w:r>
      <w:r w:rsidR="00B42C11">
        <w:t xml:space="preserve">These could be used by learners looking to change careers, or </w:t>
      </w:r>
      <w:r w:rsidR="00990341">
        <w:t>work in a different role in the same industry. For instance, secondary teachers training to work in early childhood education</w:t>
      </w:r>
      <w:r w:rsidR="003261BD">
        <w:t xml:space="preserve">, or those working in a business </w:t>
      </w:r>
      <w:r w:rsidR="009E74DC">
        <w:t xml:space="preserve">looking to be accredited to </w:t>
      </w:r>
      <w:r w:rsidR="00DF30EF">
        <w:t xml:space="preserve">as a tax agent. </w:t>
      </w:r>
    </w:p>
    <w:tbl>
      <w:tblPr>
        <w:tblStyle w:val="TableGrid10"/>
        <w:tblW w:w="0" w:type="auto"/>
        <w:shd w:val="clear" w:color="auto" w:fill="F6E265" w:themeFill="accent3"/>
        <w:tblLook w:val="04A0" w:firstRow="1" w:lastRow="0" w:firstColumn="1" w:lastColumn="0" w:noHBand="0" w:noVBand="1"/>
      </w:tblPr>
      <w:tblGrid>
        <w:gridCol w:w="567"/>
        <w:gridCol w:w="9072"/>
      </w:tblGrid>
      <w:tr w:rsidR="00E72E59" w14:paraId="680DEBED" w14:textId="77777777" w:rsidTr="5727BEA9">
        <w:trPr>
          <w:cnfStyle w:val="100000000000" w:firstRow="1" w:lastRow="0" w:firstColumn="0" w:lastColumn="0" w:oddVBand="0" w:evenVBand="0" w:oddHBand="0" w:evenHBand="0" w:firstRowFirstColumn="0" w:firstRowLastColumn="0" w:lastRowFirstColumn="0" w:lastRowLastColumn="0"/>
        </w:trPr>
        <w:tc>
          <w:tcPr>
            <w:tcW w:w="567" w:type="dxa"/>
            <w:shd w:val="clear" w:color="auto" w:fill="D0DEFF" w:themeFill="text2" w:themeFillTint="1A"/>
          </w:tcPr>
          <w:p w14:paraId="66553991" w14:textId="7AC6905E" w:rsidR="001514DE" w:rsidRPr="00E225EB" w:rsidRDefault="001514DE">
            <w:pPr>
              <w:rPr>
                <w:rFonts w:eastAsiaTheme="minorEastAsia" w:cstheme="minorBidi"/>
                <w:b w:val="0"/>
                <w:bCs/>
                <w:color w:val="001032" w:themeColor="text2"/>
                <w:kern w:val="2"/>
                <w:sz w:val="22"/>
                <w:szCs w:val="22"/>
                <w:lang w:eastAsia="en-US"/>
                <w14:ligatures w14:val="standardContextual"/>
              </w:rPr>
            </w:pPr>
            <w:r w:rsidRPr="00E225EB">
              <w:rPr>
                <w:rFonts w:eastAsiaTheme="minorEastAsia" w:cstheme="minorBidi"/>
                <w:color w:val="001032" w:themeColor="text2"/>
                <w:kern w:val="2"/>
                <w:sz w:val="22"/>
                <w:szCs w:val="22"/>
                <w:lang w:eastAsia="en-US"/>
                <w14:ligatures w14:val="standardContextual"/>
              </w:rPr>
              <w:t>Q</w:t>
            </w:r>
            <w:r w:rsidR="00294972">
              <w:rPr>
                <w:rFonts w:eastAsiaTheme="minorEastAsia" w:cstheme="minorBidi"/>
                <w:color w:val="001032" w:themeColor="text2"/>
                <w:kern w:val="2"/>
                <w:sz w:val="22"/>
                <w:szCs w:val="22"/>
                <w:lang w:eastAsia="en-US"/>
                <w14:ligatures w14:val="standardContextual"/>
              </w:rPr>
              <w:t>4</w:t>
            </w:r>
          </w:p>
        </w:tc>
        <w:tc>
          <w:tcPr>
            <w:tcW w:w="9072" w:type="dxa"/>
            <w:shd w:val="clear" w:color="auto" w:fill="D0DEFF" w:themeFill="text2" w:themeFillTint="1A"/>
          </w:tcPr>
          <w:p w14:paraId="6E8E66E2" w14:textId="1BDF520A" w:rsidR="001514DE" w:rsidRPr="00E225EB" w:rsidRDefault="788BE408" w:rsidP="5727BEA9">
            <w:pPr>
              <w:rPr>
                <w:rFonts w:ascii="Arial" w:eastAsia="MS PGothic" w:hAnsi="Arial" w:cs="Arial"/>
                <w:bCs/>
                <w:color w:val="001032" w:themeColor="text2"/>
                <w:sz w:val="22"/>
                <w:szCs w:val="22"/>
              </w:rPr>
            </w:pPr>
            <w:r w:rsidRPr="5727BEA9">
              <w:rPr>
                <w:rFonts w:eastAsiaTheme="minorEastAsia" w:cstheme="minorBidi"/>
                <w:color w:val="001032" w:themeColor="text2"/>
                <w:kern w:val="2"/>
                <w:sz w:val="22"/>
                <w:szCs w:val="22"/>
                <w:lang w:eastAsia="en-US"/>
                <w14:ligatures w14:val="standardContextual"/>
              </w:rPr>
              <w:t>What are examples of effective transitions</w:t>
            </w:r>
            <w:r w:rsidR="0629C43C" w:rsidRPr="5727BEA9">
              <w:rPr>
                <w:rFonts w:eastAsiaTheme="minorEastAsia" w:cstheme="minorBidi"/>
                <w:color w:val="001032" w:themeColor="text2"/>
                <w:kern w:val="2"/>
                <w:sz w:val="22"/>
                <w:szCs w:val="22"/>
                <w:lang w:eastAsia="en-US"/>
                <w14:ligatures w14:val="standardContextual"/>
              </w:rPr>
              <w:t xml:space="preserve"> between both sectors</w:t>
            </w:r>
            <w:r w:rsidRPr="5727BEA9">
              <w:rPr>
                <w:rFonts w:eastAsiaTheme="minorEastAsia" w:cstheme="minorBidi"/>
                <w:color w:val="001032" w:themeColor="text2"/>
                <w:kern w:val="2"/>
                <w:sz w:val="22"/>
                <w:szCs w:val="22"/>
                <w:lang w:eastAsia="en-US"/>
                <w14:ligatures w14:val="standardContextual"/>
              </w:rPr>
              <w:t>, particularly for learners from underrepresented backgrounds?</w:t>
            </w:r>
            <w:r w:rsidR="2761CC93" w:rsidRPr="5727BEA9">
              <w:rPr>
                <w:rFonts w:eastAsiaTheme="minorEastAsia" w:cstheme="minorBidi"/>
                <w:color w:val="001032" w:themeColor="text2"/>
                <w:kern w:val="2"/>
                <w:sz w:val="22"/>
                <w:szCs w:val="22"/>
                <w:lang w:eastAsia="en-US"/>
                <w14:ligatures w14:val="standardContextual"/>
              </w:rPr>
              <w:t xml:space="preserve"> </w:t>
            </w:r>
            <w:r w:rsidR="2761CC93" w:rsidRPr="5727BEA9">
              <w:rPr>
                <w:rFonts w:ascii="Arial" w:eastAsia="MS PGothic" w:hAnsi="Arial" w:cs="Arial"/>
                <w:bCs/>
                <w:color w:val="001032" w:themeColor="text2"/>
                <w:sz w:val="22"/>
                <w:szCs w:val="22"/>
              </w:rPr>
              <w:t>How can these be strengthened across the system?</w:t>
            </w:r>
          </w:p>
        </w:tc>
      </w:tr>
    </w:tbl>
    <w:p w14:paraId="4640A98C" w14:textId="31EC2DBB" w:rsidR="00EA1D69" w:rsidRDefault="00F878CE" w:rsidP="00B53611">
      <w:pPr>
        <w:pStyle w:val="Heading3"/>
      </w:pPr>
      <w:bookmarkStart w:id="44" w:name="_Toc229643976"/>
      <w:r>
        <w:t>C</w:t>
      </w:r>
      <w:r w:rsidR="00F05A27" w:rsidRPr="0D1ABB2F">
        <w:t>redit</w:t>
      </w:r>
      <w:r w:rsidR="000375BF">
        <w:t xml:space="preserve"> Transfer</w:t>
      </w:r>
      <w:r w:rsidR="00F05A27" w:rsidRPr="0D1ABB2F">
        <w:t xml:space="preserve"> and Recognition of Prior Learning</w:t>
      </w:r>
      <w:bookmarkEnd w:id="44"/>
    </w:p>
    <w:p w14:paraId="5165D6B6" w14:textId="02FF13B7" w:rsidR="00CA2B32" w:rsidRDefault="00095D7A" w:rsidP="00F55179">
      <w:r>
        <w:t>Many pathways between the two sectors are also credit-bearing, w</w:t>
      </w:r>
      <w:r w:rsidR="00862AFF">
        <w:t>ith students who move from one qualification to the next often eligible for their prior study to be recognised</w:t>
      </w:r>
      <w:r w:rsidR="00D3076B">
        <w:t xml:space="preserve"> as contributing to the learning outcomes of </w:t>
      </w:r>
      <w:r w:rsidR="00CE39A6">
        <w:t xml:space="preserve">the qualification they enter into. Credit recognition helps reduce duplication in learning, ensuring that learners </w:t>
      </w:r>
      <w:r w:rsidR="00DB6048">
        <w:t xml:space="preserve">do not have to spend additional time and </w:t>
      </w:r>
      <w:r w:rsidR="007937FB">
        <w:t xml:space="preserve">money on learning they have already acquired. There are two </w:t>
      </w:r>
      <w:r w:rsidR="00070AE0">
        <w:t xml:space="preserve">mechanisms through which credit is given: credit transfer and recognition of prior learning. </w:t>
      </w:r>
      <w:r w:rsidR="00EA1D69">
        <w:t>Credit transfer recognise</w:t>
      </w:r>
      <w:r w:rsidR="00CE306C">
        <w:t>s</w:t>
      </w:r>
      <w:r w:rsidR="00EA1D69">
        <w:t xml:space="preserve"> completion of a unit </w:t>
      </w:r>
      <w:r w:rsidR="009520A9">
        <w:t>in either sector, based on</w:t>
      </w:r>
      <w:r w:rsidR="00EA1D69">
        <w:t xml:space="preserve"> formal evidence that the unit is the same or matches in content and </w:t>
      </w:r>
      <w:r w:rsidR="009520A9">
        <w:t xml:space="preserve">learning </w:t>
      </w:r>
      <w:r w:rsidR="00EA1D69">
        <w:t>outcome</w:t>
      </w:r>
      <w:r w:rsidR="009520A9">
        <w:t>s</w:t>
      </w:r>
      <w:r w:rsidR="00EA1D69">
        <w:t xml:space="preserve"> (ASQA 202</w:t>
      </w:r>
      <w:r w:rsidR="00201145">
        <w:t>6a</w:t>
      </w:r>
      <w:r w:rsidR="00EA1D69">
        <w:t xml:space="preserve">). RPL is more commonly used in VET (Ithaca Group 2018) and </w:t>
      </w:r>
      <w:r w:rsidR="009520A9">
        <w:t xml:space="preserve">involves </w:t>
      </w:r>
      <w:r w:rsidR="00EA1D69">
        <w:t>assess</w:t>
      </w:r>
      <w:r w:rsidR="009520A9">
        <w:t xml:space="preserve">ing a learner’s </w:t>
      </w:r>
      <w:r w:rsidR="00EA1D69">
        <w:t>skills and knowledge against the competency requirements of a unit (ASQA 202</w:t>
      </w:r>
      <w:r w:rsidR="00201145">
        <w:t>6a</w:t>
      </w:r>
      <w:r w:rsidR="00EA1D69">
        <w:t>).</w:t>
      </w:r>
      <w:r w:rsidDel="00095D7A">
        <w:t xml:space="preserve"> </w:t>
      </w:r>
      <w:r w:rsidR="00070AE0">
        <w:t xml:space="preserve">This can be used to recognise formal, informal or nonformal learning. </w:t>
      </w:r>
    </w:p>
    <w:p w14:paraId="1E19195B" w14:textId="2A68480B" w:rsidR="00CA2B32" w:rsidRPr="00CA2B32" w:rsidRDefault="00CA2B32" w:rsidP="00F6716F">
      <w:pPr>
        <w:pStyle w:val="Heading4"/>
      </w:pPr>
      <w:r>
        <w:t>Credit recognition in the higher education sector</w:t>
      </w:r>
    </w:p>
    <w:p w14:paraId="7CE7C34B" w14:textId="44BA2503" w:rsidR="00F05A27" w:rsidRPr="00F05A27" w:rsidRDefault="00F05A27" w:rsidP="00F05A27">
      <w:pPr>
        <w:rPr>
          <w:rFonts w:eastAsia="Arial"/>
        </w:rPr>
      </w:pPr>
      <w:r w:rsidRPr="00F05A27">
        <w:rPr>
          <w:rFonts w:eastAsia="Arial"/>
        </w:rPr>
        <w:t xml:space="preserve">Within the requirements of the </w:t>
      </w:r>
      <w:r w:rsidR="003B2C3D">
        <w:rPr>
          <w:rFonts w:eastAsia="Arial"/>
        </w:rPr>
        <w:t xml:space="preserve">Higher Education Standards Framework, </w:t>
      </w:r>
      <w:r w:rsidRPr="00F05A27">
        <w:rPr>
          <w:rFonts w:eastAsia="Arial"/>
        </w:rPr>
        <w:t xml:space="preserve">providers have adopted different </w:t>
      </w:r>
      <w:r w:rsidR="001419D8">
        <w:rPr>
          <w:rFonts w:eastAsia="Arial"/>
        </w:rPr>
        <w:t>approaches</w:t>
      </w:r>
      <w:r w:rsidRPr="00F05A27">
        <w:rPr>
          <w:rFonts w:eastAsia="Arial"/>
        </w:rPr>
        <w:t xml:space="preserve"> when it comes to credit</w:t>
      </w:r>
      <w:r w:rsidR="003B2C3D">
        <w:rPr>
          <w:rFonts w:eastAsia="Arial"/>
        </w:rPr>
        <w:t xml:space="preserve"> recognition</w:t>
      </w:r>
      <w:r w:rsidRPr="00F05A27">
        <w:rPr>
          <w:rFonts w:eastAsia="Arial"/>
        </w:rPr>
        <w:t xml:space="preserve">. Some </w:t>
      </w:r>
      <w:r w:rsidR="006E42D8">
        <w:rPr>
          <w:rFonts w:eastAsia="Arial"/>
        </w:rPr>
        <w:t xml:space="preserve">higher education </w:t>
      </w:r>
      <w:r w:rsidRPr="00F05A27">
        <w:rPr>
          <w:rFonts w:eastAsia="Arial"/>
        </w:rPr>
        <w:t>providers use credit and pathways as a means of supporting institutional missions to encourage access and equity within higher education, while other</w:t>
      </w:r>
      <w:r w:rsidR="00EA775E">
        <w:rPr>
          <w:rFonts w:eastAsia="Arial"/>
        </w:rPr>
        <w:t>s</w:t>
      </w:r>
      <w:r w:rsidRPr="00F05A27">
        <w:rPr>
          <w:rFonts w:eastAsia="Arial"/>
        </w:rPr>
        <w:t xml:space="preserve"> set careful limits on credit as a means of maintaining the integrity of the qualification and the reputation of the institution (Ithaca Group 2018).</w:t>
      </w:r>
    </w:p>
    <w:p w14:paraId="2EF1A65D" w14:textId="05DB0BA3" w:rsidR="00F05A27" w:rsidRPr="00F05A27" w:rsidRDefault="00F05A27" w:rsidP="00C55EC9">
      <w:pPr>
        <w:rPr>
          <w:rFonts w:eastAsia="Arial"/>
        </w:rPr>
      </w:pPr>
      <w:r w:rsidRPr="00F05A27">
        <w:rPr>
          <w:rFonts w:eastAsia="Arial"/>
        </w:rPr>
        <w:t>Although Department of Education data on credit and RPL</w:t>
      </w:r>
      <w:r w:rsidR="00576BA8">
        <w:rPr>
          <w:rFonts w:eastAsia="Arial"/>
        </w:rPr>
        <w:t xml:space="preserve"> in the higher education sector</w:t>
      </w:r>
      <w:r w:rsidRPr="00F05A27">
        <w:rPr>
          <w:rFonts w:eastAsia="Arial"/>
        </w:rPr>
        <w:t xml:space="preserve"> has </w:t>
      </w:r>
      <w:r w:rsidR="0086710A" w:rsidRPr="00D353D1">
        <w:rPr>
          <w:rFonts w:eastAsia="Arial"/>
        </w:rPr>
        <w:t>limitations</w:t>
      </w:r>
      <w:r w:rsidRPr="00F05A27">
        <w:rPr>
          <w:rFonts w:eastAsia="Arial"/>
        </w:rPr>
        <w:t xml:space="preserve">, it </w:t>
      </w:r>
      <w:r w:rsidRPr="00D353D1">
        <w:rPr>
          <w:rFonts w:eastAsia="Arial"/>
        </w:rPr>
        <w:t>provide</w:t>
      </w:r>
      <w:r w:rsidR="6A0DC679" w:rsidRPr="00D353D1">
        <w:rPr>
          <w:rFonts w:eastAsia="Arial"/>
        </w:rPr>
        <w:t>s</w:t>
      </w:r>
      <w:r w:rsidRPr="00F05A27">
        <w:rPr>
          <w:rFonts w:eastAsia="Arial"/>
        </w:rPr>
        <w:t xml:space="preserve"> an indication of </w:t>
      </w:r>
      <w:r w:rsidR="00EA775E">
        <w:rPr>
          <w:rFonts w:eastAsia="Arial"/>
        </w:rPr>
        <w:t xml:space="preserve">the amount of </w:t>
      </w:r>
      <w:r w:rsidRPr="00F05A27">
        <w:rPr>
          <w:rFonts w:eastAsia="Arial"/>
        </w:rPr>
        <w:t xml:space="preserve">credit </w:t>
      </w:r>
      <w:r w:rsidR="00EA775E">
        <w:rPr>
          <w:rFonts w:eastAsia="Arial"/>
        </w:rPr>
        <w:t xml:space="preserve">learners </w:t>
      </w:r>
      <w:r w:rsidRPr="00D353D1">
        <w:rPr>
          <w:rFonts w:eastAsia="Arial"/>
        </w:rPr>
        <w:t>receiv</w:t>
      </w:r>
      <w:r w:rsidR="26A2ED12" w:rsidRPr="00D353D1">
        <w:rPr>
          <w:rFonts w:eastAsia="Arial"/>
        </w:rPr>
        <w:t>e</w:t>
      </w:r>
      <w:r w:rsidRPr="00F05A27">
        <w:rPr>
          <w:rFonts w:eastAsia="Arial"/>
        </w:rPr>
        <w:t xml:space="preserve"> for prior VET study.</w:t>
      </w:r>
      <w:r w:rsidRPr="00F05A27" w:rsidDel="00F95901">
        <w:rPr>
          <w:rFonts w:eastAsia="Arial"/>
        </w:rPr>
        <w:t xml:space="preserve"> </w:t>
      </w:r>
      <w:r w:rsidR="00D85196">
        <w:rPr>
          <w:rFonts w:eastAsia="Arial"/>
        </w:rPr>
        <w:t xml:space="preserve">Internal analysis conducted using the Person-level Integrated Data Asset (PLIDA) shows that in </w:t>
      </w:r>
      <w:r w:rsidR="00882812">
        <w:rPr>
          <w:rFonts w:eastAsia="Arial"/>
        </w:rPr>
        <w:t>2021,</w:t>
      </w:r>
      <w:r w:rsidR="00581C3F">
        <w:rPr>
          <w:rFonts w:eastAsia="Arial"/>
        </w:rPr>
        <w:t xml:space="preserve"> 54%</w:t>
      </w:r>
      <w:r w:rsidR="00882812">
        <w:rPr>
          <w:rFonts w:eastAsia="Arial"/>
        </w:rPr>
        <w:t xml:space="preserve"> of students who were admitted into a Bachelor Degree (including honours) </w:t>
      </w:r>
      <w:r w:rsidR="00E54B0A">
        <w:rPr>
          <w:rFonts w:eastAsia="Arial"/>
        </w:rPr>
        <w:t>with VET listed as their primary basis of admission</w:t>
      </w:r>
      <w:r w:rsidR="00581C3F">
        <w:rPr>
          <w:rFonts w:eastAsia="Arial"/>
        </w:rPr>
        <w:t xml:space="preserve"> </w:t>
      </w:r>
      <w:r w:rsidR="00E54B0A">
        <w:rPr>
          <w:rFonts w:eastAsia="Arial"/>
        </w:rPr>
        <w:t>received ap</w:t>
      </w:r>
      <w:r w:rsidR="00266D25">
        <w:rPr>
          <w:rFonts w:eastAsia="Arial"/>
        </w:rPr>
        <w:t>proximately one EFTSL of credit (</w:t>
      </w:r>
      <w:r w:rsidR="002F7DB1">
        <w:rPr>
          <w:rFonts w:eastAsia="Arial"/>
        </w:rPr>
        <w:t xml:space="preserve">between </w:t>
      </w:r>
      <w:r w:rsidR="00266D25">
        <w:rPr>
          <w:rFonts w:eastAsia="Arial"/>
        </w:rPr>
        <w:t>0.7</w:t>
      </w:r>
      <w:r w:rsidR="002F7DB1">
        <w:rPr>
          <w:rFonts w:eastAsia="Arial"/>
        </w:rPr>
        <w:t>5 and up</w:t>
      </w:r>
      <w:r w:rsidR="00266D25">
        <w:rPr>
          <w:rFonts w:eastAsia="Arial"/>
        </w:rPr>
        <w:t xml:space="preserve"> to and including 1 EFTSL).</w:t>
      </w:r>
      <w:r w:rsidR="006070DA">
        <w:rPr>
          <w:rStyle w:val="FootnoteReference"/>
          <w:rFonts w:eastAsia="Arial"/>
        </w:rPr>
        <w:footnoteReference w:id="6"/>
      </w:r>
      <w:r w:rsidR="00882812">
        <w:rPr>
          <w:rFonts w:eastAsia="Arial"/>
        </w:rPr>
        <w:t xml:space="preserve"> </w:t>
      </w:r>
      <w:r w:rsidR="006A0F27">
        <w:rPr>
          <w:rFonts w:eastAsia="Arial"/>
        </w:rPr>
        <w:t>As o</w:t>
      </w:r>
      <w:r w:rsidRPr="00F05A27">
        <w:rPr>
          <w:rFonts w:eastAsia="Arial"/>
        </w:rPr>
        <w:t xml:space="preserve">ne EFTSL equates to </w:t>
      </w:r>
      <w:r w:rsidR="00401F14">
        <w:rPr>
          <w:rFonts w:eastAsia="Arial"/>
        </w:rPr>
        <w:t>a</w:t>
      </w:r>
      <w:r w:rsidR="00401F14" w:rsidRPr="00F05A27">
        <w:rPr>
          <w:rFonts w:eastAsia="Arial"/>
        </w:rPr>
        <w:t xml:space="preserve"> </w:t>
      </w:r>
      <w:r w:rsidRPr="00F05A27">
        <w:rPr>
          <w:rFonts w:eastAsia="Arial"/>
        </w:rPr>
        <w:t>year of </w:t>
      </w:r>
      <w:r w:rsidRPr="00F05A27" w:rsidDel="00DA39B9">
        <w:rPr>
          <w:rFonts w:eastAsia="Arial"/>
        </w:rPr>
        <w:t>full</w:t>
      </w:r>
      <w:r w:rsidR="00DA39B9" w:rsidRPr="00F05A27">
        <w:rPr>
          <w:rFonts w:eastAsia="Arial"/>
        </w:rPr>
        <w:t>-time</w:t>
      </w:r>
      <w:r w:rsidRPr="00F05A27">
        <w:rPr>
          <w:rFonts w:eastAsia="Arial"/>
        </w:rPr>
        <w:t xml:space="preserve"> study, </w:t>
      </w:r>
      <w:r w:rsidR="006A0F27">
        <w:rPr>
          <w:rFonts w:eastAsia="Arial"/>
        </w:rPr>
        <w:t xml:space="preserve">this suggests that </w:t>
      </w:r>
      <w:r w:rsidRPr="00F05A27">
        <w:rPr>
          <w:rFonts w:eastAsia="Arial"/>
        </w:rPr>
        <w:t>on average learners receiv</w:t>
      </w:r>
      <w:r w:rsidR="006A0F27">
        <w:rPr>
          <w:rFonts w:eastAsia="Arial"/>
        </w:rPr>
        <w:t>e</w:t>
      </w:r>
      <w:r w:rsidRPr="00F05A27">
        <w:rPr>
          <w:rFonts w:eastAsia="Arial"/>
        </w:rPr>
        <w:t xml:space="preserve"> slightly less than </w:t>
      </w:r>
      <w:r w:rsidR="006A0F27">
        <w:rPr>
          <w:rFonts w:eastAsia="Arial"/>
        </w:rPr>
        <w:t>one</w:t>
      </w:r>
      <w:r w:rsidRPr="00F05A27">
        <w:rPr>
          <w:rFonts w:eastAsia="Arial"/>
        </w:rPr>
        <w:t xml:space="preserve"> year </w:t>
      </w:r>
      <w:r w:rsidR="008107F6">
        <w:rPr>
          <w:rFonts w:eastAsia="Arial"/>
        </w:rPr>
        <w:t>of</w:t>
      </w:r>
      <w:r w:rsidR="008107F6" w:rsidRPr="00F05A27">
        <w:rPr>
          <w:rFonts w:eastAsia="Arial"/>
        </w:rPr>
        <w:t xml:space="preserve"> </w:t>
      </w:r>
      <w:r w:rsidRPr="00F05A27">
        <w:rPr>
          <w:rFonts w:eastAsia="Arial"/>
        </w:rPr>
        <w:t>credit.</w:t>
      </w:r>
      <w:r w:rsidR="006A16F5">
        <w:rPr>
          <w:rFonts w:eastAsia="Arial"/>
        </w:rPr>
        <w:t xml:space="preserve"> </w:t>
      </w:r>
    </w:p>
    <w:p w14:paraId="0000D016" w14:textId="372C6552" w:rsidR="00044913" w:rsidRDefault="00F05A27" w:rsidP="00AC7E45">
      <w:pPr>
        <w:keepLines/>
        <w:rPr>
          <w:rFonts w:eastAsia="Arial"/>
        </w:rPr>
      </w:pPr>
      <w:r w:rsidRPr="00F05A27">
        <w:rPr>
          <w:rFonts w:eastAsia="Arial"/>
        </w:rPr>
        <w:t>While the specifics and the appropriateness of different amounts</w:t>
      </w:r>
      <w:r w:rsidR="007C0006">
        <w:rPr>
          <w:rFonts w:eastAsia="Arial"/>
        </w:rPr>
        <w:t xml:space="preserve"> of RPL</w:t>
      </w:r>
      <w:r w:rsidRPr="00F05A27">
        <w:rPr>
          <w:rFonts w:eastAsia="Arial"/>
        </w:rPr>
        <w:t xml:space="preserve"> </w:t>
      </w:r>
      <w:r w:rsidR="00A10A24">
        <w:rPr>
          <w:rFonts w:eastAsia="Arial"/>
        </w:rPr>
        <w:t>and credit</w:t>
      </w:r>
      <w:r w:rsidRPr="00F05A27">
        <w:rPr>
          <w:rFonts w:eastAsia="Arial"/>
        </w:rPr>
        <w:t xml:space="preserve"> will vary on a </w:t>
      </w:r>
      <w:r w:rsidR="0070344E">
        <w:rPr>
          <w:rFonts w:eastAsia="Arial"/>
        </w:rPr>
        <w:br/>
      </w:r>
      <w:r w:rsidRPr="00F05A27">
        <w:rPr>
          <w:rFonts w:eastAsia="Arial"/>
        </w:rPr>
        <w:t>course</w:t>
      </w:r>
      <w:r w:rsidR="0070344E" w:rsidRPr="00F05A27">
        <w:rPr>
          <w:rFonts w:eastAsia="Arial"/>
        </w:rPr>
        <w:t>-by-course</w:t>
      </w:r>
      <w:r w:rsidRPr="00F05A27">
        <w:rPr>
          <w:rFonts w:eastAsia="Arial"/>
        </w:rPr>
        <w:t xml:space="preserve"> basis, in general </w:t>
      </w:r>
      <w:r w:rsidR="6C2A338C" w:rsidRPr="00D353D1">
        <w:rPr>
          <w:rFonts w:eastAsia="Arial"/>
        </w:rPr>
        <w:t xml:space="preserve">for those </w:t>
      </w:r>
      <w:r w:rsidR="24D59BA6" w:rsidRPr="00D353D1">
        <w:rPr>
          <w:rFonts w:eastAsia="Arial"/>
        </w:rPr>
        <w:t>learners</w:t>
      </w:r>
      <w:r w:rsidR="003E2180">
        <w:rPr>
          <w:rFonts w:eastAsia="Arial"/>
        </w:rPr>
        <w:t xml:space="preserve"> that do receive credit</w:t>
      </w:r>
      <w:r w:rsidR="24D59BA6" w:rsidRPr="00D353D1">
        <w:rPr>
          <w:rFonts w:eastAsia="Arial"/>
        </w:rPr>
        <w:t xml:space="preserve"> </w:t>
      </w:r>
      <w:r w:rsidR="696AA982" w:rsidRPr="00D353D1">
        <w:rPr>
          <w:rFonts w:eastAsia="Arial"/>
        </w:rPr>
        <w:t>there</w:t>
      </w:r>
      <w:r w:rsidR="002D1040">
        <w:rPr>
          <w:rFonts w:eastAsia="Arial"/>
        </w:rPr>
        <w:t xml:space="preserve"> </w:t>
      </w:r>
      <w:r w:rsidRPr="00F05A27">
        <w:rPr>
          <w:rFonts w:eastAsia="Arial"/>
        </w:rPr>
        <w:t xml:space="preserve">appears to be positive </w:t>
      </w:r>
      <w:r w:rsidRPr="00D353D1">
        <w:rPr>
          <w:rFonts w:eastAsia="Arial"/>
        </w:rPr>
        <w:t>outcome</w:t>
      </w:r>
      <w:r w:rsidR="2E88E32D" w:rsidRPr="00D353D1">
        <w:rPr>
          <w:rFonts w:eastAsia="Arial"/>
        </w:rPr>
        <w:t>s</w:t>
      </w:r>
      <w:r w:rsidRPr="00D353D1">
        <w:rPr>
          <w:rFonts w:eastAsia="Arial"/>
        </w:rPr>
        <w:t>.</w:t>
      </w:r>
      <w:r w:rsidRPr="00F05A27">
        <w:rPr>
          <w:rFonts w:eastAsia="Arial"/>
        </w:rPr>
        <w:t xml:space="preserve"> The most significant </w:t>
      </w:r>
      <w:r w:rsidR="005260C4">
        <w:rPr>
          <w:rFonts w:eastAsia="Arial"/>
        </w:rPr>
        <w:t>VET</w:t>
      </w:r>
      <w:r w:rsidR="00D06C26">
        <w:rPr>
          <w:rFonts w:eastAsia="Arial"/>
        </w:rPr>
        <w:t>-to</w:t>
      </w:r>
      <w:r w:rsidR="00684C15">
        <w:rPr>
          <w:rFonts w:eastAsia="Arial"/>
        </w:rPr>
        <w:t>-</w:t>
      </w:r>
      <w:r w:rsidR="00D06C26">
        <w:rPr>
          <w:rFonts w:eastAsia="Arial"/>
        </w:rPr>
        <w:t xml:space="preserve">higher education </w:t>
      </w:r>
      <w:r w:rsidRPr="00F05A27">
        <w:rPr>
          <w:rFonts w:eastAsia="Arial"/>
        </w:rPr>
        <w:t xml:space="preserve">pathways are between diplomas and </w:t>
      </w:r>
      <w:r w:rsidR="004B422C" w:rsidRPr="00D353D1">
        <w:rPr>
          <w:rFonts w:eastAsia="Arial"/>
        </w:rPr>
        <w:t>b</w:t>
      </w:r>
      <w:r w:rsidRPr="00D353D1">
        <w:rPr>
          <w:rFonts w:eastAsia="Arial"/>
        </w:rPr>
        <w:t>achelor</w:t>
      </w:r>
      <w:r w:rsidRPr="00F05A27">
        <w:rPr>
          <w:rFonts w:eastAsia="Arial"/>
        </w:rPr>
        <w:t xml:space="preserve"> degrees. The volume of learning for diplomas in the AQF is 1 to 2 years, while </w:t>
      </w:r>
      <w:r w:rsidR="004E14DD">
        <w:rPr>
          <w:rFonts w:eastAsia="Arial"/>
        </w:rPr>
        <w:t xml:space="preserve">a </w:t>
      </w:r>
      <w:r w:rsidRPr="00D353D1">
        <w:rPr>
          <w:rFonts w:eastAsia="Arial"/>
        </w:rPr>
        <w:t xml:space="preserve">bachelor degree </w:t>
      </w:r>
      <w:r w:rsidRPr="00F05A27">
        <w:rPr>
          <w:rFonts w:eastAsia="Arial"/>
        </w:rPr>
        <w:t xml:space="preserve">is between 3 and 4 years. The AQF Qualifications Pathways Policy, Australia’s national policy on qualifications pathways, </w:t>
      </w:r>
      <w:r w:rsidR="003E2180">
        <w:rPr>
          <w:rFonts w:eastAsia="Arial"/>
        </w:rPr>
        <w:t>advises</w:t>
      </w:r>
      <w:r w:rsidR="0094367C">
        <w:rPr>
          <w:rFonts w:eastAsia="Arial"/>
        </w:rPr>
        <w:t xml:space="preserve"> </w:t>
      </w:r>
      <w:r w:rsidR="008B0CDD">
        <w:rPr>
          <w:rFonts w:eastAsia="Arial"/>
        </w:rPr>
        <w:t>that</w:t>
      </w:r>
      <w:r w:rsidR="00EB6A8A">
        <w:rPr>
          <w:rFonts w:eastAsia="Arial"/>
        </w:rPr>
        <w:t xml:space="preserve"> in related disciplines, credit agreements between providers should use</w:t>
      </w:r>
      <w:r w:rsidR="009075A3">
        <w:rPr>
          <w:rFonts w:eastAsia="Arial"/>
        </w:rPr>
        <w:t xml:space="preserve"> </w:t>
      </w:r>
      <w:r w:rsidR="00E01374" w:rsidRPr="00F05A27">
        <w:rPr>
          <w:rFonts w:eastAsia="Arial"/>
        </w:rPr>
        <w:t xml:space="preserve">33% credit </w:t>
      </w:r>
      <w:r w:rsidR="00525888">
        <w:rPr>
          <w:rFonts w:eastAsia="Arial"/>
        </w:rPr>
        <w:t xml:space="preserve">in related disciplines </w:t>
      </w:r>
      <w:r w:rsidR="00E01374" w:rsidRPr="00F05A27">
        <w:rPr>
          <w:rFonts w:eastAsia="Arial"/>
        </w:rPr>
        <w:t xml:space="preserve">for a diploma linked to a </w:t>
      </w:r>
      <w:r w:rsidR="00A02097">
        <w:rPr>
          <w:rFonts w:eastAsia="Arial"/>
        </w:rPr>
        <w:t>three</w:t>
      </w:r>
      <w:r w:rsidR="00E01374" w:rsidRPr="00F05A27">
        <w:rPr>
          <w:rFonts w:eastAsia="Arial"/>
        </w:rPr>
        <w:t>-year degree</w:t>
      </w:r>
      <w:r w:rsidR="00A02097">
        <w:rPr>
          <w:rFonts w:eastAsia="Arial"/>
        </w:rPr>
        <w:t>,</w:t>
      </w:r>
      <w:r w:rsidR="00E01374" w:rsidRPr="00F05A27">
        <w:rPr>
          <w:rFonts w:eastAsia="Arial"/>
        </w:rPr>
        <w:t xml:space="preserve"> and 25% for a diploma linked to a </w:t>
      </w:r>
      <w:r w:rsidR="00A02097">
        <w:rPr>
          <w:rFonts w:eastAsia="Arial"/>
        </w:rPr>
        <w:t>four</w:t>
      </w:r>
      <w:r w:rsidR="00E01374">
        <w:rPr>
          <w:rFonts w:eastAsia="Arial"/>
        </w:rPr>
        <w:t>-</w:t>
      </w:r>
      <w:r w:rsidR="00E01374" w:rsidRPr="00F05A27">
        <w:rPr>
          <w:rFonts w:eastAsia="Arial"/>
        </w:rPr>
        <w:t>year degree</w:t>
      </w:r>
      <w:r w:rsidR="00A02097">
        <w:rPr>
          <w:rFonts w:eastAsia="Arial"/>
        </w:rPr>
        <w:t>,</w:t>
      </w:r>
      <w:r w:rsidR="00E01374" w:rsidRPr="00F05A27">
        <w:rPr>
          <w:rFonts w:eastAsia="Arial"/>
        </w:rPr>
        <w:t xml:space="preserve"> as a basis for negotiations</w:t>
      </w:r>
      <w:r w:rsidR="00C41C66">
        <w:rPr>
          <w:rFonts w:eastAsia="Arial"/>
        </w:rPr>
        <w:t xml:space="preserve"> </w:t>
      </w:r>
      <w:r w:rsidR="002F7DB1">
        <w:rPr>
          <w:rFonts w:eastAsia="Arial"/>
        </w:rPr>
        <w:t>– equivalent to one year of credit</w:t>
      </w:r>
      <w:r w:rsidR="00C41C66">
        <w:rPr>
          <w:rFonts w:eastAsia="Arial"/>
        </w:rPr>
        <w:t xml:space="preserve"> (AQF Council 2013)</w:t>
      </w:r>
      <w:r w:rsidR="00B81673">
        <w:rPr>
          <w:rFonts w:eastAsia="Arial"/>
        </w:rPr>
        <w:t>.</w:t>
      </w:r>
    </w:p>
    <w:p w14:paraId="23248657" w14:textId="08FD497A" w:rsidR="00F05A27" w:rsidRPr="00F05A27" w:rsidRDefault="00456D38" w:rsidP="00F05A27">
      <w:pPr>
        <w:rPr>
          <w:rFonts w:eastAsia="Arial"/>
        </w:rPr>
      </w:pPr>
      <w:r>
        <w:rPr>
          <w:rFonts w:eastAsia="Arial"/>
        </w:rPr>
        <w:t xml:space="preserve">Figure </w:t>
      </w:r>
      <w:r w:rsidR="00DB0672">
        <w:rPr>
          <w:rFonts w:eastAsia="Arial"/>
        </w:rPr>
        <w:t>9</w:t>
      </w:r>
      <w:r>
        <w:rPr>
          <w:rFonts w:eastAsia="Arial"/>
        </w:rPr>
        <w:t xml:space="preserve"> shows the distribution of the amount of credit given</w:t>
      </w:r>
      <w:r w:rsidR="00115054">
        <w:rPr>
          <w:rFonts w:eastAsia="Arial"/>
        </w:rPr>
        <w:t xml:space="preserve"> in years of equivalent full time student load (EFTSL)</w:t>
      </w:r>
      <w:r>
        <w:rPr>
          <w:rFonts w:eastAsia="Arial"/>
        </w:rPr>
        <w:t xml:space="preserve"> for different VET qualification types into a bachelor or bachelor honours degree, by the extent to which the field of education of both qualifications match</w:t>
      </w:r>
      <w:r w:rsidR="003B2E9A">
        <w:rPr>
          <w:rFonts w:eastAsia="Arial"/>
        </w:rPr>
        <w:t xml:space="preserve"> – whether they are in the same narrow field, same broad field, or different fields</w:t>
      </w:r>
      <w:r>
        <w:rPr>
          <w:rFonts w:eastAsia="Arial"/>
        </w:rPr>
        <w:t>. This analysis demonstrates</w:t>
      </w:r>
      <w:r w:rsidR="00F05A27" w:rsidRPr="00F05A27">
        <w:rPr>
          <w:rFonts w:eastAsia="Arial"/>
        </w:rPr>
        <w:t xml:space="preserve"> that</w:t>
      </w:r>
      <w:r w:rsidR="00DA71EF">
        <w:rPr>
          <w:rFonts w:eastAsia="Arial"/>
        </w:rPr>
        <w:t>,</w:t>
      </w:r>
      <w:r w:rsidR="00F05A27" w:rsidRPr="00F05A27">
        <w:rPr>
          <w:rFonts w:eastAsia="Arial"/>
        </w:rPr>
        <w:t xml:space="preserve"> </w:t>
      </w:r>
      <w:r w:rsidR="00C73BDD">
        <w:rPr>
          <w:rFonts w:eastAsia="Arial"/>
        </w:rPr>
        <w:t>in gene</w:t>
      </w:r>
      <w:r w:rsidR="006254F1">
        <w:rPr>
          <w:rFonts w:eastAsia="Arial"/>
        </w:rPr>
        <w:t xml:space="preserve">ral, </w:t>
      </w:r>
      <w:r w:rsidR="00F05A27" w:rsidRPr="00F05A27">
        <w:rPr>
          <w:rFonts w:eastAsia="Arial"/>
        </w:rPr>
        <w:t>the amount of credit increases by the VET qualification level and the closeness of the match between the VET and higher education fields of education</w:t>
      </w:r>
      <w:r w:rsidR="049279C0" w:rsidRPr="00D353D1">
        <w:rPr>
          <w:rFonts w:eastAsia="Arial"/>
        </w:rPr>
        <w:t xml:space="preserve"> (</w:t>
      </w:r>
      <w:r w:rsidR="00066365">
        <w:rPr>
          <w:rFonts w:eastAsia="Arial"/>
        </w:rPr>
        <w:t xml:space="preserve">DoE </w:t>
      </w:r>
      <w:r w:rsidR="00090DF3" w:rsidRPr="00D353D1">
        <w:rPr>
          <w:rFonts w:eastAsia="Arial"/>
        </w:rPr>
        <w:t>2025</w:t>
      </w:r>
      <w:r w:rsidR="049279C0" w:rsidRPr="00D353D1">
        <w:rPr>
          <w:rFonts w:eastAsia="Arial"/>
        </w:rPr>
        <w:t>)</w:t>
      </w:r>
      <w:r w:rsidR="00F05A27" w:rsidRPr="00D353D1">
        <w:rPr>
          <w:rFonts w:eastAsia="Arial"/>
        </w:rPr>
        <w:t>.</w:t>
      </w:r>
      <w:r>
        <w:rPr>
          <w:rFonts w:eastAsia="Arial"/>
        </w:rPr>
        <w:t xml:space="preserve"> </w:t>
      </w:r>
      <w:r w:rsidR="00552A6B">
        <w:rPr>
          <w:rFonts w:eastAsia="Arial"/>
        </w:rPr>
        <w:t xml:space="preserve">For example, for pathways into a Bachelor of Nursing, </w:t>
      </w:r>
      <w:r w:rsidR="00F07427">
        <w:rPr>
          <w:rFonts w:eastAsia="Arial"/>
        </w:rPr>
        <w:t>a narrow</w:t>
      </w:r>
      <w:r w:rsidR="00552A6B">
        <w:rPr>
          <w:rFonts w:eastAsia="Arial"/>
        </w:rPr>
        <w:t xml:space="preserve"> field of education match would be </w:t>
      </w:r>
      <w:r w:rsidR="00F07427">
        <w:rPr>
          <w:rFonts w:eastAsia="Arial"/>
        </w:rPr>
        <w:t>a Diploma of Nursing, whereas a broad match would be a Diploma of Health</w:t>
      </w:r>
      <w:r w:rsidR="00552A6B">
        <w:rPr>
          <w:rFonts w:eastAsia="Arial"/>
        </w:rPr>
        <w:t>, and no match would be</w:t>
      </w:r>
      <w:r w:rsidR="00552A6B" w:rsidDel="00552A6B">
        <w:rPr>
          <w:rFonts w:eastAsia="Arial"/>
        </w:rPr>
        <w:t xml:space="preserve"> </w:t>
      </w:r>
      <w:r w:rsidR="00552A6B">
        <w:rPr>
          <w:rFonts w:eastAsia="Arial"/>
        </w:rPr>
        <w:t>from</w:t>
      </w:r>
      <w:r w:rsidR="00F07427">
        <w:rPr>
          <w:rFonts w:eastAsia="Arial"/>
        </w:rPr>
        <w:t xml:space="preserve"> a Diploma of </w:t>
      </w:r>
      <w:r w:rsidR="001C2D10">
        <w:rPr>
          <w:rFonts w:eastAsia="Arial"/>
        </w:rPr>
        <w:t>Business</w:t>
      </w:r>
      <w:r w:rsidR="00552A6B">
        <w:rPr>
          <w:rFonts w:eastAsia="Arial"/>
        </w:rPr>
        <w:t>.</w:t>
      </w:r>
    </w:p>
    <w:p w14:paraId="4F2F697F" w14:textId="77777777" w:rsidR="00F05A27" w:rsidRPr="00F05A27" w:rsidRDefault="00F05A27" w:rsidP="00F05A27">
      <w:pPr>
        <w:keepNext/>
      </w:pPr>
      <w:r w:rsidRPr="00F05A27">
        <w:rPr>
          <w:noProof/>
        </w:rPr>
        <w:drawing>
          <wp:inline distT="0" distB="0" distL="0" distR="0" wp14:anchorId="25529C5D" wp14:editId="4A1AFE1A">
            <wp:extent cx="6020305" cy="3097708"/>
            <wp:effectExtent l="0" t="0" r="0" b="7620"/>
            <wp:docPr id="732461404" name="drawing" descr="Two graphs which show a box and whisker plot of the amount of credit that a higher education student with a VET qualification as their primary basis of admission received, split by the VET qualification that student holds - including Certificate III, Certificate IV, Diploma or Advanced Diploma, and whether it is in the same narrow or broad field of education, or a different field. It also includes the count of enrolments by qualification and field of education match, with the most students holding a Diploma in the same narrow f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461404" name="drawing" descr="Two graphs which show a box and whisker plot of the amount of credit that a higher education student with a VET qualification as their primary basis of admission received, split by the VET qualification that student holds - including Certificate III, Certificate IV, Diploma or Advanced Diploma, and whether it is in the same narrow or broad field of education, or a different field. It also includes the count of enrolments by qualification and field of education match, with the most students holding a Diploma in the same narrow field. "/>
                    <pic:cNvPicPr/>
                  </pic:nvPicPr>
                  <pic:blipFill rotWithShape="1">
                    <a:blip r:embed="rId25" cstate="print">
                      <a:extLst>
                        <a:ext uri="{28A0092B-C50C-407E-A947-70E740481C1C}">
                          <a14:useLocalDpi xmlns:a14="http://schemas.microsoft.com/office/drawing/2010/main" val="0"/>
                        </a:ext>
                      </a:extLst>
                    </a:blip>
                    <a:srcRect/>
                    <a:stretch>
                      <a:fillRect/>
                    </a:stretch>
                  </pic:blipFill>
                  <pic:spPr bwMode="auto">
                    <a:xfrm>
                      <a:off x="0" y="0"/>
                      <a:ext cx="6031770" cy="3103607"/>
                    </a:xfrm>
                    <a:prstGeom prst="rect">
                      <a:avLst/>
                    </a:prstGeom>
                    <a:ln>
                      <a:noFill/>
                    </a:ln>
                    <a:extLst>
                      <a:ext uri="{53640926-AAD7-44D8-BBD7-CCE9431645EC}">
                        <a14:shadowObscured xmlns:a14="http://schemas.microsoft.com/office/drawing/2010/main"/>
                      </a:ext>
                    </a:extLst>
                  </pic:spPr>
                </pic:pic>
              </a:graphicData>
            </a:graphic>
          </wp:inline>
        </w:drawing>
      </w:r>
    </w:p>
    <w:p w14:paraId="68EF1489" w14:textId="6CDB091E" w:rsidR="00F05A27" w:rsidRPr="00F05A27" w:rsidRDefault="00F05A27" w:rsidP="004940A9">
      <w:pPr>
        <w:pStyle w:val="Caption"/>
        <w:rPr>
          <w:rFonts w:eastAsia="Arial"/>
        </w:rPr>
      </w:pPr>
      <w:bookmarkStart w:id="45" w:name="_Toc228799283"/>
      <w:r w:rsidRPr="00F05A27">
        <w:t xml:space="preserve">Figure </w:t>
      </w:r>
      <w:r w:rsidRPr="00F05A27">
        <w:fldChar w:fldCharType="begin"/>
      </w:r>
      <w:r w:rsidRPr="00F05A27">
        <w:instrText xml:space="preserve"> SEQ Figure \* ARABIC </w:instrText>
      </w:r>
      <w:r w:rsidRPr="00F05A27">
        <w:fldChar w:fldCharType="separate"/>
      </w:r>
      <w:r w:rsidR="008645D3">
        <w:rPr>
          <w:noProof/>
        </w:rPr>
        <w:t>9</w:t>
      </w:r>
      <w:r w:rsidRPr="00F05A27">
        <w:fldChar w:fldCharType="end"/>
      </w:r>
      <w:r w:rsidRPr="00F05A27">
        <w:t xml:space="preserve">: Credit distribution by </w:t>
      </w:r>
      <w:r w:rsidR="004D1D47">
        <w:t xml:space="preserve">VET qualification level and </w:t>
      </w:r>
      <w:r w:rsidR="00C20F42">
        <w:t>field of education match</w:t>
      </w:r>
      <w:bookmarkEnd w:id="45"/>
    </w:p>
    <w:p w14:paraId="1DF9795E" w14:textId="481C11A6" w:rsidR="006070DA" w:rsidRDefault="00F05A27" w:rsidP="006272A2">
      <w:pPr>
        <w:numPr>
          <w:ilvl w:val="0"/>
          <w:numId w:val="4"/>
        </w:numPr>
        <w:spacing w:before="120" w:after="360" w:line="220" w:lineRule="atLeast"/>
        <w:rPr>
          <w:rFonts w:eastAsia="Arial"/>
          <w:sz w:val="16"/>
        </w:rPr>
      </w:pPr>
      <w:r w:rsidRPr="00F05A27">
        <w:rPr>
          <w:rFonts w:eastAsia="Arial"/>
          <w:sz w:val="16"/>
        </w:rPr>
        <w:t>Analysis conducted using PLIDA data, 2025.</w:t>
      </w:r>
      <w:r w:rsidR="00143CD4" w:rsidRPr="00F05A27" w:rsidDel="00143CD4">
        <w:rPr>
          <w:rFonts w:eastAsia="Arial"/>
          <w:sz w:val="16"/>
        </w:rPr>
        <w:t xml:space="preserve"> </w:t>
      </w:r>
    </w:p>
    <w:p w14:paraId="670BEE46" w14:textId="00C06EB7" w:rsidR="006B7164" w:rsidRDefault="006070DA" w:rsidP="00C55EC9">
      <w:pPr>
        <w:rPr>
          <w:rFonts w:eastAsia="Arial"/>
        </w:rPr>
      </w:pPr>
      <w:r w:rsidRPr="006070DA">
        <w:rPr>
          <w:rFonts w:eastAsia="Arial"/>
        </w:rPr>
        <w:t xml:space="preserve">For Certificates III and IV in the same narrow field of education, the median credit amount received is 0.75 EFTSL, noting the size of the cohorts is quite small. The most significant cohorts are VET diploma learners transferring into the same field of education in higher education. For each of these cohorts, the median credit amount received is one EFTSL with the top quartile transitioning to the same broad field of education receiving between one and 2 EFTSL of credit. For advanced diploma graduates, the median credit received is one EFTSL for learners in the same broad field of education and 1.5 EFTSL in the same narrow field. Although the median amount of credit awarded is close to what is expected, there is still some variation in the credit amount given where the qualifications are in the same broad or narrow field. This may point to some inconsistency between providers in the amount of credit they give for the same qualifications, a core focus of the National Credit Recognition Framework </w:t>
      </w:r>
      <w:r w:rsidR="00801D4A">
        <w:rPr>
          <w:rFonts w:eastAsia="Arial"/>
        </w:rPr>
        <w:t xml:space="preserve">currently </w:t>
      </w:r>
      <w:r w:rsidRPr="006070DA">
        <w:rPr>
          <w:rFonts w:eastAsia="Arial"/>
        </w:rPr>
        <w:t>in development by ATEC.</w:t>
      </w:r>
    </w:p>
    <w:p w14:paraId="6514BE7B" w14:textId="16F6683F" w:rsidR="00F05A27" w:rsidRPr="00F05A27" w:rsidRDefault="00F05A27" w:rsidP="00C55EC9">
      <w:pPr>
        <w:rPr>
          <w:rFonts w:eastAsia="Arial"/>
        </w:rPr>
      </w:pPr>
      <w:r w:rsidRPr="00F05A27" w:rsidDel="00B73BE0">
        <w:rPr>
          <w:rFonts w:eastAsia="Arial"/>
        </w:rPr>
        <w:t xml:space="preserve">Beyond issues with data quality, the most significant gap in the data </w:t>
      </w:r>
      <w:r w:rsidRPr="00F05A27">
        <w:rPr>
          <w:rFonts w:eastAsia="Arial"/>
        </w:rPr>
        <w:t>is that it excludes students whose credit applications were unsuccessful. A</w:t>
      </w:r>
      <w:r w:rsidR="0036008D">
        <w:rPr>
          <w:rFonts w:eastAsia="Arial"/>
        </w:rPr>
        <w:t xml:space="preserve"> </w:t>
      </w:r>
      <w:r w:rsidRPr="00F05A27">
        <w:rPr>
          <w:rFonts w:eastAsia="Arial"/>
        </w:rPr>
        <w:t>survey of higher education providers reported that 62% of credit requests were successful</w:t>
      </w:r>
      <w:r w:rsidRPr="00F05A27" w:rsidDel="0036008D">
        <w:rPr>
          <w:rFonts w:eastAsia="Arial"/>
        </w:rPr>
        <w:t xml:space="preserve"> in 2017</w:t>
      </w:r>
      <w:r w:rsidRPr="00F05A27">
        <w:rPr>
          <w:rFonts w:eastAsia="Arial"/>
        </w:rPr>
        <w:t xml:space="preserve"> (Ithaca Group 2018). </w:t>
      </w:r>
      <w:r w:rsidR="00687F12">
        <w:rPr>
          <w:rFonts w:eastAsia="Arial"/>
        </w:rPr>
        <w:t xml:space="preserve">Without more recent </w:t>
      </w:r>
      <w:r w:rsidR="008E36F6">
        <w:rPr>
          <w:rFonts w:eastAsia="Arial"/>
        </w:rPr>
        <w:t xml:space="preserve">and comprehensive </w:t>
      </w:r>
      <w:r w:rsidR="00687F12">
        <w:rPr>
          <w:rFonts w:eastAsia="Arial"/>
        </w:rPr>
        <w:t>data, i</w:t>
      </w:r>
      <w:r w:rsidRPr="00F05A27">
        <w:rPr>
          <w:rFonts w:eastAsia="Arial"/>
        </w:rPr>
        <w:t xml:space="preserve">t is difficult to </w:t>
      </w:r>
      <w:r w:rsidRPr="00F05A27" w:rsidDel="0060037A">
        <w:rPr>
          <w:rFonts w:eastAsia="Arial"/>
        </w:rPr>
        <w:t xml:space="preserve">determine </w:t>
      </w:r>
      <w:r w:rsidRPr="00F05A27">
        <w:rPr>
          <w:rFonts w:eastAsia="Arial"/>
        </w:rPr>
        <w:t xml:space="preserve">whether </w:t>
      </w:r>
      <w:r w:rsidRPr="00F05A27" w:rsidDel="0060037A">
        <w:rPr>
          <w:rFonts w:eastAsia="Arial"/>
        </w:rPr>
        <w:t xml:space="preserve">or not this level </w:t>
      </w:r>
      <w:r w:rsidRPr="00F05A27">
        <w:rPr>
          <w:rFonts w:eastAsia="Arial"/>
        </w:rPr>
        <w:t>is appropriate</w:t>
      </w:r>
      <w:r w:rsidRPr="00F05A27" w:rsidDel="00707110">
        <w:rPr>
          <w:rFonts w:eastAsia="Arial"/>
        </w:rPr>
        <w:t xml:space="preserve">, though in general </w:t>
      </w:r>
      <w:r w:rsidRPr="00F05A27">
        <w:rPr>
          <w:rFonts w:eastAsia="Arial"/>
        </w:rPr>
        <w:t xml:space="preserve">a higher </w:t>
      </w:r>
      <w:r w:rsidRPr="00F05A27" w:rsidDel="00707110">
        <w:rPr>
          <w:rFonts w:eastAsia="Arial"/>
        </w:rPr>
        <w:t xml:space="preserve">success </w:t>
      </w:r>
      <w:r w:rsidRPr="00F05A27">
        <w:rPr>
          <w:rFonts w:eastAsia="Arial"/>
        </w:rPr>
        <w:t xml:space="preserve">rate would </w:t>
      </w:r>
      <w:r w:rsidRPr="00F05A27" w:rsidDel="00707110">
        <w:rPr>
          <w:rFonts w:eastAsia="Arial"/>
        </w:rPr>
        <w:t>be desirable given the</w:t>
      </w:r>
      <w:r w:rsidRPr="00F05A27">
        <w:rPr>
          <w:rFonts w:eastAsia="Arial"/>
        </w:rPr>
        <w:t xml:space="preserve"> wasted effort </w:t>
      </w:r>
      <w:r w:rsidRPr="00F05A27" w:rsidDel="000742D0">
        <w:rPr>
          <w:rFonts w:eastAsia="Arial"/>
        </w:rPr>
        <w:t xml:space="preserve">for </w:t>
      </w:r>
      <w:r w:rsidR="008E36F6">
        <w:rPr>
          <w:rFonts w:eastAsia="Arial"/>
        </w:rPr>
        <w:t>learners</w:t>
      </w:r>
      <w:r w:rsidRPr="00F05A27" w:rsidDel="000742D0">
        <w:rPr>
          <w:rFonts w:eastAsia="Arial"/>
        </w:rPr>
        <w:t xml:space="preserve"> </w:t>
      </w:r>
      <w:r w:rsidRPr="00F05A27">
        <w:rPr>
          <w:rFonts w:eastAsia="Arial"/>
        </w:rPr>
        <w:t xml:space="preserve">and providers </w:t>
      </w:r>
      <w:r w:rsidR="000742D0">
        <w:rPr>
          <w:rFonts w:eastAsia="Arial"/>
        </w:rPr>
        <w:t xml:space="preserve">in </w:t>
      </w:r>
      <w:r w:rsidRPr="00F05A27">
        <w:rPr>
          <w:rFonts w:eastAsia="Arial"/>
        </w:rPr>
        <w:t>lodging and assessing applications that are ultimately unsuccessful.</w:t>
      </w:r>
    </w:p>
    <w:p w14:paraId="67DC5B09" w14:textId="1E216716" w:rsidR="00F05A27" w:rsidRPr="00F05A27" w:rsidRDefault="00F05A27" w:rsidP="00F05A27">
      <w:r w:rsidRPr="00F05A27">
        <w:rPr>
          <w:rFonts w:eastAsia="Arial"/>
        </w:rPr>
        <w:t xml:space="preserve">Tertiary admissions centres </w:t>
      </w:r>
      <w:r w:rsidRPr="00F05A27" w:rsidDel="00FE72EB">
        <w:rPr>
          <w:rFonts w:eastAsia="Arial"/>
        </w:rPr>
        <w:t xml:space="preserve">have </w:t>
      </w:r>
      <w:r w:rsidRPr="00F05A27">
        <w:rPr>
          <w:rFonts w:eastAsia="Arial"/>
        </w:rPr>
        <w:t>report</w:t>
      </w:r>
      <w:r w:rsidRPr="00F05A27" w:rsidDel="00FE72EB">
        <w:rPr>
          <w:rFonts w:eastAsia="Arial"/>
        </w:rPr>
        <w:t>ed</w:t>
      </w:r>
      <w:r w:rsidRPr="00F05A27">
        <w:rPr>
          <w:rFonts w:eastAsia="Arial"/>
        </w:rPr>
        <w:t xml:space="preserve"> that “</w:t>
      </w:r>
      <w:r w:rsidRPr="008E4588">
        <w:rPr>
          <w:rFonts w:eastAsia="Arial"/>
        </w:rPr>
        <w:t>m</w:t>
      </w:r>
      <w:r w:rsidRPr="008E4588">
        <w:t>ost learners are unaware of what credit they may be entitled to and how they would apply for it</w:t>
      </w:r>
      <w:r w:rsidRPr="00F05A27">
        <w:t xml:space="preserve">” (Ithaca Group 2018). </w:t>
      </w:r>
      <w:r w:rsidRPr="00F05A27" w:rsidDel="00FE72EB">
        <w:t xml:space="preserve">A </w:t>
      </w:r>
      <w:r w:rsidRPr="00F05A27">
        <w:t xml:space="preserve">survey of tertiary providers </w:t>
      </w:r>
      <w:r w:rsidRPr="00F05A27" w:rsidDel="00FE72EB">
        <w:t xml:space="preserve">found that </w:t>
      </w:r>
      <w:r w:rsidRPr="00F05A27">
        <w:t>70% of higher education responses and 65% of VET responses agreed that more could be done to raise awareness about potential credit</w:t>
      </w:r>
      <w:r w:rsidRPr="00F05A27" w:rsidDel="00FE72EB">
        <w:t xml:space="preserve"> with students</w:t>
      </w:r>
      <w:r w:rsidRPr="00F05A27">
        <w:t xml:space="preserve"> (Ithaca Group 2018).</w:t>
      </w:r>
      <w:r w:rsidR="00A71F4E">
        <w:t xml:space="preserve"> </w:t>
      </w:r>
      <w:r w:rsidR="00F765F7">
        <w:rPr>
          <w:rFonts w:eastAsia="Arial"/>
        </w:rPr>
        <w:t>As such, m</w:t>
      </w:r>
      <w:r w:rsidR="00F765F7" w:rsidRPr="00D353D1" w:rsidDel="00FE72EB">
        <w:rPr>
          <w:rFonts w:eastAsia="Arial"/>
        </w:rPr>
        <w:t>ore</w:t>
      </w:r>
      <w:r w:rsidR="00F765F7" w:rsidRPr="00F05A27" w:rsidDel="00FE72EB">
        <w:rPr>
          <w:rFonts w:eastAsia="Arial"/>
        </w:rPr>
        <w:t xml:space="preserve"> </w:t>
      </w:r>
      <w:r w:rsidR="00F765F7" w:rsidRPr="00F05A27">
        <w:rPr>
          <w:rFonts w:eastAsia="Arial"/>
        </w:rPr>
        <w:t xml:space="preserve">information </w:t>
      </w:r>
      <w:r w:rsidR="00F765F7" w:rsidRPr="00F05A27" w:rsidDel="00FE72EB">
        <w:rPr>
          <w:rFonts w:eastAsia="Arial"/>
        </w:rPr>
        <w:t xml:space="preserve">and guidance on the potential </w:t>
      </w:r>
      <w:r w:rsidR="00F765F7" w:rsidRPr="00F05A27">
        <w:rPr>
          <w:rFonts w:eastAsia="Arial"/>
        </w:rPr>
        <w:t>availability of credit</w:t>
      </w:r>
      <w:r w:rsidR="00F765F7" w:rsidRPr="00D353D1" w:rsidDel="00FE72EB">
        <w:rPr>
          <w:rFonts w:eastAsia="Arial"/>
        </w:rPr>
        <w:t xml:space="preserve"> would</w:t>
      </w:r>
      <w:r w:rsidR="00F765F7" w:rsidRPr="00D353D1">
        <w:rPr>
          <w:rFonts w:eastAsia="Arial"/>
        </w:rPr>
        <w:t xml:space="preserve"> </w:t>
      </w:r>
      <w:r w:rsidR="00F765F7" w:rsidRPr="00D353D1" w:rsidDel="00FE72EB">
        <w:rPr>
          <w:rFonts w:eastAsia="Arial"/>
        </w:rPr>
        <w:t>be beneficial for learners</w:t>
      </w:r>
      <w:r w:rsidR="00F765F7" w:rsidRPr="00D353D1">
        <w:rPr>
          <w:rFonts w:eastAsia="Arial"/>
        </w:rPr>
        <w:t>.</w:t>
      </w:r>
      <w:r w:rsidR="00F765F7" w:rsidRPr="00F05A27">
        <w:rPr>
          <w:rFonts w:eastAsia="Arial"/>
        </w:rPr>
        <w:t xml:space="preserve"> </w:t>
      </w:r>
      <w:r w:rsidR="00B67085">
        <w:t xml:space="preserve">Information for learners could be in the form of credit precedent lists available on the website, allowing them to understand their entitlement more clearly. </w:t>
      </w:r>
      <w:r w:rsidR="00285C57">
        <w:t xml:space="preserve">It could also be provided as part of their application </w:t>
      </w:r>
      <w:r w:rsidR="002917D7">
        <w:t xml:space="preserve">information when seeking entry into higher education. </w:t>
      </w:r>
      <w:r w:rsidR="00BF5022">
        <w:t xml:space="preserve">Staff responsible </w:t>
      </w:r>
      <w:r w:rsidR="00DF1E95">
        <w:t xml:space="preserve">for credit recognition could also draw on </w:t>
      </w:r>
      <w:r w:rsidR="008E6D76">
        <w:t xml:space="preserve">precedents to </w:t>
      </w:r>
      <w:r w:rsidR="00B65953">
        <w:t>support</w:t>
      </w:r>
      <w:r w:rsidR="008E6D76">
        <w:t xml:space="preserve"> more efficient and consistent decision-making</w:t>
      </w:r>
      <w:r w:rsidR="00B65953">
        <w:t xml:space="preserve">, </w:t>
      </w:r>
      <w:r w:rsidR="002D2CC1">
        <w:t xml:space="preserve">and reducing time spent on credit assessments where a precedent for that, or a similar pathway, already exists. </w:t>
      </w:r>
    </w:p>
    <w:p w14:paraId="0B9D46C2" w14:textId="5A0770CD" w:rsidR="00F05A27" w:rsidRPr="00F05A27" w:rsidRDefault="00F05A27" w:rsidP="00F05A27">
      <w:r w:rsidRPr="00F05A27">
        <w:t xml:space="preserve">Feedback </w:t>
      </w:r>
      <w:r w:rsidRPr="00F05A27" w:rsidDel="00FE72EB">
        <w:t xml:space="preserve">from providers </w:t>
      </w:r>
      <w:r w:rsidRPr="00F05A27">
        <w:t xml:space="preserve">also </w:t>
      </w:r>
      <w:r w:rsidRPr="00F05A27" w:rsidDel="00FE72EB">
        <w:t xml:space="preserve">points to </w:t>
      </w:r>
      <w:r w:rsidRPr="00F05A27">
        <w:t xml:space="preserve">practical issues </w:t>
      </w:r>
      <w:r w:rsidRPr="00F05A27" w:rsidDel="00FE72EB">
        <w:t xml:space="preserve">with credit recognition that results in some students choosing </w:t>
      </w:r>
      <w:r w:rsidRPr="00F05A27">
        <w:t xml:space="preserve">to forego credit they </w:t>
      </w:r>
      <w:r w:rsidRPr="00F05A27" w:rsidDel="002E638D">
        <w:t xml:space="preserve">might otherwise </w:t>
      </w:r>
      <w:r w:rsidRPr="00F05A27">
        <w:t>be entitled</w:t>
      </w:r>
      <w:r w:rsidRPr="00F05A27" w:rsidDel="002E638D">
        <w:t xml:space="preserve"> to</w:t>
      </w:r>
      <w:r w:rsidRPr="00F05A27">
        <w:t xml:space="preserve">. Ithaca Group (2018) </w:t>
      </w:r>
      <w:r w:rsidRPr="00F05A27" w:rsidDel="002E638D">
        <w:t xml:space="preserve">reports </w:t>
      </w:r>
      <w:r w:rsidRPr="00F05A27">
        <w:t xml:space="preserve">that </w:t>
      </w:r>
      <w:r w:rsidRPr="00F05A27" w:rsidDel="002E638D">
        <w:t xml:space="preserve">student </w:t>
      </w:r>
      <w:r w:rsidRPr="00F05A27">
        <w:t xml:space="preserve">supports are </w:t>
      </w:r>
      <w:r w:rsidRPr="00F05A27" w:rsidDel="00366957">
        <w:t>not as</w:t>
      </w:r>
      <w:r w:rsidRPr="00F05A27">
        <w:t xml:space="preserve"> readily available for second</w:t>
      </w:r>
      <w:r w:rsidRPr="00F05A27" w:rsidDel="00366957">
        <w:t xml:space="preserve"> </w:t>
      </w:r>
      <w:r w:rsidRPr="00F05A27">
        <w:t xml:space="preserve">year </w:t>
      </w:r>
      <w:r w:rsidR="00366957">
        <w:t>learners</w:t>
      </w:r>
      <w:r w:rsidRPr="00F05A27">
        <w:t>,</w:t>
      </w:r>
      <w:r w:rsidR="000825DA">
        <w:t xml:space="preserve"> </w:t>
      </w:r>
      <w:r w:rsidRPr="00F05A27" w:rsidDel="000825DA">
        <w:t xml:space="preserve">and </w:t>
      </w:r>
      <w:r w:rsidRPr="00F05A27">
        <w:t xml:space="preserve">some </w:t>
      </w:r>
      <w:r w:rsidR="000825DA">
        <w:t xml:space="preserve">learners </w:t>
      </w:r>
      <w:r w:rsidRPr="00F05A27" w:rsidDel="000F7048">
        <w:t xml:space="preserve">therefore </w:t>
      </w:r>
      <w:r w:rsidRPr="00F05A27">
        <w:t xml:space="preserve">opt </w:t>
      </w:r>
      <w:r w:rsidR="003260DE">
        <w:t xml:space="preserve">out of </w:t>
      </w:r>
      <w:r w:rsidRPr="00F05A27">
        <w:t xml:space="preserve">credit </w:t>
      </w:r>
      <w:r w:rsidRPr="00F05A27" w:rsidDel="00210B49">
        <w:t>to obtain better support</w:t>
      </w:r>
      <w:r w:rsidRPr="00F05A27">
        <w:t>.</w:t>
      </w:r>
      <w:r w:rsidR="00325CBB">
        <w:t xml:space="preserve"> </w:t>
      </w:r>
      <w:r w:rsidR="00977173">
        <w:t xml:space="preserve">Providers could help </w:t>
      </w:r>
      <w:r w:rsidR="00C03CBB">
        <w:t>these learners by ensuring that these learners also have access to these support services</w:t>
      </w:r>
      <w:r w:rsidR="00A71F4E">
        <w:t xml:space="preserve"> or those</w:t>
      </w:r>
      <w:r w:rsidR="00C03CBB">
        <w:t xml:space="preserve"> tailored to this cohort (PhillipsKPA 2019)</w:t>
      </w:r>
      <w:r w:rsidR="007D15AD">
        <w:t>.</w:t>
      </w:r>
    </w:p>
    <w:p w14:paraId="2BB035D4" w14:textId="2037EDE4" w:rsidR="00F05A27" w:rsidRDefault="007850B7" w:rsidP="00F05A27">
      <w:r>
        <w:t>R</w:t>
      </w:r>
      <w:r w:rsidR="00F05A27" w:rsidRPr="00F05A27">
        <w:t xml:space="preserve">esearch </w:t>
      </w:r>
      <w:r w:rsidR="00F05A27" w:rsidRPr="00F05A27" w:rsidDel="00C162BC">
        <w:t xml:space="preserve">also points to </w:t>
      </w:r>
      <w:r w:rsidR="00F05A27" w:rsidRPr="00F05A27">
        <w:t xml:space="preserve">deeper </w:t>
      </w:r>
      <w:r w:rsidR="00F05A27" w:rsidRPr="00F05A27" w:rsidDel="00C162BC">
        <w:t xml:space="preserve">issues </w:t>
      </w:r>
      <w:r w:rsidR="00F05A27" w:rsidRPr="00F05A27">
        <w:t xml:space="preserve">with </w:t>
      </w:r>
      <w:r w:rsidR="00C162BC">
        <w:t>RPL</w:t>
      </w:r>
      <w:r w:rsidR="00F05A27" w:rsidRPr="00F05A27" w:rsidDel="00C162BC">
        <w:t>, which</w:t>
      </w:r>
      <w:r w:rsidR="00F05A27" w:rsidRPr="00F05A27">
        <w:t xml:space="preserve"> is an individual assessment used to recognise learning obtained outside a formal tertiary education setting. </w:t>
      </w:r>
      <w:r w:rsidR="00C43EA6">
        <w:t>It</w:t>
      </w:r>
      <w:r w:rsidR="00F05A27" w:rsidRPr="00F05A27">
        <w:t xml:space="preserve"> is used less </w:t>
      </w:r>
      <w:r w:rsidR="00F05A27" w:rsidRPr="00F05A27" w:rsidDel="00C43EA6">
        <w:t xml:space="preserve">often </w:t>
      </w:r>
      <w:r w:rsidR="00F05A27" w:rsidRPr="00F05A27">
        <w:t xml:space="preserve">in higher education </w:t>
      </w:r>
      <w:r w:rsidR="00F05A27" w:rsidRPr="00F05A27" w:rsidDel="00C43EA6">
        <w:t xml:space="preserve">due to the longer </w:t>
      </w:r>
      <w:r w:rsidR="00F05A27" w:rsidRPr="00F05A27">
        <w:t xml:space="preserve">time and process complexity </w:t>
      </w:r>
      <w:r w:rsidR="00F05A27" w:rsidRPr="00F05A27" w:rsidDel="00B07BA0">
        <w:t xml:space="preserve">that it imposes </w:t>
      </w:r>
      <w:r w:rsidR="00F05A27" w:rsidRPr="00F05A27">
        <w:t xml:space="preserve">on both providers and </w:t>
      </w:r>
      <w:r w:rsidR="00B07BA0">
        <w:t>learners</w:t>
      </w:r>
      <w:r w:rsidR="00F05A27" w:rsidRPr="00F05A27">
        <w:t xml:space="preserve">. </w:t>
      </w:r>
      <w:r w:rsidR="00F05A27" w:rsidRPr="00F05A27" w:rsidDel="00923447">
        <w:t xml:space="preserve">In particular, </w:t>
      </w:r>
      <w:r w:rsidR="00AD7FC8" w:rsidRPr="00D353D1">
        <w:t>research</w:t>
      </w:r>
      <w:r w:rsidR="0EE675D0" w:rsidRPr="00D353D1" w:rsidDel="00C06027">
        <w:t xml:space="preserve"> </w:t>
      </w:r>
      <w:r w:rsidR="00F05A27" w:rsidRPr="00D353D1" w:rsidDel="00C06027">
        <w:t>identif</w:t>
      </w:r>
      <w:r w:rsidR="679EE9F7" w:rsidRPr="00D353D1" w:rsidDel="00C06027">
        <w:t>ies</w:t>
      </w:r>
      <w:r w:rsidR="00F05A27" w:rsidRPr="00F05A27" w:rsidDel="00C06027">
        <w:t xml:space="preserve"> the</w:t>
      </w:r>
      <w:r w:rsidR="00F05A27" w:rsidRPr="00F05A27">
        <w:t xml:space="preserve"> central challenge </w:t>
      </w:r>
      <w:r w:rsidR="00F05A27" w:rsidRPr="00F05A27" w:rsidDel="00672BC9">
        <w:t xml:space="preserve">of RPL as being </w:t>
      </w:r>
      <w:r w:rsidR="00F05A27" w:rsidRPr="00F05A27">
        <w:t xml:space="preserve">that </w:t>
      </w:r>
      <w:r w:rsidR="00DF7838">
        <w:t>“</w:t>
      </w:r>
      <w:r w:rsidR="00F05A27" w:rsidRPr="00F05A27">
        <w:t>the burden of evidence is placed on applicants</w:t>
      </w:r>
      <w:r w:rsidR="00DF7838">
        <w:t>”</w:t>
      </w:r>
      <w:r w:rsidR="00F05A27" w:rsidRPr="00F05A27">
        <w:t xml:space="preserve"> </w:t>
      </w:r>
      <w:r w:rsidR="00F05A27" w:rsidRPr="00F05A27" w:rsidDel="00672BC9">
        <w:t xml:space="preserve">and that </w:t>
      </w:r>
      <w:r w:rsidR="00F05A27" w:rsidRPr="00F05A27">
        <w:t>learners</w:t>
      </w:r>
      <w:r w:rsidR="009F0507">
        <w:t xml:space="preserve"> </w:t>
      </w:r>
      <w:r w:rsidR="00F05A27" w:rsidRPr="00F05A27" w:rsidDel="009F0507">
        <w:t xml:space="preserve">incur resource, </w:t>
      </w:r>
      <w:r w:rsidR="00F05A27" w:rsidRPr="00F05A27">
        <w:t xml:space="preserve">cost </w:t>
      </w:r>
      <w:r w:rsidR="00F05A27" w:rsidRPr="00F05A27" w:rsidDel="0094275C">
        <w:t>and time impositions in gathering evidence, which must then be mapped by providers against course learning outcomes</w:t>
      </w:r>
      <w:r w:rsidR="7177BBF6" w:rsidRPr="00D353D1" w:rsidDel="00FB34CB">
        <w:t xml:space="preserve"> (Racti et al. 2024)</w:t>
      </w:r>
    </w:p>
    <w:p w14:paraId="741BCCB7" w14:textId="64F38BAD" w:rsidR="004349BE" w:rsidRDefault="00CA2B32" w:rsidP="004349BE">
      <w:pPr>
        <w:pStyle w:val="Heading4"/>
      </w:pPr>
      <w:r>
        <w:t>Credit recognition in the VET sector</w:t>
      </w:r>
    </w:p>
    <w:p w14:paraId="3E08E9DF" w14:textId="5D59F3EF" w:rsidR="00095D7A" w:rsidRPr="00095D7A" w:rsidRDefault="00095D7A" w:rsidP="00E225EB">
      <w:r>
        <w:t xml:space="preserve">Credit transfer and RPL function differently in the VET sector </w:t>
      </w:r>
      <w:r w:rsidDel="00282F5D">
        <w:t>compared to higher education</w:t>
      </w:r>
      <w:r>
        <w:t xml:space="preserve">. Full qualifications can be granted through RPL assessments in VET, provided all assessment criteria are met (Osborne and Serich 2020). This is not the case in higher education, where providers generally impose limits on the amount of credit that can be awarded (Ithaca </w:t>
      </w:r>
      <w:r w:rsidR="00C43EB9">
        <w:t>G</w:t>
      </w:r>
      <w:r>
        <w:t>roup 2018).</w:t>
      </w:r>
    </w:p>
    <w:p w14:paraId="66FDE7BA" w14:textId="3410DE07" w:rsidR="00374EFE" w:rsidRDefault="000007D3" w:rsidP="00374EFE">
      <w:r>
        <w:t xml:space="preserve">Compared to the higher education sector, </w:t>
      </w:r>
      <w:r w:rsidR="00501848">
        <w:t xml:space="preserve">cross-sector </w:t>
      </w:r>
      <w:r>
        <w:t xml:space="preserve">credit recognition in the VET sector is </w:t>
      </w:r>
      <w:r w:rsidR="00374EFE">
        <w:t xml:space="preserve">less </w:t>
      </w:r>
      <w:r w:rsidR="00501848">
        <w:t>institutionalised and less well analysed.</w:t>
      </w:r>
      <w:r w:rsidR="00374EFE">
        <w:t xml:space="preserve"> </w:t>
      </w:r>
      <w:r w:rsidR="00501848">
        <w:t xml:space="preserve">Findings from </w:t>
      </w:r>
      <w:r w:rsidR="00565989">
        <w:t xml:space="preserve">an environmental scan </w:t>
      </w:r>
      <w:r w:rsidR="00152B54">
        <w:t>indicate</w:t>
      </w:r>
      <w:r w:rsidR="00565989">
        <w:t xml:space="preserve"> t</w:t>
      </w:r>
      <w:r w:rsidR="00374EFE">
        <w:t>hat credit agreements from VET into higher education are common, but agreements from higher education to VET are less common.</w:t>
      </w:r>
      <w:r w:rsidR="00D57D71">
        <w:t xml:space="preserve"> </w:t>
      </w:r>
      <w:r w:rsidR="00374EFE">
        <w:t>This could be due to a combination of factors: the difficulty for learners to meet prescriptive training package requirements through RPL (which would include</w:t>
      </w:r>
      <w:r w:rsidR="00F72689">
        <w:t xml:space="preserve"> </w:t>
      </w:r>
      <w:r w:rsidR="00374EFE">
        <w:t>recognition of higher education study) and greater variation in the curriculums</w:t>
      </w:r>
      <w:r w:rsidR="006F4068">
        <w:t xml:space="preserve"> </w:t>
      </w:r>
      <w:r w:rsidR="00374EFE">
        <w:t>and course structures for the same fields of education between higher education providers, requiring individual mapping for few</w:t>
      </w:r>
      <w:r w:rsidR="002E4CBD">
        <w:t xml:space="preserve"> learners</w:t>
      </w:r>
      <w:r w:rsidR="0058704C">
        <w:t xml:space="preserve"> from a specific institution</w:t>
      </w:r>
      <w:r w:rsidR="00374EFE">
        <w:t>. The hierarchical nature of the Australian Qualifications Framework,</w:t>
      </w:r>
      <w:r w:rsidR="007A1D92">
        <w:t xml:space="preserve"> </w:t>
      </w:r>
      <w:r w:rsidR="00374EFE">
        <w:t>where the most common VET qualifications are at a lower level</w:t>
      </w:r>
      <w:r w:rsidR="007A1D92">
        <w:t xml:space="preserve"> </w:t>
      </w:r>
      <w:r w:rsidR="00374EFE">
        <w:t>compared to the most common higher education qualifications,</w:t>
      </w:r>
      <w:r w:rsidR="007A1D92">
        <w:t xml:space="preserve"> </w:t>
      </w:r>
      <w:r w:rsidR="00374EFE">
        <w:t>has also been noted as potentially contributing to a sense that higher education to</w:t>
      </w:r>
      <w:r w:rsidR="000C27A5">
        <w:t xml:space="preserve"> </w:t>
      </w:r>
      <w:r w:rsidR="00374EFE">
        <w:t>VET pathways are abnormal (Ithaca Group 2018). More broadly, the literature on pathways from higher education into VET is quite limited, despite the number of learners who do engage in both sectors.</w:t>
      </w:r>
    </w:p>
    <w:p w14:paraId="2CF67B65" w14:textId="23ED011C" w:rsidR="00031832" w:rsidRDefault="00031832" w:rsidP="00152B54">
      <w:r>
        <w:t xml:space="preserve">Data </w:t>
      </w:r>
      <w:r w:rsidR="008F63B6">
        <w:t xml:space="preserve">on RPL </w:t>
      </w:r>
      <w:r>
        <w:t>in the VET sector</w:t>
      </w:r>
      <w:r w:rsidR="000244F9">
        <w:t xml:space="preserve"> is more limited</w:t>
      </w:r>
      <w:r w:rsidR="007A53CF">
        <w:t xml:space="preserve"> as well</w:t>
      </w:r>
      <w:r w:rsidR="003D5B8C">
        <w:t xml:space="preserve">. ASQA has raised </w:t>
      </w:r>
      <w:r w:rsidR="000244F9">
        <w:t xml:space="preserve">concerns about </w:t>
      </w:r>
      <w:r w:rsidR="000244F9" w:rsidDel="003D5B8C">
        <w:t xml:space="preserve">reduced </w:t>
      </w:r>
      <w:r w:rsidR="000244F9">
        <w:t>reporting of RPL due to ‘audit fear’</w:t>
      </w:r>
      <w:r w:rsidR="00B00B58">
        <w:t xml:space="preserve"> (Osborne and </w:t>
      </w:r>
      <w:r w:rsidR="00A4569E">
        <w:t>Serich</w:t>
      </w:r>
      <w:r w:rsidR="00B00B58">
        <w:t xml:space="preserve"> 2020; PC 2025b)</w:t>
      </w:r>
      <w:r w:rsidR="000244F9">
        <w:t xml:space="preserve">, as the granting of RPL without appropriate assessment has been identified as a key </w:t>
      </w:r>
      <w:r w:rsidR="00B00B58">
        <w:t xml:space="preserve">regulatory risk </w:t>
      </w:r>
      <w:r w:rsidR="00B00B58" w:rsidDel="008E3ACC">
        <w:t xml:space="preserve">priority </w:t>
      </w:r>
      <w:r w:rsidR="00B00B58">
        <w:t>in 2025-26 (ASQA 202</w:t>
      </w:r>
      <w:r w:rsidR="000E5A21">
        <w:t>6</w:t>
      </w:r>
      <w:r w:rsidR="00201145">
        <w:t>b</w:t>
      </w:r>
      <w:r w:rsidR="00B00B58">
        <w:t xml:space="preserve">). </w:t>
      </w:r>
      <w:r w:rsidR="00AB2E17">
        <w:t xml:space="preserve">Osborne and </w:t>
      </w:r>
      <w:r w:rsidR="00A4569E">
        <w:t xml:space="preserve">Serich </w:t>
      </w:r>
      <w:r w:rsidR="00AB2E17">
        <w:t xml:space="preserve">(2020) found that around </w:t>
      </w:r>
      <w:r w:rsidR="00A4569E">
        <w:t>3</w:t>
      </w:r>
      <w:r w:rsidR="00AB2E17">
        <w:t xml:space="preserve">% of VET </w:t>
      </w:r>
      <w:r w:rsidR="0063189D">
        <w:t xml:space="preserve">learners </w:t>
      </w:r>
      <w:r w:rsidR="00AB2E17">
        <w:t xml:space="preserve">received RPL </w:t>
      </w:r>
      <w:r w:rsidR="00A4569E">
        <w:t xml:space="preserve">in 2018. </w:t>
      </w:r>
      <w:r w:rsidR="0044643C">
        <w:t xml:space="preserve">RPL </w:t>
      </w:r>
      <w:r w:rsidR="0005412E">
        <w:t>in VET</w:t>
      </w:r>
      <w:r w:rsidR="0044643C">
        <w:t xml:space="preserve"> </w:t>
      </w:r>
      <w:r w:rsidR="003343A7">
        <w:t>may be granted for higher education</w:t>
      </w:r>
      <w:r w:rsidR="0044643C">
        <w:t xml:space="preserve"> </w:t>
      </w:r>
      <w:r w:rsidR="003343A7">
        <w:t xml:space="preserve">or for work and life experience. </w:t>
      </w:r>
      <w:r w:rsidR="006305C8">
        <w:t xml:space="preserve">Analysis shows that </w:t>
      </w:r>
      <w:r w:rsidR="00CF0C71">
        <w:t>learners</w:t>
      </w:r>
      <w:r w:rsidR="006305C8">
        <w:t xml:space="preserve"> with a bachelor degree or higher received RPL at similar rate</w:t>
      </w:r>
      <w:r w:rsidR="00CF0C71">
        <w:t>s</w:t>
      </w:r>
      <w:r w:rsidR="006305C8">
        <w:t xml:space="preserve"> to those with </w:t>
      </w:r>
      <w:r w:rsidR="00CF0C71">
        <w:t>Y</w:t>
      </w:r>
      <w:r w:rsidR="00BD2D05">
        <w:t>ear 10</w:t>
      </w:r>
      <w:r w:rsidR="00BD2D05" w:rsidDel="00CF0C71">
        <w:t xml:space="preserve">, 11 or </w:t>
      </w:r>
      <w:r w:rsidR="00BD2D05">
        <w:t>12, or a Certificate II</w:t>
      </w:r>
      <w:r w:rsidR="00356009" w:rsidDel="007C3017">
        <w:t>,</w:t>
      </w:r>
      <w:r w:rsidR="00356009">
        <w:t xml:space="preserve"> </w:t>
      </w:r>
      <w:r w:rsidR="00356009" w:rsidDel="007C3017">
        <w:t xml:space="preserve">with </w:t>
      </w:r>
      <w:r w:rsidR="00356009">
        <w:t xml:space="preserve">2.5-2.6% of </w:t>
      </w:r>
      <w:r w:rsidR="00901D66">
        <w:t xml:space="preserve">subjects </w:t>
      </w:r>
      <w:r w:rsidR="00DC1EC2">
        <w:t>completed th</w:t>
      </w:r>
      <w:r w:rsidR="00C43EB9">
        <w:t>r</w:t>
      </w:r>
      <w:r w:rsidR="00DC1EC2">
        <w:t>ough RPL</w:t>
      </w:r>
      <w:r w:rsidR="00DC1EC2" w:rsidDel="007C3017">
        <w:t xml:space="preserve">, compared to 3.7-4.9% </w:t>
      </w:r>
      <w:r w:rsidR="00DC1EC2" w:rsidDel="004C3C21">
        <w:t>of</w:t>
      </w:r>
      <w:r w:rsidR="00DC1EC2">
        <w:t xml:space="preserve"> </w:t>
      </w:r>
      <w:r w:rsidR="00901D66">
        <w:t xml:space="preserve">subjects for </w:t>
      </w:r>
      <w:r w:rsidR="00DC1EC2">
        <w:t>those holding a Certificate III</w:t>
      </w:r>
      <w:r w:rsidR="00DC1EC2" w:rsidDel="004C3C21">
        <w:t xml:space="preserve"> or</w:t>
      </w:r>
      <w:r w:rsidR="00DC1EC2">
        <w:t xml:space="preserve"> IV</w:t>
      </w:r>
      <w:r w:rsidR="00DC1EC2" w:rsidDel="004C3C21">
        <w:t xml:space="preserve"> </w:t>
      </w:r>
      <w:r w:rsidR="00DC1EC2">
        <w:t>or Diploma or Advanced Diploma</w:t>
      </w:r>
      <w:r w:rsidR="00D57690" w:rsidRPr="00D57690" w:rsidDel="007B198F">
        <w:t xml:space="preserve"> </w:t>
      </w:r>
      <w:r w:rsidR="00D57690">
        <w:t>(Osborne and Serich 2020)</w:t>
      </w:r>
      <w:r w:rsidR="00DC1EC2">
        <w:t xml:space="preserve">. </w:t>
      </w:r>
    </w:p>
    <w:p w14:paraId="1667619D" w14:textId="1DCAF9CA" w:rsidR="001514DE" w:rsidRDefault="00374EFE" w:rsidP="00F05A27">
      <w:r>
        <w:t>L</w:t>
      </w:r>
      <w:r w:rsidR="00F05A27" w:rsidRPr="00F05A27">
        <w:t xml:space="preserve">earners seeking RPL assessment </w:t>
      </w:r>
      <w:r>
        <w:t>i</w:t>
      </w:r>
      <w:r w:rsidRPr="00F05A27">
        <w:t xml:space="preserve">n the VET sector </w:t>
      </w:r>
      <w:r w:rsidR="00F05A27" w:rsidRPr="00F05A27">
        <w:t xml:space="preserve">can face </w:t>
      </w:r>
      <w:r w:rsidR="00F05A27" w:rsidRPr="00F05A27" w:rsidDel="00C56679">
        <w:t xml:space="preserve">additional </w:t>
      </w:r>
      <w:r w:rsidR="00F05A27" w:rsidRPr="00F05A27">
        <w:t xml:space="preserve">cost barriers </w:t>
      </w:r>
      <w:r w:rsidR="00F05A27" w:rsidRPr="00F05A27" w:rsidDel="00C56679">
        <w:t>from</w:t>
      </w:r>
      <w:r w:rsidR="00F05A27" w:rsidRPr="00F05A27">
        <w:t xml:space="preserve"> providers charging RPL assessment fees</w:t>
      </w:r>
      <w:r w:rsidR="005563DE">
        <w:t>, which</w:t>
      </w:r>
      <w:r w:rsidR="00F05A27" w:rsidRPr="00F05A27" w:rsidDel="009A4100">
        <w:t xml:space="preserve"> can </w:t>
      </w:r>
      <w:r w:rsidR="00F05A27" w:rsidRPr="00F05A27">
        <w:t xml:space="preserve">be equivalent to the cost of undertaking the </w:t>
      </w:r>
      <w:r w:rsidR="009A4100">
        <w:t xml:space="preserve">full </w:t>
      </w:r>
      <w:r w:rsidR="00F05A27" w:rsidRPr="00F05A27">
        <w:t>course</w:t>
      </w:r>
      <w:r w:rsidR="0027483A">
        <w:t xml:space="preserve"> (Ithaca Group 2018)</w:t>
      </w:r>
      <w:r w:rsidR="005563DE">
        <w:t>.</w:t>
      </w:r>
      <w:r w:rsidR="00F05A27" w:rsidRPr="00F05A27">
        <w:t xml:space="preserve"> </w:t>
      </w:r>
      <w:r w:rsidR="005563DE">
        <w:t xml:space="preserve">A </w:t>
      </w:r>
      <w:r w:rsidR="00F05A27" w:rsidRPr="00F05A27">
        <w:t xml:space="preserve">Productivity Commission </w:t>
      </w:r>
      <w:r w:rsidR="006F6863">
        <w:t xml:space="preserve">scan </w:t>
      </w:r>
      <w:r w:rsidR="00F05A27" w:rsidRPr="00F05A27">
        <w:t>(2025</w:t>
      </w:r>
      <w:r w:rsidR="00C618A2">
        <w:t>b</w:t>
      </w:r>
      <w:r w:rsidR="00F05A27" w:rsidRPr="00F05A27">
        <w:t xml:space="preserve">) found that assessment fees </w:t>
      </w:r>
      <w:r w:rsidR="00F05A27" w:rsidRPr="00F05A27" w:rsidDel="006F6863">
        <w:t>were</w:t>
      </w:r>
      <w:r w:rsidR="00F05A27" w:rsidRPr="00F05A27">
        <w:t xml:space="preserve"> likely to be lower than </w:t>
      </w:r>
      <w:r w:rsidR="00F05A27" w:rsidRPr="00F05A27" w:rsidDel="006F6863">
        <w:t xml:space="preserve">the </w:t>
      </w:r>
      <w:r w:rsidR="00F05A27" w:rsidRPr="00F05A27">
        <w:t xml:space="preserve">corresponding course fees. Nonetheless, this </w:t>
      </w:r>
      <w:r w:rsidR="00F55179" w:rsidRPr="00F05A27">
        <w:t>can be</w:t>
      </w:r>
      <w:r w:rsidR="00F05A27" w:rsidRPr="00F05A27" w:rsidDel="00BF08D1">
        <w:t xml:space="preserve"> </w:t>
      </w:r>
      <w:r w:rsidR="00F05A27" w:rsidRPr="00F05A27">
        <w:t xml:space="preserve">a significant deterrent for </w:t>
      </w:r>
      <w:r w:rsidR="00F05A27" w:rsidRPr="00F05A27" w:rsidDel="00BF08D1">
        <w:t>applicants given the process burden they also endure</w:t>
      </w:r>
      <w:r w:rsidR="00F05A27" w:rsidRPr="00F05A27">
        <w:t>.</w:t>
      </w:r>
    </w:p>
    <w:tbl>
      <w:tblPr>
        <w:tblStyle w:val="TableGrid10"/>
        <w:tblW w:w="0" w:type="auto"/>
        <w:shd w:val="clear" w:color="auto" w:fill="DBF5F2" w:themeFill="accent1" w:themeFillTint="1A"/>
        <w:tblLook w:val="04A0" w:firstRow="1" w:lastRow="0" w:firstColumn="1" w:lastColumn="0" w:noHBand="0" w:noVBand="1"/>
      </w:tblPr>
      <w:tblGrid>
        <w:gridCol w:w="567"/>
        <w:gridCol w:w="9072"/>
      </w:tblGrid>
      <w:tr w:rsidR="00E72E59" w:rsidRPr="000375BF" w14:paraId="4DAF76D7" w14:textId="77777777" w:rsidTr="4AA92295">
        <w:trPr>
          <w:cnfStyle w:val="100000000000" w:firstRow="1" w:lastRow="0" w:firstColumn="0" w:lastColumn="0" w:oddVBand="0" w:evenVBand="0" w:oddHBand="0" w:evenHBand="0" w:firstRowFirstColumn="0" w:firstRowLastColumn="0" w:lastRowFirstColumn="0" w:lastRowLastColumn="0"/>
          <w:trHeight w:val="329"/>
        </w:trPr>
        <w:tc>
          <w:tcPr>
            <w:tcW w:w="567" w:type="dxa"/>
            <w:shd w:val="clear" w:color="auto" w:fill="D0DEFF" w:themeFill="text2" w:themeFillTint="1A"/>
          </w:tcPr>
          <w:p w14:paraId="5C2EC494" w14:textId="4FD68E20" w:rsidR="00785601" w:rsidRPr="00E225EB" w:rsidRDefault="00785601" w:rsidP="00785601">
            <w:pPr>
              <w:rPr>
                <w:rFonts w:eastAsiaTheme="minorEastAsia" w:cstheme="minorBidi"/>
                <w:b w:val="0"/>
                <w:bCs/>
                <w:color w:val="001032" w:themeColor="text2"/>
                <w:kern w:val="2"/>
                <w:sz w:val="22"/>
                <w:szCs w:val="22"/>
                <w:lang w:eastAsia="en-US"/>
                <w14:ligatures w14:val="standardContextual"/>
              </w:rPr>
            </w:pPr>
            <w:r w:rsidRPr="005E404E">
              <w:rPr>
                <w:rFonts w:eastAsiaTheme="minorEastAsia" w:cstheme="minorBidi"/>
                <w:color w:val="001032" w:themeColor="text2"/>
                <w:kern w:val="2"/>
                <w:sz w:val="22"/>
                <w:szCs w:val="22"/>
                <w:lang w:eastAsia="en-US"/>
                <w14:ligatures w14:val="standardContextual"/>
              </w:rPr>
              <w:t>Q</w:t>
            </w:r>
            <w:r>
              <w:rPr>
                <w:rFonts w:eastAsiaTheme="minorEastAsia" w:cstheme="minorBidi"/>
                <w:color w:val="001032" w:themeColor="text2"/>
                <w:kern w:val="2"/>
                <w:sz w:val="22"/>
                <w:szCs w:val="22"/>
                <w:lang w:eastAsia="en-US"/>
                <w14:ligatures w14:val="standardContextual"/>
              </w:rPr>
              <w:t>5</w:t>
            </w:r>
          </w:p>
        </w:tc>
        <w:tc>
          <w:tcPr>
            <w:tcW w:w="9072" w:type="dxa"/>
            <w:shd w:val="clear" w:color="auto" w:fill="D0DEFF" w:themeFill="text2" w:themeFillTint="1A"/>
          </w:tcPr>
          <w:p w14:paraId="09383E02" w14:textId="253DB34F" w:rsidR="00785601" w:rsidRPr="00E225EB" w:rsidRDefault="00332864" w:rsidP="00785601">
            <w:pPr>
              <w:rPr>
                <w:b w:val="0"/>
                <w:bCs/>
                <w:color w:val="001032" w:themeColor="text2"/>
                <w:sz w:val="22"/>
                <w:szCs w:val="22"/>
                <w:lang w:eastAsia="en-US"/>
              </w:rPr>
            </w:pPr>
            <w:r w:rsidRPr="001E12C9">
              <w:rPr>
                <w:rFonts w:eastAsiaTheme="minorEastAsia" w:cstheme="minorBidi"/>
                <w:color w:val="auto"/>
                <w:kern w:val="2"/>
                <w:sz w:val="22"/>
                <w:szCs w:val="22"/>
                <w:lang w:eastAsia="en-US"/>
                <w14:ligatures w14:val="standardContextual"/>
              </w:rPr>
              <w:t>What support arrangements are currently available for VET and higher education learners to assist with moving between the sectors and to ensure they can succeed?</w:t>
            </w:r>
          </w:p>
        </w:tc>
      </w:tr>
      <w:tr w:rsidR="00E72E59" w:rsidRPr="000375BF" w14:paraId="1ED64989" w14:textId="77777777" w:rsidTr="4AA92295">
        <w:tc>
          <w:tcPr>
            <w:tcW w:w="567" w:type="dxa"/>
            <w:shd w:val="clear" w:color="auto" w:fill="D0DEFF" w:themeFill="text2" w:themeFillTint="1A"/>
          </w:tcPr>
          <w:p w14:paraId="73A1ED5E" w14:textId="064614D1" w:rsidR="00785601" w:rsidRPr="00E225EB" w:rsidRDefault="00785601" w:rsidP="00785601">
            <w:pPr>
              <w:rPr>
                <w:rFonts w:eastAsiaTheme="minorEastAsia" w:cstheme="minorBidi"/>
                <w:b/>
                <w:color w:val="001032" w:themeColor="text2"/>
                <w:kern w:val="2"/>
                <w:sz w:val="22"/>
                <w:szCs w:val="22"/>
                <w:lang w:eastAsia="en-US"/>
                <w14:ligatures w14:val="standardContextual"/>
              </w:rPr>
            </w:pPr>
            <w:r>
              <w:rPr>
                <w:rFonts w:eastAsiaTheme="minorEastAsia" w:cstheme="minorBidi"/>
                <w:b/>
                <w:color w:val="001032" w:themeColor="text2"/>
                <w:kern w:val="2"/>
                <w:sz w:val="22"/>
                <w:szCs w:val="22"/>
                <w:lang w:eastAsia="en-US"/>
                <w14:ligatures w14:val="standardContextual"/>
              </w:rPr>
              <w:t>Q6</w:t>
            </w:r>
          </w:p>
        </w:tc>
        <w:tc>
          <w:tcPr>
            <w:tcW w:w="9072" w:type="dxa"/>
            <w:shd w:val="clear" w:color="auto" w:fill="D0DEFF" w:themeFill="text2" w:themeFillTint="1A"/>
          </w:tcPr>
          <w:p w14:paraId="261C1820" w14:textId="7E29464A" w:rsidR="00A85047" w:rsidRPr="00E225EB" w:rsidRDefault="3263789E" w:rsidP="4AA92295">
            <w:pPr>
              <w:rPr>
                <w:rFonts w:eastAsiaTheme="minorEastAsia" w:cstheme="minorBidi"/>
                <w:b/>
                <w:bCs/>
                <w:color w:val="auto"/>
                <w:kern w:val="2"/>
                <w:sz w:val="22"/>
                <w:szCs w:val="22"/>
                <w:lang w:eastAsia="en-US"/>
                <w14:ligatures w14:val="standardContextual"/>
              </w:rPr>
            </w:pPr>
            <w:r w:rsidRPr="4AA92295">
              <w:rPr>
                <w:rFonts w:eastAsiaTheme="minorEastAsia" w:cstheme="minorBidi"/>
                <w:b/>
                <w:bCs/>
                <w:color w:val="auto"/>
                <w:kern w:val="2"/>
                <w:sz w:val="22"/>
                <w:szCs w:val="22"/>
                <w:lang w:eastAsia="en-US"/>
                <w14:ligatures w14:val="standardContextual"/>
              </w:rPr>
              <w:t xml:space="preserve">What can </w:t>
            </w:r>
            <w:r w:rsidR="1A8D51E8" w:rsidRPr="4AA92295">
              <w:rPr>
                <w:rFonts w:eastAsiaTheme="minorEastAsia" w:cstheme="minorBidi"/>
                <w:b/>
                <w:bCs/>
                <w:color w:val="auto"/>
                <w:kern w:val="2"/>
                <w:sz w:val="22"/>
                <w:szCs w:val="22"/>
                <w:lang w:eastAsia="en-US"/>
                <w14:ligatures w14:val="standardContextual"/>
              </w:rPr>
              <w:t xml:space="preserve">VET and higher education </w:t>
            </w:r>
            <w:r w:rsidRPr="4AA92295">
              <w:rPr>
                <w:rFonts w:eastAsiaTheme="minorEastAsia" w:cstheme="minorBidi"/>
                <w:b/>
                <w:bCs/>
                <w:color w:val="auto"/>
                <w:kern w:val="2"/>
                <w:sz w:val="22"/>
                <w:szCs w:val="22"/>
                <w:lang w:eastAsia="en-US"/>
                <w14:ligatures w14:val="standardContextual"/>
              </w:rPr>
              <w:t>providers do to better inform current and prospective learners of credit transfer arrangements and potential credit pathways?</w:t>
            </w:r>
          </w:p>
        </w:tc>
      </w:tr>
    </w:tbl>
    <w:p w14:paraId="21BF2342" w14:textId="3570CDF3" w:rsidR="00E47B6E" w:rsidRDefault="00E47B6E">
      <w:pPr>
        <w:spacing w:line="260" w:lineRule="atLeast"/>
      </w:pPr>
    </w:p>
    <w:p w14:paraId="149DE76F" w14:textId="28DA5778" w:rsidR="00F05A27" w:rsidRPr="00F05A27" w:rsidRDefault="00623945" w:rsidP="00B53611">
      <w:pPr>
        <w:pStyle w:val="Heading2"/>
        <w:numPr>
          <w:ilvl w:val="1"/>
          <w:numId w:val="14"/>
        </w:numPr>
        <w:spacing w:before="160" w:after="80" w:line="259" w:lineRule="auto"/>
        <w:ind w:left="851" w:hanging="851"/>
        <w:rPr>
          <w:b w:val="0"/>
          <w:bCs w:val="0"/>
        </w:rPr>
      </w:pPr>
      <w:bookmarkStart w:id="46" w:name="_Toc218688818"/>
      <w:bookmarkStart w:id="47" w:name="_Toc218782690"/>
      <w:bookmarkStart w:id="48" w:name="_Toc218688819"/>
      <w:bookmarkStart w:id="49" w:name="_Toc218782691"/>
      <w:bookmarkStart w:id="50" w:name="_Toc229643977"/>
      <w:bookmarkEnd w:id="46"/>
      <w:bookmarkEnd w:id="47"/>
      <w:bookmarkEnd w:id="48"/>
      <w:bookmarkEnd w:id="49"/>
      <w:r>
        <w:t>Strengthening learner experience</w:t>
      </w:r>
      <w:r w:rsidR="004146E8">
        <w:t xml:space="preserve"> and outcomes</w:t>
      </w:r>
      <w:r>
        <w:t xml:space="preserve"> through collaboration</w:t>
      </w:r>
      <w:bookmarkEnd w:id="50"/>
    </w:p>
    <w:p w14:paraId="6BDCEB4E" w14:textId="44259E72" w:rsidR="00F05A27" w:rsidRPr="00F05A27" w:rsidRDefault="00F05A27" w:rsidP="00F05A27">
      <w:pPr>
        <w:rPr>
          <w:color w:val="auto"/>
        </w:rPr>
      </w:pPr>
      <w:r w:rsidRPr="00F05A27">
        <w:rPr>
          <w:color w:val="auto"/>
        </w:rPr>
        <w:t>As learners</w:t>
      </w:r>
      <w:r w:rsidR="00424FE7">
        <w:rPr>
          <w:color w:val="auto"/>
        </w:rPr>
        <w:t xml:space="preserve"> </w:t>
      </w:r>
      <w:r w:rsidRPr="00F05A27" w:rsidDel="00424FE7">
        <w:rPr>
          <w:color w:val="auto"/>
        </w:rPr>
        <w:t xml:space="preserve">undertake </w:t>
      </w:r>
      <w:r w:rsidRPr="00F05A27">
        <w:rPr>
          <w:color w:val="auto"/>
        </w:rPr>
        <w:t xml:space="preserve">individual pathways between VET and higher education, there are opportunities to </w:t>
      </w:r>
      <w:r w:rsidRPr="00F05A27" w:rsidDel="00424FE7">
        <w:rPr>
          <w:color w:val="auto"/>
        </w:rPr>
        <w:t xml:space="preserve">develop </w:t>
      </w:r>
      <w:r w:rsidRPr="00F05A27">
        <w:rPr>
          <w:color w:val="auto"/>
        </w:rPr>
        <w:t xml:space="preserve">cross-sector relationships between providers and </w:t>
      </w:r>
      <w:r w:rsidRPr="00F05A27" w:rsidDel="006233F3">
        <w:rPr>
          <w:color w:val="auto"/>
        </w:rPr>
        <w:t xml:space="preserve">build on </w:t>
      </w:r>
      <w:r w:rsidRPr="00F05A27">
        <w:rPr>
          <w:color w:val="auto"/>
        </w:rPr>
        <w:t xml:space="preserve">the </w:t>
      </w:r>
      <w:r w:rsidR="00F55179">
        <w:rPr>
          <w:color w:val="auto"/>
        </w:rPr>
        <w:t>complementary</w:t>
      </w:r>
      <w:r w:rsidR="006233F3">
        <w:rPr>
          <w:color w:val="auto"/>
        </w:rPr>
        <w:t xml:space="preserve"> </w:t>
      </w:r>
      <w:r w:rsidRPr="00F05A27">
        <w:rPr>
          <w:color w:val="auto"/>
        </w:rPr>
        <w:t xml:space="preserve">strengths of </w:t>
      </w:r>
      <w:r w:rsidR="006233F3">
        <w:rPr>
          <w:color w:val="auto"/>
        </w:rPr>
        <w:t>each sector.</w:t>
      </w:r>
      <w:r w:rsidR="005D472B">
        <w:rPr>
          <w:color w:val="auto"/>
        </w:rPr>
        <w:t xml:space="preserve"> </w:t>
      </w:r>
      <w:r w:rsidRPr="00F05A27">
        <w:rPr>
          <w:color w:val="auto"/>
        </w:rPr>
        <w:t xml:space="preserve">The VET and higher education sectors have </w:t>
      </w:r>
      <w:r w:rsidRPr="00F05A27" w:rsidDel="00CE1173">
        <w:rPr>
          <w:color w:val="auto"/>
        </w:rPr>
        <w:t xml:space="preserve">different </w:t>
      </w:r>
      <w:r w:rsidRPr="00F05A27">
        <w:rPr>
          <w:color w:val="auto"/>
        </w:rPr>
        <w:t xml:space="preserve">purposes and strengths </w:t>
      </w:r>
      <w:r w:rsidRPr="00F05A27" w:rsidDel="00CE1173">
        <w:rPr>
          <w:color w:val="auto"/>
        </w:rPr>
        <w:t xml:space="preserve">which </w:t>
      </w:r>
      <w:r w:rsidRPr="00F05A27">
        <w:rPr>
          <w:color w:val="auto"/>
        </w:rPr>
        <w:t xml:space="preserve">contribute to the </w:t>
      </w:r>
      <w:r w:rsidRPr="00F05A27" w:rsidDel="00A33705">
        <w:rPr>
          <w:color w:val="auto"/>
        </w:rPr>
        <w:t xml:space="preserve">overarching </w:t>
      </w:r>
      <w:r w:rsidRPr="00F05A27">
        <w:rPr>
          <w:color w:val="auto"/>
        </w:rPr>
        <w:t xml:space="preserve">tertiary </w:t>
      </w:r>
      <w:r w:rsidR="00E4035D">
        <w:rPr>
          <w:color w:val="auto"/>
        </w:rPr>
        <w:t xml:space="preserve">education </w:t>
      </w:r>
      <w:r w:rsidRPr="00F05A27">
        <w:rPr>
          <w:color w:val="auto"/>
        </w:rPr>
        <w:t xml:space="preserve">system. These strengths </w:t>
      </w:r>
      <w:r w:rsidRPr="00F05A27" w:rsidDel="00885E0E">
        <w:rPr>
          <w:color w:val="auto"/>
        </w:rPr>
        <w:t xml:space="preserve">could be </w:t>
      </w:r>
      <w:r w:rsidR="15849569" w:rsidRPr="00D353D1" w:rsidDel="00885E0E">
        <w:rPr>
          <w:color w:val="auto"/>
        </w:rPr>
        <w:t>drawn on</w:t>
      </w:r>
      <w:r w:rsidRPr="00F05A27" w:rsidDel="00885E0E">
        <w:rPr>
          <w:color w:val="auto"/>
        </w:rPr>
        <w:t xml:space="preserve"> </w:t>
      </w:r>
      <w:r w:rsidR="005D472B">
        <w:rPr>
          <w:color w:val="auto"/>
        </w:rPr>
        <w:t xml:space="preserve">through collaboration </w:t>
      </w:r>
      <w:r w:rsidRPr="00F05A27" w:rsidDel="00885E0E">
        <w:rPr>
          <w:color w:val="auto"/>
        </w:rPr>
        <w:t xml:space="preserve">to elevate the </w:t>
      </w:r>
      <w:r w:rsidR="00885E0E">
        <w:rPr>
          <w:color w:val="auto"/>
        </w:rPr>
        <w:t xml:space="preserve">system </w:t>
      </w:r>
      <w:r w:rsidRPr="00F05A27">
        <w:rPr>
          <w:color w:val="auto"/>
        </w:rPr>
        <w:t>performance</w:t>
      </w:r>
      <w:r w:rsidR="0066680F">
        <w:rPr>
          <w:color w:val="auto"/>
        </w:rPr>
        <w:t>, opening</w:t>
      </w:r>
      <w:r w:rsidRPr="00F05A27">
        <w:rPr>
          <w:color w:val="auto"/>
        </w:rPr>
        <w:t xml:space="preserve"> new qualification models that </w:t>
      </w:r>
      <w:r w:rsidRPr="00F05A27" w:rsidDel="00383A43">
        <w:rPr>
          <w:color w:val="auto"/>
        </w:rPr>
        <w:t xml:space="preserve">better </w:t>
      </w:r>
      <w:r w:rsidRPr="00F05A27">
        <w:rPr>
          <w:color w:val="auto"/>
        </w:rPr>
        <w:t xml:space="preserve">respond to </w:t>
      </w:r>
      <w:r w:rsidR="00383A43">
        <w:rPr>
          <w:color w:val="auto"/>
        </w:rPr>
        <w:t xml:space="preserve">national and regional </w:t>
      </w:r>
      <w:r w:rsidRPr="00F05A27">
        <w:rPr>
          <w:color w:val="auto"/>
        </w:rPr>
        <w:t xml:space="preserve">skills needs, build graduate employability skills, and </w:t>
      </w:r>
      <w:r w:rsidRPr="00F05A27" w:rsidDel="00BF1CC7">
        <w:rPr>
          <w:color w:val="auto"/>
        </w:rPr>
        <w:t xml:space="preserve">provide </w:t>
      </w:r>
      <w:r w:rsidRPr="00F05A27">
        <w:rPr>
          <w:color w:val="auto"/>
        </w:rPr>
        <w:t xml:space="preserve">alternative </w:t>
      </w:r>
      <w:r w:rsidRPr="00F05A27" w:rsidDel="00BF1CC7">
        <w:rPr>
          <w:color w:val="auto"/>
        </w:rPr>
        <w:t>options that could widen interest and participation</w:t>
      </w:r>
      <w:r w:rsidRPr="00F05A27">
        <w:rPr>
          <w:color w:val="auto"/>
        </w:rPr>
        <w:t>.</w:t>
      </w:r>
    </w:p>
    <w:p w14:paraId="153C0DD1" w14:textId="04BA677E" w:rsidR="00F05A27" w:rsidRPr="00F05A27" w:rsidRDefault="00F05A27" w:rsidP="00F05A27">
      <w:pPr>
        <w:rPr>
          <w:color w:val="auto"/>
        </w:rPr>
      </w:pPr>
      <w:r w:rsidRPr="3A7ED23E">
        <w:rPr>
          <w:color w:val="auto"/>
        </w:rPr>
        <w:t xml:space="preserve">The VET sector has strong work-based learning and industry connections, </w:t>
      </w:r>
      <w:r w:rsidR="00FD0CB8" w:rsidRPr="3A7ED23E">
        <w:rPr>
          <w:color w:val="auto"/>
        </w:rPr>
        <w:t xml:space="preserve">with a </w:t>
      </w:r>
      <w:r w:rsidRPr="3A7ED23E">
        <w:rPr>
          <w:color w:val="auto"/>
        </w:rPr>
        <w:t xml:space="preserve">focus on </w:t>
      </w:r>
      <w:r w:rsidR="00FD0CB8" w:rsidRPr="3A7ED23E">
        <w:rPr>
          <w:color w:val="auto"/>
        </w:rPr>
        <w:t xml:space="preserve">developing </w:t>
      </w:r>
      <w:r w:rsidR="00100B64" w:rsidRPr="3A7ED23E">
        <w:rPr>
          <w:color w:val="auto"/>
        </w:rPr>
        <w:t>skill</w:t>
      </w:r>
      <w:r w:rsidR="00E364BE" w:rsidRPr="3A7ED23E">
        <w:rPr>
          <w:color w:val="auto"/>
        </w:rPr>
        <w:t xml:space="preserve">s </w:t>
      </w:r>
      <w:r w:rsidRPr="3A7ED23E">
        <w:rPr>
          <w:color w:val="auto"/>
        </w:rPr>
        <w:t xml:space="preserve">through units of competency (Schmidt et al. 2025). Most apprenticeship and traineeship models are offered in the VET sector, </w:t>
      </w:r>
      <w:r w:rsidR="00502AB7" w:rsidRPr="3A7ED23E">
        <w:rPr>
          <w:color w:val="auto"/>
        </w:rPr>
        <w:t>enabling</w:t>
      </w:r>
      <w:r w:rsidRPr="3A7ED23E">
        <w:rPr>
          <w:color w:val="auto"/>
        </w:rPr>
        <w:t xml:space="preserve"> learners to gain work experience and </w:t>
      </w:r>
      <w:r w:rsidR="00502AB7" w:rsidRPr="3A7ED23E">
        <w:rPr>
          <w:color w:val="auto"/>
        </w:rPr>
        <w:t xml:space="preserve">develop </w:t>
      </w:r>
      <w:r w:rsidRPr="3A7ED23E">
        <w:rPr>
          <w:color w:val="auto"/>
        </w:rPr>
        <w:t xml:space="preserve">employability skills. The VET sector also engages </w:t>
      </w:r>
      <w:r w:rsidR="00821654" w:rsidRPr="3A7ED23E">
        <w:rPr>
          <w:color w:val="auto"/>
        </w:rPr>
        <w:t xml:space="preserve">a higher proportion of </w:t>
      </w:r>
      <w:r w:rsidRPr="3A7ED23E">
        <w:rPr>
          <w:color w:val="auto"/>
        </w:rPr>
        <w:t>learners from underrepresented backgrounds</w:t>
      </w:r>
      <w:r w:rsidR="006A10B0" w:rsidRPr="3A7ED23E">
        <w:rPr>
          <w:color w:val="auto"/>
        </w:rPr>
        <w:t>,</w:t>
      </w:r>
      <w:r w:rsidR="00E81801" w:rsidRPr="3A7ED23E">
        <w:rPr>
          <w:color w:val="auto"/>
        </w:rPr>
        <w:t xml:space="preserve"> including </w:t>
      </w:r>
      <w:r w:rsidRPr="3A7ED23E">
        <w:rPr>
          <w:color w:val="auto"/>
        </w:rPr>
        <w:t>low SES, First Nations and regional and remote learners</w:t>
      </w:r>
      <w:r w:rsidR="006A10B0" w:rsidRPr="3A7ED23E">
        <w:rPr>
          <w:color w:val="auto"/>
        </w:rPr>
        <w:t>,</w:t>
      </w:r>
      <w:r w:rsidR="00492D7A" w:rsidRPr="3A7ED23E">
        <w:rPr>
          <w:color w:val="auto"/>
        </w:rPr>
        <w:t xml:space="preserve"> compared with </w:t>
      </w:r>
      <w:r w:rsidRPr="3A7ED23E">
        <w:rPr>
          <w:color w:val="auto"/>
        </w:rPr>
        <w:t>higher education</w:t>
      </w:r>
      <w:r w:rsidR="00145673" w:rsidRPr="3A7ED23E">
        <w:rPr>
          <w:color w:val="auto"/>
        </w:rPr>
        <w:t xml:space="preserve"> (DoE 2025</w:t>
      </w:r>
      <w:r w:rsidR="00B42398">
        <w:rPr>
          <w:color w:val="auto"/>
        </w:rPr>
        <w:t>b</w:t>
      </w:r>
      <w:r w:rsidR="00145673" w:rsidRPr="3A7ED23E">
        <w:rPr>
          <w:color w:val="auto"/>
        </w:rPr>
        <w:t>, NCVER 2025</w:t>
      </w:r>
      <w:r w:rsidR="003C2CE6">
        <w:rPr>
          <w:color w:val="auto"/>
        </w:rPr>
        <w:t>a</w:t>
      </w:r>
      <w:r w:rsidR="00145673" w:rsidRPr="3A7ED23E">
        <w:rPr>
          <w:color w:val="auto"/>
        </w:rPr>
        <w:t>)</w:t>
      </w:r>
      <w:r w:rsidRPr="3A7ED23E">
        <w:rPr>
          <w:color w:val="auto"/>
        </w:rPr>
        <w:t xml:space="preserve">. </w:t>
      </w:r>
      <w:r w:rsidR="00146524" w:rsidRPr="3A7ED23E">
        <w:rPr>
          <w:color w:val="auto"/>
        </w:rPr>
        <w:t>Conversely</w:t>
      </w:r>
      <w:r w:rsidRPr="3A7ED23E">
        <w:rPr>
          <w:color w:val="auto"/>
        </w:rPr>
        <w:t>, the higher education sector plays an important role in developing theory and knowledge</w:t>
      </w:r>
      <w:r w:rsidR="00F55179" w:rsidRPr="3A7ED23E">
        <w:rPr>
          <w:color w:val="auto"/>
        </w:rPr>
        <w:t>,</w:t>
      </w:r>
      <w:r w:rsidRPr="3A7ED23E">
        <w:rPr>
          <w:color w:val="auto"/>
        </w:rPr>
        <w:t xml:space="preserve"> with curriculum highly connected to scholarly practice</w:t>
      </w:r>
      <w:r w:rsidR="59B005E7" w:rsidRPr="3A7ED23E">
        <w:rPr>
          <w:color w:val="auto"/>
        </w:rPr>
        <w:t xml:space="preserve"> and</w:t>
      </w:r>
      <w:r w:rsidR="008119D9" w:rsidRPr="3A7ED23E">
        <w:rPr>
          <w:color w:val="auto"/>
        </w:rPr>
        <w:t xml:space="preserve"> in some </w:t>
      </w:r>
      <w:r w:rsidR="00F55179" w:rsidRPr="3A7ED23E">
        <w:rPr>
          <w:color w:val="auto"/>
        </w:rPr>
        <w:t>cases,</w:t>
      </w:r>
      <w:r w:rsidR="00255AB8" w:rsidRPr="3A7ED23E">
        <w:rPr>
          <w:color w:val="auto"/>
        </w:rPr>
        <w:t xml:space="preserve"> curriculum</w:t>
      </w:r>
      <w:r w:rsidRPr="3A7ED23E">
        <w:rPr>
          <w:color w:val="auto"/>
        </w:rPr>
        <w:t xml:space="preserve"> is </w:t>
      </w:r>
      <w:r w:rsidR="00255AB8" w:rsidRPr="3A7ED23E">
        <w:rPr>
          <w:color w:val="auto"/>
        </w:rPr>
        <w:t xml:space="preserve">also </w:t>
      </w:r>
      <w:r w:rsidRPr="3A7ED23E">
        <w:rPr>
          <w:color w:val="auto"/>
        </w:rPr>
        <w:t>linked to profession</w:t>
      </w:r>
      <w:r w:rsidR="00A332F4" w:rsidRPr="3A7ED23E">
        <w:rPr>
          <w:color w:val="auto"/>
        </w:rPr>
        <w:t>al accreditation</w:t>
      </w:r>
      <w:r w:rsidRPr="3A7ED23E">
        <w:rPr>
          <w:color w:val="auto"/>
        </w:rPr>
        <w:t xml:space="preserve"> (Schmidt et al. 2025). </w:t>
      </w:r>
      <w:r w:rsidR="00A332F4" w:rsidRPr="3A7ED23E">
        <w:rPr>
          <w:color w:val="auto"/>
        </w:rPr>
        <w:t>Higher education emphasises g</w:t>
      </w:r>
      <w:r w:rsidRPr="3A7ED23E">
        <w:rPr>
          <w:color w:val="auto"/>
        </w:rPr>
        <w:t xml:space="preserve">eneralist and transferrable skills, </w:t>
      </w:r>
      <w:r w:rsidR="00A332F4" w:rsidRPr="3A7ED23E">
        <w:rPr>
          <w:color w:val="auto"/>
        </w:rPr>
        <w:t xml:space="preserve">such as </w:t>
      </w:r>
      <w:r w:rsidRPr="3A7ED23E">
        <w:rPr>
          <w:color w:val="auto"/>
        </w:rPr>
        <w:t>critical thinking</w:t>
      </w:r>
      <w:r w:rsidR="00EB6A06" w:rsidRPr="3A7ED23E">
        <w:rPr>
          <w:color w:val="auto"/>
        </w:rPr>
        <w:t>.</w:t>
      </w:r>
      <w:r w:rsidRPr="3A7ED23E">
        <w:rPr>
          <w:color w:val="auto"/>
        </w:rPr>
        <w:t xml:space="preserve"> </w:t>
      </w:r>
      <w:r>
        <w:t xml:space="preserve">When comparing </w:t>
      </w:r>
      <w:r w:rsidR="00EB6A06">
        <w:t xml:space="preserve">VET and higher education </w:t>
      </w:r>
      <w:r>
        <w:t xml:space="preserve">pathways into the same occupation, VET graduates were seen to be more familiar with tools and </w:t>
      </w:r>
      <w:r w:rsidR="00992E9D">
        <w:t>equipment and</w:t>
      </w:r>
      <w:r>
        <w:t xml:space="preserve"> able to ‘hit the ground running’ compared to higher education graduates,</w:t>
      </w:r>
      <w:r w:rsidR="00A002B0">
        <w:t xml:space="preserve"> </w:t>
      </w:r>
      <w:r>
        <w:t xml:space="preserve">who had </w:t>
      </w:r>
      <w:r w:rsidR="00A002B0">
        <w:t xml:space="preserve">stronger </w:t>
      </w:r>
      <w:r>
        <w:t>theoretical, business</w:t>
      </w:r>
      <w:r w:rsidR="5530D516">
        <w:t>,</w:t>
      </w:r>
      <w:r>
        <w:t xml:space="preserve"> management</w:t>
      </w:r>
      <w:r w:rsidR="60190CE9">
        <w:t>,</w:t>
      </w:r>
      <w:r>
        <w:t xml:space="preserve"> communication and research skills which could better enable career progression (Wibrow</w:t>
      </w:r>
      <w:r w:rsidR="00D12955">
        <w:t> </w:t>
      </w:r>
      <w:r>
        <w:t>2022).</w:t>
      </w:r>
    </w:p>
    <w:p w14:paraId="3BEAD5C8" w14:textId="297C403A" w:rsidR="00F05A27" w:rsidRPr="00F05A27" w:rsidRDefault="00D50CBE" w:rsidP="00F05A27">
      <w:pPr>
        <w:rPr>
          <w:color w:val="auto"/>
        </w:rPr>
      </w:pPr>
      <w:r>
        <w:rPr>
          <w:color w:val="auto"/>
        </w:rPr>
        <w:t xml:space="preserve">Each sector also </w:t>
      </w:r>
      <w:r w:rsidR="009A46CB">
        <w:rPr>
          <w:color w:val="auto"/>
        </w:rPr>
        <w:t xml:space="preserve">has its own </w:t>
      </w:r>
      <w:r>
        <w:rPr>
          <w:color w:val="auto"/>
        </w:rPr>
        <w:t xml:space="preserve">limitations. </w:t>
      </w:r>
      <w:r w:rsidR="00F05A27" w:rsidRPr="00F05A27" w:rsidDel="00D50CBE">
        <w:rPr>
          <w:color w:val="auto"/>
        </w:rPr>
        <w:t xml:space="preserve">Some critiques of </w:t>
      </w:r>
      <w:r w:rsidR="00F05A27" w:rsidRPr="00F05A27">
        <w:rPr>
          <w:color w:val="auto"/>
        </w:rPr>
        <w:t xml:space="preserve">competency-based training in </w:t>
      </w:r>
      <w:r w:rsidR="00F05A27" w:rsidRPr="00F05A27" w:rsidDel="00D50CBE">
        <w:rPr>
          <w:color w:val="auto"/>
        </w:rPr>
        <w:t xml:space="preserve">the </w:t>
      </w:r>
      <w:r w:rsidR="00F05A27" w:rsidRPr="00F05A27">
        <w:rPr>
          <w:color w:val="auto"/>
        </w:rPr>
        <w:t xml:space="preserve">VET </w:t>
      </w:r>
      <w:r w:rsidR="007117A5">
        <w:rPr>
          <w:color w:val="auto"/>
        </w:rPr>
        <w:t xml:space="preserve">sector suggests </w:t>
      </w:r>
      <w:r w:rsidR="00F05A27" w:rsidRPr="00F05A27">
        <w:rPr>
          <w:color w:val="auto"/>
        </w:rPr>
        <w:t xml:space="preserve">that </w:t>
      </w:r>
      <w:r w:rsidR="00F05A27" w:rsidRPr="00F05A27" w:rsidDel="0070634A">
        <w:rPr>
          <w:color w:val="auto"/>
        </w:rPr>
        <w:t>the</w:t>
      </w:r>
      <w:r w:rsidR="00F05A27" w:rsidRPr="00F05A27">
        <w:rPr>
          <w:color w:val="auto"/>
        </w:rPr>
        <w:t xml:space="preserve"> focus on tasks and skills</w:t>
      </w:r>
      <w:r w:rsidR="0070634A">
        <w:rPr>
          <w:color w:val="auto"/>
        </w:rPr>
        <w:t xml:space="preserve"> </w:t>
      </w:r>
      <w:r w:rsidR="00F05A27" w:rsidRPr="00F05A27" w:rsidDel="0070634A">
        <w:rPr>
          <w:color w:val="auto"/>
        </w:rPr>
        <w:t xml:space="preserve">means there </w:t>
      </w:r>
      <w:r w:rsidR="004C7538">
        <w:rPr>
          <w:color w:val="auto"/>
        </w:rPr>
        <w:t>are</w:t>
      </w:r>
      <w:r w:rsidR="004C7538" w:rsidRPr="00F05A27" w:rsidDel="0070634A">
        <w:rPr>
          <w:color w:val="auto"/>
        </w:rPr>
        <w:t xml:space="preserve"> </w:t>
      </w:r>
      <w:r w:rsidR="00F05A27" w:rsidRPr="00F05A27">
        <w:rPr>
          <w:color w:val="auto"/>
        </w:rPr>
        <w:t>limit</w:t>
      </w:r>
      <w:r w:rsidR="0076522E">
        <w:rPr>
          <w:color w:val="auto"/>
        </w:rPr>
        <w:t>ed</w:t>
      </w:r>
      <w:r w:rsidR="00156FDF">
        <w:rPr>
          <w:color w:val="auto"/>
        </w:rPr>
        <w:t xml:space="preserve"> opportunities</w:t>
      </w:r>
      <w:r w:rsidR="00F05A27" w:rsidRPr="00F05A27" w:rsidDel="00156FDF">
        <w:rPr>
          <w:color w:val="auto"/>
        </w:rPr>
        <w:t xml:space="preserve"> </w:t>
      </w:r>
      <w:r w:rsidR="00156FDF">
        <w:rPr>
          <w:color w:val="auto"/>
        </w:rPr>
        <w:t>for</w:t>
      </w:r>
      <w:r w:rsidR="00F05A27" w:rsidRPr="00F05A27">
        <w:rPr>
          <w:color w:val="auto"/>
        </w:rPr>
        <w:t xml:space="preserve"> learners </w:t>
      </w:r>
      <w:r w:rsidR="00156FDF">
        <w:rPr>
          <w:color w:val="auto"/>
        </w:rPr>
        <w:t xml:space="preserve">to develop </w:t>
      </w:r>
      <w:r w:rsidR="00F05A27" w:rsidRPr="00F05A27">
        <w:rPr>
          <w:color w:val="auto"/>
        </w:rPr>
        <w:t xml:space="preserve">critical thinking </w:t>
      </w:r>
      <w:r w:rsidR="00F05A27" w:rsidRPr="00F05A27" w:rsidDel="00156FDF">
        <w:rPr>
          <w:color w:val="auto"/>
        </w:rPr>
        <w:t xml:space="preserve">skills </w:t>
      </w:r>
      <w:r w:rsidR="00F05A27" w:rsidRPr="00F05A27">
        <w:rPr>
          <w:color w:val="auto"/>
        </w:rPr>
        <w:t>and understand why decisions are made (Schmidt et al. 2025)</w:t>
      </w:r>
      <w:r w:rsidR="00F05A27" w:rsidRPr="00F05A27" w:rsidDel="00156FDF">
        <w:rPr>
          <w:color w:val="auto"/>
        </w:rPr>
        <w:t>,</w:t>
      </w:r>
      <w:r w:rsidR="00F05A27" w:rsidRPr="00F05A27">
        <w:rPr>
          <w:color w:val="auto"/>
        </w:rPr>
        <w:t xml:space="preserve"> </w:t>
      </w:r>
      <w:r w:rsidR="00F05A27" w:rsidRPr="00F05A27" w:rsidDel="00156FDF">
        <w:rPr>
          <w:color w:val="auto"/>
        </w:rPr>
        <w:t>whereas for</w:t>
      </w:r>
      <w:r w:rsidR="00F05A27" w:rsidRPr="00F05A27">
        <w:rPr>
          <w:color w:val="auto"/>
        </w:rPr>
        <w:t xml:space="preserve"> higher education, </w:t>
      </w:r>
      <w:r w:rsidR="00F05A27" w:rsidRPr="00F05A27" w:rsidDel="00156FDF">
        <w:rPr>
          <w:color w:val="auto"/>
        </w:rPr>
        <w:t xml:space="preserve">there are </w:t>
      </w:r>
      <w:r w:rsidR="00F05A27" w:rsidRPr="00F05A27">
        <w:rPr>
          <w:color w:val="auto"/>
        </w:rPr>
        <w:t xml:space="preserve">concerns </w:t>
      </w:r>
      <w:r w:rsidR="00F05A27" w:rsidRPr="00F05A27" w:rsidDel="00156FDF">
        <w:rPr>
          <w:color w:val="auto"/>
        </w:rPr>
        <w:t xml:space="preserve">that graduates’ </w:t>
      </w:r>
      <w:r w:rsidR="00F05A27" w:rsidRPr="00F05A27">
        <w:rPr>
          <w:color w:val="auto"/>
        </w:rPr>
        <w:t xml:space="preserve">theoretical knowledge </w:t>
      </w:r>
      <w:r w:rsidR="00D62921">
        <w:rPr>
          <w:color w:val="auto"/>
        </w:rPr>
        <w:t xml:space="preserve">is </w:t>
      </w:r>
      <w:r w:rsidR="00F05A27" w:rsidRPr="00F05A27" w:rsidDel="00D62921">
        <w:rPr>
          <w:color w:val="auto"/>
        </w:rPr>
        <w:t xml:space="preserve">not always backed by </w:t>
      </w:r>
      <w:r w:rsidR="00F05A27" w:rsidRPr="00F05A27">
        <w:rPr>
          <w:color w:val="auto"/>
        </w:rPr>
        <w:t xml:space="preserve">strong employability </w:t>
      </w:r>
      <w:r w:rsidR="00F05A27" w:rsidRPr="00F05A27" w:rsidDel="00D62921">
        <w:rPr>
          <w:color w:val="auto"/>
        </w:rPr>
        <w:t xml:space="preserve">and technical </w:t>
      </w:r>
      <w:r w:rsidR="00F05A27" w:rsidRPr="00F05A27">
        <w:rPr>
          <w:color w:val="auto"/>
        </w:rPr>
        <w:t>skills (Hodge and Knight 2021</w:t>
      </w:r>
      <w:r w:rsidR="004742A8">
        <w:rPr>
          <w:color w:val="auto"/>
        </w:rPr>
        <w:t>a</w:t>
      </w:r>
      <w:r w:rsidR="00F05A27" w:rsidRPr="00F05A27">
        <w:rPr>
          <w:color w:val="auto"/>
        </w:rPr>
        <w:t xml:space="preserve">). </w:t>
      </w:r>
      <w:r w:rsidR="00B01C71" w:rsidRPr="00D353D1">
        <w:rPr>
          <w:color w:val="auto"/>
        </w:rPr>
        <w:t>W</w:t>
      </w:r>
      <w:r w:rsidR="00F05A27" w:rsidRPr="00D353D1">
        <w:rPr>
          <w:color w:val="auto"/>
        </w:rPr>
        <w:t>ork</w:t>
      </w:r>
      <w:r w:rsidR="00D62921">
        <w:rPr>
          <w:color w:val="auto"/>
        </w:rPr>
        <w:t xml:space="preserve"> </w:t>
      </w:r>
      <w:r w:rsidR="00F05A27" w:rsidRPr="00F05A27">
        <w:rPr>
          <w:color w:val="auto"/>
        </w:rPr>
        <w:t xml:space="preserve">in both sectors </w:t>
      </w:r>
      <w:r w:rsidR="00F05A27" w:rsidRPr="00F05A27" w:rsidDel="00D62921">
        <w:rPr>
          <w:color w:val="auto"/>
        </w:rPr>
        <w:t xml:space="preserve">is underway </w:t>
      </w:r>
      <w:r w:rsidR="00F05A27" w:rsidRPr="00F05A27">
        <w:rPr>
          <w:color w:val="auto"/>
        </w:rPr>
        <w:t xml:space="preserve">to address these </w:t>
      </w:r>
      <w:r w:rsidR="00F05A27" w:rsidRPr="00F05A27" w:rsidDel="00D62921">
        <w:rPr>
          <w:color w:val="auto"/>
        </w:rPr>
        <w:t xml:space="preserve">limitations, such as through greater </w:t>
      </w:r>
      <w:r w:rsidR="00F05A27" w:rsidRPr="00F05A27">
        <w:rPr>
          <w:color w:val="auto"/>
        </w:rPr>
        <w:t xml:space="preserve">flexibility to design qualifications around skills and knowledge, rather than </w:t>
      </w:r>
      <w:r w:rsidR="00F05A27" w:rsidRPr="00F05A27" w:rsidDel="00D62921">
        <w:rPr>
          <w:color w:val="auto"/>
        </w:rPr>
        <w:t>just</w:t>
      </w:r>
      <w:r w:rsidR="00F05A27" w:rsidRPr="00F05A27">
        <w:rPr>
          <w:color w:val="auto"/>
        </w:rPr>
        <w:t xml:space="preserve"> job functions and tasks </w:t>
      </w:r>
      <w:r w:rsidR="00F05A27" w:rsidRPr="00F05A27" w:rsidDel="00D62921">
        <w:rPr>
          <w:color w:val="auto"/>
        </w:rPr>
        <w:t>through VET</w:t>
      </w:r>
      <w:r w:rsidR="000053B9" w:rsidRPr="00D353D1" w:rsidDel="00D62921">
        <w:rPr>
          <w:color w:val="auto"/>
        </w:rPr>
        <w:t> </w:t>
      </w:r>
      <w:r w:rsidR="00F05A27" w:rsidRPr="00F05A27" w:rsidDel="00D62921">
        <w:rPr>
          <w:color w:val="auto"/>
        </w:rPr>
        <w:t xml:space="preserve">Qualifications Reform </w:t>
      </w:r>
      <w:r w:rsidR="00F05A27" w:rsidRPr="00F05A27">
        <w:rPr>
          <w:color w:val="auto"/>
        </w:rPr>
        <w:t>(DEWR 202</w:t>
      </w:r>
      <w:r w:rsidR="00D76ADF">
        <w:rPr>
          <w:color w:val="auto"/>
        </w:rPr>
        <w:t>6</w:t>
      </w:r>
      <w:r w:rsidR="00F05A27" w:rsidRPr="00F05A27">
        <w:rPr>
          <w:color w:val="auto"/>
        </w:rPr>
        <w:t>)</w:t>
      </w:r>
      <w:r w:rsidR="0031506E">
        <w:rPr>
          <w:color w:val="auto"/>
        </w:rPr>
        <w:t xml:space="preserve">. </w:t>
      </w:r>
      <w:r w:rsidR="00F817E5" w:rsidRPr="00D353D1">
        <w:rPr>
          <w:color w:val="auto"/>
        </w:rPr>
        <w:t>There</w:t>
      </w:r>
      <w:r w:rsidR="00F817E5">
        <w:rPr>
          <w:color w:val="auto"/>
        </w:rPr>
        <w:t xml:space="preserve"> is</w:t>
      </w:r>
      <w:r w:rsidR="00D62921">
        <w:rPr>
          <w:color w:val="auto"/>
        </w:rPr>
        <w:t xml:space="preserve"> </w:t>
      </w:r>
      <w:r w:rsidR="00F817E5" w:rsidDel="00D62921">
        <w:rPr>
          <w:color w:val="auto"/>
        </w:rPr>
        <w:t>also</w:t>
      </w:r>
      <w:r w:rsidR="00F05A27" w:rsidRPr="00F05A27" w:rsidDel="00D62921">
        <w:rPr>
          <w:color w:val="auto"/>
        </w:rPr>
        <w:t xml:space="preserve"> </w:t>
      </w:r>
      <w:r w:rsidR="00F05A27" w:rsidRPr="00F05A27">
        <w:rPr>
          <w:color w:val="auto"/>
        </w:rPr>
        <w:t xml:space="preserve">interest in work-integrated learning and </w:t>
      </w:r>
      <w:r w:rsidR="00D62921">
        <w:rPr>
          <w:color w:val="auto"/>
        </w:rPr>
        <w:t xml:space="preserve">stronger </w:t>
      </w:r>
      <w:r w:rsidR="00F05A27" w:rsidRPr="00F05A27">
        <w:rPr>
          <w:color w:val="auto"/>
        </w:rPr>
        <w:t xml:space="preserve">industry </w:t>
      </w:r>
      <w:r w:rsidR="00F05A27" w:rsidRPr="00F05A27" w:rsidDel="00F300FD">
        <w:rPr>
          <w:color w:val="auto"/>
        </w:rPr>
        <w:t>connection in higher education</w:t>
      </w:r>
      <w:r w:rsidR="0021694C" w:rsidDel="00F300FD">
        <w:rPr>
          <w:color w:val="auto"/>
        </w:rPr>
        <w:t>,</w:t>
      </w:r>
      <w:r w:rsidR="00F55F06" w:rsidDel="00F300FD">
        <w:rPr>
          <w:color w:val="auto"/>
        </w:rPr>
        <w:t xml:space="preserve"> ensuring</w:t>
      </w:r>
      <w:r w:rsidR="00F05A27" w:rsidRPr="00F05A27" w:rsidDel="00F300FD">
        <w:rPr>
          <w:color w:val="auto"/>
        </w:rPr>
        <w:t xml:space="preserve"> the complementary </w:t>
      </w:r>
      <w:r w:rsidR="00F05A27" w:rsidRPr="00F05A27">
        <w:rPr>
          <w:color w:val="auto"/>
        </w:rPr>
        <w:t xml:space="preserve">strengths of </w:t>
      </w:r>
      <w:r w:rsidR="00F05A27" w:rsidRPr="00F05A27" w:rsidDel="00F300FD">
        <w:rPr>
          <w:color w:val="auto"/>
        </w:rPr>
        <w:t xml:space="preserve">each </w:t>
      </w:r>
      <w:r w:rsidR="00F05A27" w:rsidRPr="00D353D1">
        <w:rPr>
          <w:color w:val="auto"/>
        </w:rPr>
        <w:t>sector</w:t>
      </w:r>
      <w:r w:rsidR="00F05A27" w:rsidRPr="00F05A27" w:rsidDel="00F300FD">
        <w:rPr>
          <w:color w:val="auto"/>
        </w:rPr>
        <w:t xml:space="preserve"> could be drawn upon to address </w:t>
      </w:r>
      <w:r w:rsidR="006D4322" w:rsidDel="00F300FD">
        <w:rPr>
          <w:color w:val="auto"/>
        </w:rPr>
        <w:t xml:space="preserve">the </w:t>
      </w:r>
      <w:r w:rsidR="00F05A27" w:rsidRPr="00F05A27" w:rsidDel="00F300FD">
        <w:rPr>
          <w:color w:val="auto"/>
        </w:rPr>
        <w:t>limitations</w:t>
      </w:r>
      <w:r w:rsidR="0096266F" w:rsidDel="00F300FD">
        <w:rPr>
          <w:color w:val="auto"/>
        </w:rPr>
        <w:t xml:space="preserve"> identified</w:t>
      </w:r>
      <w:r w:rsidR="00F05A27" w:rsidRPr="00F05A27">
        <w:rPr>
          <w:color w:val="auto"/>
        </w:rPr>
        <w:t xml:space="preserve">. </w:t>
      </w:r>
    </w:p>
    <w:p w14:paraId="3B181EBE" w14:textId="77777777" w:rsidR="00F05A27" w:rsidRPr="00F05A27" w:rsidRDefault="00F05A27" w:rsidP="002320D2">
      <w:pPr>
        <w:pStyle w:val="Heading4"/>
      </w:pPr>
      <w:r w:rsidRPr="00F05A27">
        <w:t>Collaboration underway</w:t>
      </w:r>
    </w:p>
    <w:p w14:paraId="5F2B042B" w14:textId="5558CA43" w:rsidR="008A6A6B" w:rsidRDefault="00F05A27" w:rsidP="00F05A27">
      <w:r w:rsidRPr="00F05A27">
        <w:rPr>
          <w:color w:val="auto"/>
        </w:rPr>
        <w:t xml:space="preserve">Many providers are already </w:t>
      </w:r>
      <w:r w:rsidR="004B00E8">
        <w:rPr>
          <w:color w:val="auto"/>
        </w:rPr>
        <w:t>implementing</w:t>
      </w:r>
      <w:r w:rsidRPr="00F05A27">
        <w:rPr>
          <w:color w:val="auto"/>
        </w:rPr>
        <w:t xml:space="preserve"> dual sector and collaborative models. </w:t>
      </w:r>
      <w:r w:rsidRPr="00F05A27">
        <w:t xml:space="preserve">The tertiary system supports several </w:t>
      </w:r>
      <w:r w:rsidR="00660AFC">
        <w:t xml:space="preserve">types of </w:t>
      </w:r>
      <w:r w:rsidRPr="00F05A27">
        <w:t xml:space="preserve">dual sector models </w:t>
      </w:r>
      <w:r w:rsidR="00660AFC">
        <w:t>that</w:t>
      </w:r>
      <w:r w:rsidRPr="00F05A27">
        <w:t xml:space="preserve"> draw on </w:t>
      </w:r>
      <w:r w:rsidR="00660AFC">
        <w:t xml:space="preserve">elements of </w:t>
      </w:r>
      <w:r w:rsidRPr="00F05A27" w:rsidDel="00660AFC">
        <w:t xml:space="preserve">both </w:t>
      </w:r>
      <w:r w:rsidRPr="00F05A27">
        <w:t xml:space="preserve">VET and higher education. These </w:t>
      </w:r>
      <w:r w:rsidR="00E656D2">
        <w:t xml:space="preserve">dual sector </w:t>
      </w:r>
      <w:r w:rsidR="008A6A6B">
        <w:t>models include:</w:t>
      </w:r>
    </w:p>
    <w:p w14:paraId="46AEF003" w14:textId="671E68FB" w:rsidR="008A6A6B" w:rsidRDefault="002464EE" w:rsidP="00F00D6E">
      <w:pPr>
        <w:pStyle w:val="ListParagraph"/>
        <w:numPr>
          <w:ilvl w:val="0"/>
          <w:numId w:val="93"/>
        </w:numPr>
      </w:pPr>
      <w:r>
        <w:rPr>
          <w:sz w:val="20"/>
          <w:szCs w:val="20"/>
        </w:rPr>
        <w:t>d</w:t>
      </w:r>
      <w:r w:rsidR="008A6A6B" w:rsidRPr="00F00D6E">
        <w:rPr>
          <w:sz w:val="20"/>
          <w:szCs w:val="20"/>
        </w:rPr>
        <w:t xml:space="preserve">ual sector providers </w:t>
      </w:r>
      <w:r>
        <w:rPr>
          <w:sz w:val="20"/>
          <w:szCs w:val="20"/>
        </w:rPr>
        <w:t>registered in both sectors</w:t>
      </w:r>
    </w:p>
    <w:p w14:paraId="7E639BF0" w14:textId="5854E0B1" w:rsidR="002464EE" w:rsidRDefault="00BD50A9" w:rsidP="00F00D6E">
      <w:pPr>
        <w:pStyle w:val="ListParagraph"/>
        <w:numPr>
          <w:ilvl w:val="0"/>
          <w:numId w:val="93"/>
        </w:numPr>
      </w:pPr>
      <w:r>
        <w:rPr>
          <w:sz w:val="20"/>
          <w:szCs w:val="20"/>
        </w:rPr>
        <w:t>qualification pathways incorporating a VET and higher education component, delivered either by a single dual sector provider or through collaboration between a VET</w:t>
      </w:r>
      <w:r w:rsidR="00406E19">
        <w:rPr>
          <w:sz w:val="20"/>
          <w:szCs w:val="20"/>
        </w:rPr>
        <w:t xml:space="preserve"> and higher education provider</w:t>
      </w:r>
    </w:p>
    <w:p w14:paraId="775017F8" w14:textId="29454BA5" w:rsidR="00406E19" w:rsidRDefault="00406E19" w:rsidP="008A6A6B">
      <w:pPr>
        <w:pStyle w:val="ListParagraph"/>
        <w:numPr>
          <w:ilvl w:val="0"/>
          <w:numId w:val="93"/>
        </w:numPr>
        <w:rPr>
          <w:sz w:val="20"/>
          <w:szCs w:val="20"/>
        </w:rPr>
      </w:pPr>
      <w:r>
        <w:rPr>
          <w:sz w:val="20"/>
          <w:szCs w:val="20"/>
        </w:rPr>
        <w:t>co-designed and co-delivered offerings</w:t>
      </w:r>
    </w:p>
    <w:p w14:paraId="276024A2" w14:textId="4014059C" w:rsidR="00F05A27" w:rsidRPr="00F05A27" w:rsidRDefault="00406E19" w:rsidP="00C55EC9">
      <w:pPr>
        <w:pStyle w:val="ListParagraph"/>
        <w:numPr>
          <w:ilvl w:val="0"/>
          <w:numId w:val="93"/>
        </w:numPr>
      </w:pPr>
      <w:r>
        <w:rPr>
          <w:sz w:val="20"/>
          <w:szCs w:val="20"/>
        </w:rPr>
        <w:t>co-location and shared facilities, which support integration of learning environments and services.</w:t>
      </w:r>
    </w:p>
    <w:p w14:paraId="2E6A2AE0" w14:textId="0533AB7A" w:rsidR="00F05A27" w:rsidRPr="00F05A27" w:rsidRDefault="00497B94" w:rsidP="00B53611">
      <w:pPr>
        <w:pStyle w:val="Heading3"/>
      </w:pPr>
      <w:bookmarkStart w:id="51" w:name="_Toc229643978"/>
      <w:r>
        <w:t>C</w:t>
      </w:r>
      <w:r w:rsidR="00F05A27" w:rsidRPr="00F05A27">
        <w:t>ollaborative qualifications and pathways</w:t>
      </w:r>
      <w:bookmarkEnd w:id="51"/>
      <w:r w:rsidR="00F05A27" w:rsidRPr="00F05A27">
        <w:t xml:space="preserve"> </w:t>
      </w:r>
    </w:p>
    <w:p w14:paraId="39FBACEA" w14:textId="77777777" w:rsidR="00F05A27" w:rsidRPr="00F05A27" w:rsidRDefault="00F05A27" w:rsidP="002320D2">
      <w:pPr>
        <w:pStyle w:val="Heading4"/>
      </w:pPr>
      <w:r w:rsidRPr="00F05A27">
        <w:t>Dual awards and credit agreements</w:t>
      </w:r>
    </w:p>
    <w:p w14:paraId="70982C78" w14:textId="5D18646C" w:rsidR="0068279B" w:rsidRDefault="00032E36" w:rsidP="0093431B">
      <w:r>
        <w:t>T</w:t>
      </w:r>
      <w:r w:rsidRPr="00D353D1">
        <w:t>he most common dual sector offerings</w:t>
      </w:r>
      <w:r>
        <w:t xml:space="preserve"> are c</w:t>
      </w:r>
      <w:r w:rsidR="00F05A27" w:rsidRPr="00D353D1">
        <w:t>redit or articulation agreements between VET and higher education providers</w:t>
      </w:r>
      <w:r>
        <w:t>,</w:t>
      </w:r>
      <w:r w:rsidR="00F05A27" w:rsidRPr="00D353D1">
        <w:t xml:space="preserve"> though some providers also offer dual awards</w:t>
      </w:r>
      <w:r w:rsidR="008476F1" w:rsidRPr="00D353D1">
        <w:t xml:space="preserve"> (also</w:t>
      </w:r>
      <w:r w:rsidR="00F05A27" w:rsidRPr="00D353D1">
        <w:t xml:space="preserve"> known as integrated, nested or hybrid qualifications</w:t>
      </w:r>
      <w:r w:rsidR="008476F1" w:rsidRPr="00D353D1">
        <w:t>)</w:t>
      </w:r>
      <w:r w:rsidR="00F05A27" w:rsidRPr="00D353D1">
        <w:t xml:space="preserve">. Hodge and Knight </w:t>
      </w:r>
      <w:r w:rsidR="5E1BA0CC" w:rsidRPr="00D353D1">
        <w:t>(2021</w:t>
      </w:r>
      <w:r w:rsidR="00721AB1">
        <w:t>a</w:t>
      </w:r>
      <w:r w:rsidR="5E1BA0CC" w:rsidRPr="00D353D1">
        <w:t>)</w:t>
      </w:r>
      <w:r w:rsidR="00F05A27" w:rsidRPr="00D353D1">
        <w:t xml:space="preserve"> categorise dual sector pathways into four models</w:t>
      </w:r>
      <w:r w:rsidR="00F8011A">
        <w:t xml:space="preserve"> –</w:t>
      </w:r>
      <w:r w:rsidR="00F05A27" w:rsidRPr="00D353D1">
        <w:t xml:space="preserve"> endorsed, consecutive, concurrent and embedded</w:t>
      </w:r>
      <w:r w:rsidR="00F05A27" w:rsidRPr="00D353D1" w:rsidDel="00F8011A">
        <w:t>,</w:t>
      </w:r>
      <w:r w:rsidR="00F8011A">
        <w:t xml:space="preserve"> </w:t>
      </w:r>
      <w:r w:rsidR="00F05A27" w:rsidRPr="00D353D1" w:rsidDel="00F8011A">
        <w:t xml:space="preserve">which </w:t>
      </w:r>
      <w:r w:rsidR="00F05A27" w:rsidRPr="00D353D1">
        <w:t>differ</w:t>
      </w:r>
      <w:r w:rsidR="00F05A27" w:rsidRPr="00D353D1" w:rsidDel="00F8011A">
        <w:t xml:space="preserve"> based on their relative </w:t>
      </w:r>
      <w:r w:rsidR="00F05A27" w:rsidRPr="00D353D1">
        <w:t>level of integration. The key characteristics are described in Figure</w:t>
      </w:r>
      <w:r w:rsidR="00F05A27" w:rsidRPr="00D353D1" w:rsidDel="003C011B">
        <w:t xml:space="preserve"> </w:t>
      </w:r>
      <w:r w:rsidR="00391B9C">
        <w:t>10</w:t>
      </w:r>
      <w:r w:rsidR="00532F66">
        <w:t xml:space="preserve"> </w:t>
      </w:r>
      <w:r w:rsidR="003039E3" w:rsidRPr="00D353D1">
        <w:t>below</w:t>
      </w:r>
      <w:r w:rsidR="00F05A27" w:rsidRPr="00D353D1">
        <w:t>.</w:t>
      </w:r>
    </w:p>
    <w:p w14:paraId="6A372F25" w14:textId="77777777" w:rsidR="0068279B" w:rsidRDefault="0068279B" w:rsidP="00C55EC9">
      <w:pPr>
        <w:keepNext/>
      </w:pPr>
      <w:r>
        <w:rPr>
          <w:noProof/>
        </w:rPr>
        <w:drawing>
          <wp:inline distT="0" distB="0" distL="0" distR="0" wp14:anchorId="688F89FE" wp14:editId="6C933583">
            <wp:extent cx="6014301" cy="2852722"/>
            <wp:effectExtent l="0" t="0" r="5715" b="0"/>
            <wp:docPr id="8642397" name="Picture 5" descr="Flowchart illustrating four types of course arrangements: Endorsed, Consecutive, Concurrent, and Embedded. Each type is described with key features such as course/provider indication, enrollment timing, formal mapping between VET and HE, and provider engagement, highlighting increasing integration and complexity from Endorsed to Embedd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397" name="Picture 5" descr="Flowchart illustrating four types of course arrangements: Endorsed, Consecutive, Concurrent, and Embedded. Each type is described with key features such as course/provider indication, enrollment timing, formal mapping between VET and HE, and provider engagement, highlighting increasing integration and complexity from Endorsed to Embedded.&#1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016698" cy="2853859"/>
                    </a:xfrm>
                    <a:prstGeom prst="rect">
                      <a:avLst/>
                    </a:prstGeom>
                  </pic:spPr>
                </pic:pic>
              </a:graphicData>
            </a:graphic>
          </wp:inline>
        </w:drawing>
      </w:r>
    </w:p>
    <w:p w14:paraId="62189906" w14:textId="1CF4A8C9" w:rsidR="0068279B" w:rsidRDefault="0068279B" w:rsidP="0068279B">
      <w:pPr>
        <w:pStyle w:val="Caption"/>
      </w:pPr>
      <w:bookmarkStart w:id="52" w:name="_Toc228799284"/>
      <w:r>
        <w:t xml:space="preserve">Figure </w:t>
      </w:r>
      <w:r>
        <w:fldChar w:fldCharType="begin"/>
      </w:r>
      <w:r>
        <w:instrText xml:space="preserve"> SEQ Figure \* ARABIC </w:instrText>
      </w:r>
      <w:r>
        <w:fldChar w:fldCharType="separate"/>
      </w:r>
      <w:r w:rsidR="008645D3">
        <w:rPr>
          <w:noProof/>
        </w:rPr>
        <w:t>10</w:t>
      </w:r>
      <w:r>
        <w:fldChar w:fldCharType="end"/>
      </w:r>
      <w:r>
        <w:t>: Typology of Integrated Qualifications - adapted from Hodge and Knight 2021a</w:t>
      </w:r>
      <w:bookmarkEnd w:id="52"/>
    </w:p>
    <w:p w14:paraId="72A36D29" w14:textId="5E339717" w:rsidR="0068279B" w:rsidRDefault="0068279B" w:rsidP="0093431B">
      <w:r w:rsidRPr="008325A1">
        <w:t xml:space="preserve">Endorsed models </w:t>
      </w:r>
      <w:r w:rsidRPr="00F05A27">
        <w:t xml:space="preserve">include supported pathways between specific qualifications, but </w:t>
      </w:r>
      <w:r>
        <w:t xml:space="preserve">do not </w:t>
      </w:r>
      <w:r w:rsidRPr="00F05A27">
        <w:t xml:space="preserve">guarantee </w:t>
      </w:r>
      <w:r>
        <w:t xml:space="preserve">entry or </w:t>
      </w:r>
      <w:r w:rsidRPr="00F05A27">
        <w:t>credit. These</w:t>
      </w:r>
      <w:r w:rsidRPr="00F05A27" w:rsidDel="00232CE8">
        <w:t xml:space="preserve"> models also</w:t>
      </w:r>
      <w:r w:rsidRPr="00F05A27">
        <w:t xml:space="preserve"> do not </w:t>
      </w:r>
      <w:r w:rsidRPr="00F05A27" w:rsidDel="006400F6">
        <w:t xml:space="preserve">rely on </w:t>
      </w:r>
      <w:r w:rsidRPr="00F05A27">
        <w:t xml:space="preserve">agreements between providers. </w:t>
      </w:r>
    </w:p>
    <w:p w14:paraId="55666B54" w14:textId="413081EE" w:rsidR="0093431B" w:rsidRPr="00F05A27" w:rsidRDefault="0093431B" w:rsidP="0093431B">
      <w:r w:rsidRPr="008325A1">
        <w:t>Consecutive models</w:t>
      </w:r>
      <w:r w:rsidR="00824800">
        <w:t xml:space="preserve"> </w:t>
      </w:r>
      <w:r w:rsidRPr="00F05A27" w:rsidDel="00CC6142">
        <w:t xml:space="preserve">on the other hand, are </w:t>
      </w:r>
      <w:r w:rsidRPr="00F05A27">
        <w:t xml:space="preserve">formal agreements between providers where one qualification is completed prior to starting the other and includes specified credit and generally guaranteed entry. Concurrent and embedded study involve dual enrolment into both VET and </w:t>
      </w:r>
      <w:r w:rsidR="00F55179">
        <w:t>higher education</w:t>
      </w:r>
      <w:r w:rsidRPr="00F05A27">
        <w:t xml:space="preserve"> courses, and undertaken within the same period, though concurrent courses are undertaken by block release or scheduled study, whereas embedded courses are taught with a specific program arrangement</w:t>
      </w:r>
    </w:p>
    <w:p w14:paraId="4140807F" w14:textId="06667B9E" w:rsidR="00F05A27" w:rsidRPr="00F05A27" w:rsidRDefault="0093431B" w:rsidP="00F05A27">
      <w:r w:rsidRPr="00F05A27">
        <w:t>Consecutive models are the most common</w:t>
      </w:r>
      <w:r w:rsidR="002148D7">
        <w:t>,</w:t>
      </w:r>
      <w:r w:rsidRPr="00F05A27" w:rsidDel="002148D7">
        <w:t xml:space="preserve"> </w:t>
      </w:r>
      <w:r w:rsidRPr="00F05A27">
        <w:t xml:space="preserve">with many providers developing cross-sector articulation or credit agreements </w:t>
      </w:r>
      <w:r w:rsidRPr="00F05A27" w:rsidDel="00E230C1">
        <w:t>with other providers, or internally</w:t>
      </w:r>
      <w:r w:rsidRPr="00F05A27">
        <w:t>. Flinders University and TAFE South Australia</w:t>
      </w:r>
      <w:r w:rsidR="00FA31EE">
        <w:t>, for example,</w:t>
      </w:r>
      <w:r w:rsidRPr="00F05A27">
        <w:t xml:space="preserve"> have a wide </w:t>
      </w:r>
      <w:r w:rsidR="00184283">
        <w:t>range</w:t>
      </w:r>
      <w:r w:rsidRPr="00F05A27">
        <w:t xml:space="preserve"> of agreements, </w:t>
      </w:r>
      <w:r w:rsidR="00184283">
        <w:t xml:space="preserve">including </w:t>
      </w:r>
      <w:r w:rsidRPr="00F05A27">
        <w:t xml:space="preserve">dual offers </w:t>
      </w:r>
      <w:r w:rsidRPr="00D353D1">
        <w:t>(see the case study below).</w:t>
      </w:r>
      <w:r w:rsidRPr="00F05A27">
        <w:t xml:space="preserve"> These agreements </w:t>
      </w:r>
      <w:r w:rsidRPr="00F05A27" w:rsidDel="0083063D">
        <w:t xml:space="preserve">are negotiated between providers and allow for </w:t>
      </w:r>
      <w:r w:rsidRPr="00F05A27">
        <w:t>standardised credit for</w:t>
      </w:r>
      <w:r w:rsidR="002D5D8C">
        <w:t xml:space="preserve"> </w:t>
      </w:r>
      <w:r w:rsidR="006A07FA">
        <w:t>learners</w:t>
      </w:r>
      <w:r w:rsidRPr="00F05A27" w:rsidDel="002D5D8C">
        <w:t xml:space="preserve"> </w:t>
      </w:r>
      <w:r w:rsidRPr="00F05A27">
        <w:t xml:space="preserve">transferring from one </w:t>
      </w:r>
      <w:r w:rsidRPr="00F05A27" w:rsidDel="002D5D8C">
        <w:t xml:space="preserve">course </w:t>
      </w:r>
      <w:r w:rsidRPr="00F05A27">
        <w:t xml:space="preserve">to another, provided they meet </w:t>
      </w:r>
      <w:r w:rsidR="002D5D8C">
        <w:t xml:space="preserve">the relevant </w:t>
      </w:r>
      <w:r w:rsidRPr="00F05A27">
        <w:t xml:space="preserve">entry requirements. </w:t>
      </w:r>
      <w:r>
        <w:t>Whilst models could be developed moving from higher education into VET</w:t>
      </w:r>
      <w:r w:rsidRPr="00F05A27">
        <w:t xml:space="preserve">, </w:t>
      </w:r>
      <w:r>
        <w:t xml:space="preserve">in practice </w:t>
      </w:r>
      <w:r w:rsidRPr="00F05A27">
        <w:t>these pathways seem mostly to flow from VET to higher education</w:t>
      </w:r>
      <w:r w:rsidR="00DE07B7" w:rsidRPr="00C602E9">
        <w:t>.</w:t>
      </w:r>
      <w:r w:rsidR="00F51804" w:rsidRPr="00B35419">
        <w:t xml:space="preserve"> </w:t>
      </w:r>
      <w:r w:rsidR="00F51804" w:rsidRPr="000C6B34">
        <w:t xml:space="preserve">There are very limited examples of formal higher education to VET credit pathways, despite many learners transitioning </w:t>
      </w:r>
      <w:r w:rsidR="00F51804" w:rsidRPr="00F04E1C">
        <w:t>between the sectors in this direction</w:t>
      </w:r>
      <w:r w:rsidR="00DD2111" w:rsidRPr="00F04E1C">
        <w:t>.</w:t>
      </w:r>
      <w:r w:rsidR="00F51804" w:rsidRPr="00F04E1C">
        <w:t xml:space="preserve"> This suggests there are challenges in developing consistent and scalable </w:t>
      </w:r>
      <w:r w:rsidR="0064350B" w:rsidRPr="00F04E1C">
        <w:t>formal models</w:t>
      </w:r>
      <w:r w:rsidR="00F51804" w:rsidRPr="00F04E1C">
        <w:t xml:space="preserve"> </w:t>
      </w:r>
      <w:r w:rsidR="0064350B" w:rsidRPr="00F04E1C">
        <w:t>from higher education into VET</w:t>
      </w:r>
      <w:r w:rsidR="00F51804" w:rsidRPr="00F04E1C">
        <w:t>.</w:t>
      </w:r>
      <w:r w:rsidR="00F51804" w:rsidRPr="00EE506B">
        <w:t xml:space="preserve"> </w:t>
      </w:r>
    </w:p>
    <w:p w14:paraId="773A99A0" w14:textId="77777777" w:rsidR="00846B94" w:rsidRPr="00F05A27" w:rsidRDefault="00846B94" w:rsidP="00846B94">
      <w:pPr>
        <w:pStyle w:val="Heading5"/>
        <w:shd w:val="clear" w:color="auto" w:fill="DBF5F2" w:themeFill="accent1" w:themeFillTint="1A"/>
      </w:pPr>
      <w:r w:rsidRPr="00D353D1">
        <w:t>Case Study</w:t>
      </w:r>
      <w:r>
        <w:t xml:space="preserve"> - </w:t>
      </w:r>
      <w:r w:rsidRPr="00F05A27">
        <w:t>Flinders University and TAFE SA Dual Offers </w:t>
      </w:r>
    </w:p>
    <w:p w14:paraId="1E2499AB" w14:textId="771A9D26" w:rsidR="00846B94" w:rsidRPr="00F05A27" w:rsidRDefault="00846B94" w:rsidP="00846B94">
      <w:pPr>
        <w:keepNext/>
        <w:keepLines/>
        <w:shd w:val="clear" w:color="auto" w:fill="DBF5F2" w:themeFill="accent1" w:themeFillTint="1A"/>
      </w:pPr>
      <w:r w:rsidRPr="00F05A27">
        <w:t xml:space="preserve">Flinders University and TAFE SA </w:t>
      </w:r>
      <w:r w:rsidRPr="00F05A27" w:rsidDel="0088274D">
        <w:t>provide students</w:t>
      </w:r>
      <w:r w:rsidRPr="00F05A27">
        <w:t xml:space="preserve"> </w:t>
      </w:r>
      <w:r w:rsidRPr="00F05A27" w:rsidDel="0088274D">
        <w:t xml:space="preserve">with an </w:t>
      </w:r>
      <w:r w:rsidRPr="00F05A27">
        <w:t>opportunity to apply to both institutions at the same time through their dual offer courses. Dual offers are available in key areas of skills shortage, including nursing, community services, and engineering. </w:t>
      </w:r>
    </w:p>
    <w:p w14:paraId="7D280969" w14:textId="73CC9196" w:rsidR="00846B94" w:rsidRPr="00F05A27" w:rsidDel="00866A96" w:rsidRDefault="00846B94" w:rsidP="00846B94">
      <w:pPr>
        <w:shd w:val="clear" w:color="auto" w:fill="DBF5F2" w:themeFill="accent1" w:themeFillTint="1A"/>
      </w:pPr>
      <w:r w:rsidRPr="00F05A27" w:rsidDel="0088274D">
        <w:t xml:space="preserve">Students start by studying </w:t>
      </w:r>
      <w:r w:rsidRPr="00F05A27">
        <w:t>a VET qualification at TAFE SA and are guaranteed a place at Flinders University upon completion</w:t>
      </w:r>
      <w:r w:rsidRPr="00F05A27" w:rsidDel="00DC0267">
        <w:t xml:space="preserve"> of their VET qualification</w:t>
      </w:r>
      <w:r w:rsidRPr="00F05A27">
        <w:t>. </w:t>
      </w:r>
      <w:r w:rsidR="00F853CA" w:rsidRPr="00F05A27">
        <w:t xml:space="preserve">Students receive credit </w:t>
      </w:r>
      <w:r w:rsidR="00F853CA" w:rsidRPr="00F05A27" w:rsidDel="004D48FB">
        <w:t xml:space="preserve">for the VET qualification </w:t>
      </w:r>
      <w:r w:rsidR="00F853CA" w:rsidRPr="00F05A27">
        <w:t xml:space="preserve">into their higher education studies, </w:t>
      </w:r>
      <w:r w:rsidR="00F853CA">
        <w:t>reducing</w:t>
      </w:r>
      <w:r w:rsidR="00F853CA" w:rsidRPr="00F05A27">
        <w:t xml:space="preserve"> the </w:t>
      </w:r>
      <w:r w:rsidR="00F853CA" w:rsidRPr="00F05A27" w:rsidDel="00E64ADF">
        <w:t>amount of time studying where there are</w:t>
      </w:r>
      <w:r w:rsidR="00F853CA" w:rsidRPr="00F05A27">
        <w:t xml:space="preserve"> overlap</w:t>
      </w:r>
      <w:r w:rsidR="00F853CA" w:rsidRPr="00F05A27" w:rsidDel="00E64ADF">
        <w:t>s in learning</w:t>
      </w:r>
      <w:r w:rsidR="00F853CA" w:rsidRPr="00F05A27">
        <w:t>. </w:t>
      </w:r>
    </w:p>
    <w:p w14:paraId="03FE0E9D" w14:textId="09FA1929" w:rsidR="00846B94" w:rsidRPr="00F05A27" w:rsidDel="004D48FB" w:rsidRDefault="00846B94" w:rsidP="00846B94">
      <w:pPr>
        <w:shd w:val="clear" w:color="auto" w:fill="DBF5F2" w:themeFill="accent1" w:themeFillTint="1A"/>
      </w:pPr>
      <w:r w:rsidRPr="00F05A27" w:rsidDel="0053366A">
        <w:t>Students graduate with</w:t>
      </w:r>
      <w:r w:rsidRPr="00F05A27">
        <w:t xml:space="preserve"> two qualifications, </w:t>
      </w:r>
      <w:r w:rsidRPr="00F05A27" w:rsidDel="00E80BC3">
        <w:t>which can increase</w:t>
      </w:r>
      <w:r w:rsidRPr="00F05A27">
        <w:t xml:space="preserve"> their employability. </w:t>
      </w:r>
      <w:r w:rsidRPr="00F05A27" w:rsidDel="000B1DE7">
        <w:t xml:space="preserve">It allows students to learn </w:t>
      </w:r>
      <w:r w:rsidRPr="00F05A27">
        <w:t>practical, technical skills</w:t>
      </w:r>
      <w:r w:rsidRPr="00F05A27" w:rsidDel="000B1DE7">
        <w:t xml:space="preserve"> through VET</w:t>
      </w:r>
      <w:r w:rsidRPr="00F05A27">
        <w:t xml:space="preserve"> whilst </w:t>
      </w:r>
      <w:r w:rsidRPr="00F05A27" w:rsidDel="000B1DE7">
        <w:t xml:space="preserve">also benefiting from the </w:t>
      </w:r>
      <w:r w:rsidRPr="00F05A27">
        <w:t>theoretical knowledge</w:t>
      </w:r>
      <w:r w:rsidRPr="00F05A27" w:rsidDel="004D48FB">
        <w:t xml:space="preserve"> gained through higher education</w:t>
      </w:r>
      <w:r w:rsidRPr="00F05A27">
        <w:t>.</w:t>
      </w:r>
      <w:r w:rsidRPr="00F05A27" w:rsidDel="004D48FB">
        <w:t> </w:t>
      </w:r>
    </w:p>
    <w:p w14:paraId="7C588766" w14:textId="71A68F93" w:rsidR="00846B94" w:rsidRPr="00F05A27" w:rsidRDefault="00846B94" w:rsidP="00846B94">
      <w:pPr>
        <w:shd w:val="clear" w:color="auto" w:fill="DBF5F2" w:themeFill="accent1" w:themeFillTint="1A"/>
      </w:pPr>
      <w:r w:rsidRPr="00F05A27">
        <w:t xml:space="preserve">Some pathways also </w:t>
      </w:r>
      <w:r w:rsidR="00167F43">
        <w:t>enable learners to begin</w:t>
      </w:r>
      <w:r w:rsidRPr="00F05A27">
        <w:t xml:space="preserve"> </w:t>
      </w:r>
      <w:r w:rsidR="00167F43">
        <w:t xml:space="preserve">their study at regional </w:t>
      </w:r>
      <w:r w:rsidRPr="00F05A27">
        <w:t>TAFE SA campus</w:t>
      </w:r>
      <w:r w:rsidR="00167F43">
        <w:t>es</w:t>
      </w:r>
      <w:r w:rsidR="00266E65">
        <w:t xml:space="preserve"> closer to home</w:t>
      </w:r>
      <w:r w:rsidR="00167F43">
        <w:t xml:space="preserve">, supporting access for </w:t>
      </w:r>
      <w:r w:rsidRPr="00F05A27">
        <w:t xml:space="preserve">regional </w:t>
      </w:r>
      <w:r w:rsidR="0075750E">
        <w:t>learners</w:t>
      </w:r>
      <w:r w:rsidR="003144A3">
        <w:t xml:space="preserve"> (Flinders University 2026)</w:t>
      </w:r>
      <w:r w:rsidRPr="00F05A27">
        <w:t>.  </w:t>
      </w:r>
    </w:p>
    <w:p w14:paraId="654EC885" w14:textId="5AA40280" w:rsidR="00F05A27" w:rsidRPr="00F05A27" w:rsidRDefault="00F05A27" w:rsidP="00F05A27">
      <w:r w:rsidRPr="00F05A27">
        <w:t xml:space="preserve">Concurrent and embedded awards are less common. These models allow learners to graduate with both a VET and a higher education qualification and </w:t>
      </w:r>
      <w:r w:rsidR="004F4568">
        <w:t xml:space="preserve">involve </w:t>
      </w:r>
      <w:r w:rsidRPr="00F05A27">
        <w:t xml:space="preserve">dual enrolment </w:t>
      </w:r>
      <w:r w:rsidRPr="00F05A27" w:rsidDel="004F4568">
        <w:t>in both qualifications</w:t>
      </w:r>
      <w:r w:rsidR="00A2027C">
        <w:t>,</w:t>
      </w:r>
      <w:r w:rsidRPr="00F05A27" w:rsidDel="004F4568">
        <w:t xml:space="preserve"> </w:t>
      </w:r>
      <w:proofErr w:type="gramStart"/>
      <w:r w:rsidRPr="00F05A27">
        <w:t>or</w:t>
      </w:r>
      <w:proofErr w:type="gramEnd"/>
      <w:r w:rsidRPr="00F05A27">
        <w:t xml:space="preserve"> guaranteed pathway</w:t>
      </w:r>
      <w:r w:rsidR="004F4568">
        <w:t>s</w:t>
      </w:r>
      <w:r w:rsidR="00A2027C">
        <w:t xml:space="preserve"> between them</w:t>
      </w:r>
      <w:r w:rsidRPr="00F05A27">
        <w:t xml:space="preserve">. Dual awards, particularly concurrent and embedded awards, </w:t>
      </w:r>
      <w:r w:rsidRPr="00F05A27" w:rsidDel="00FF4EC1">
        <w:t xml:space="preserve">are infrequently used, as they </w:t>
      </w:r>
      <w:r w:rsidRPr="00F05A27">
        <w:t xml:space="preserve">are difficult to </w:t>
      </w:r>
      <w:r w:rsidR="00BE29A8">
        <w:t xml:space="preserve">establish </w:t>
      </w:r>
      <w:r w:rsidRPr="00F05A27">
        <w:t>and sustain (Hodge and Knight 2021</w:t>
      </w:r>
      <w:r w:rsidR="004742A8">
        <w:t>a</w:t>
      </w:r>
      <w:r w:rsidRPr="00F05A27">
        <w:t>).</w:t>
      </w:r>
      <w:r w:rsidR="001E540C">
        <w:t xml:space="preserve"> </w:t>
      </w:r>
      <w:r w:rsidR="00544F75">
        <w:t xml:space="preserve">However, </w:t>
      </w:r>
      <w:r w:rsidR="00544F75" w:rsidDel="00E9491E">
        <w:t xml:space="preserve">a few </w:t>
      </w:r>
      <w:r w:rsidR="00544F75">
        <w:t>providers</w:t>
      </w:r>
      <w:r w:rsidR="00515543">
        <w:t xml:space="preserve"> </w:t>
      </w:r>
      <w:r w:rsidR="00515543" w:rsidDel="00E9491E">
        <w:t xml:space="preserve">currently offer </w:t>
      </w:r>
      <w:r w:rsidR="00515543">
        <w:t>dual awards</w:t>
      </w:r>
      <w:r w:rsidR="004C712E" w:rsidDel="00554615">
        <w:t>,</w:t>
      </w:r>
      <w:r w:rsidR="00554615">
        <w:t xml:space="preserve"> for example,</w:t>
      </w:r>
      <w:r w:rsidR="004C712E">
        <w:t xml:space="preserve"> </w:t>
      </w:r>
      <w:r w:rsidR="00A33FB7">
        <w:t xml:space="preserve">TAFE </w:t>
      </w:r>
      <w:r w:rsidR="007B2646">
        <w:t xml:space="preserve">SA and Flinders University </w:t>
      </w:r>
      <w:r w:rsidR="00D54CCA">
        <w:t xml:space="preserve">have </w:t>
      </w:r>
      <w:r w:rsidR="007B2646">
        <w:t>offer</w:t>
      </w:r>
      <w:r w:rsidR="00D54CCA">
        <w:t>ed</w:t>
      </w:r>
      <w:r w:rsidR="007B2646">
        <w:t xml:space="preserve"> a dual award </w:t>
      </w:r>
      <w:r w:rsidR="00831C5E">
        <w:t>in creative arts</w:t>
      </w:r>
      <w:r w:rsidR="00D54CCA">
        <w:t xml:space="preserve"> since 2014</w:t>
      </w:r>
      <w:r w:rsidR="00831C5E">
        <w:t xml:space="preserve">, which </w:t>
      </w:r>
      <w:r w:rsidR="001A1F2F">
        <w:t>allows students to concurrently study a Bachelor of Creative Arts and VET diploma in different creative arts disciplines, such as costume design</w:t>
      </w:r>
      <w:r w:rsidR="006D6D96">
        <w:t xml:space="preserve"> (</w:t>
      </w:r>
      <w:r w:rsidR="00082122">
        <w:t>Gander and Bouvet 2023)</w:t>
      </w:r>
      <w:r w:rsidR="001A1F2F">
        <w:t xml:space="preserve">. </w:t>
      </w:r>
    </w:p>
    <w:p w14:paraId="70C7945C" w14:textId="0F02665A" w:rsidR="00F05A27" w:rsidRPr="002320D2" w:rsidRDefault="00F05A27" w:rsidP="002320D2">
      <w:pPr>
        <w:pStyle w:val="Heading4"/>
      </w:pPr>
      <w:r w:rsidRPr="002320D2">
        <w:t>Higher</w:t>
      </w:r>
      <w:r w:rsidR="00141A6F" w:rsidRPr="002320D2">
        <w:t xml:space="preserve">-level </w:t>
      </w:r>
      <w:r w:rsidRPr="002320D2">
        <w:t>apprenticeships</w:t>
      </w:r>
    </w:p>
    <w:p w14:paraId="3393763F" w14:textId="516368D3" w:rsidR="00F05A27" w:rsidRPr="00F05A27" w:rsidRDefault="00F05A27" w:rsidP="00F05A27">
      <w:r w:rsidRPr="00F05A27">
        <w:t>Whil</w:t>
      </w:r>
      <w:r w:rsidR="0001791C">
        <w:t>e</w:t>
      </w:r>
      <w:r w:rsidRPr="00F05A27">
        <w:t xml:space="preserve"> not a model </w:t>
      </w:r>
      <w:r w:rsidR="004C036B">
        <w:t xml:space="preserve">that </w:t>
      </w:r>
      <w:r w:rsidRPr="00F05A27">
        <w:t>necessarily requires collaboration between providers, higher</w:t>
      </w:r>
      <w:r w:rsidR="00835EB9">
        <w:t xml:space="preserve">-level </w:t>
      </w:r>
      <w:r w:rsidRPr="00F05A27">
        <w:t xml:space="preserve">apprenticeships </w:t>
      </w:r>
      <w:r w:rsidR="00806BF4" w:rsidRPr="00806BF4">
        <w:t xml:space="preserve">(broadly defined as apprenticeship qualifications at AQF Levels 5-8) </w:t>
      </w:r>
      <w:r w:rsidRPr="00F05A27">
        <w:t xml:space="preserve">are an area where the </w:t>
      </w:r>
      <w:r w:rsidR="00DF0CDF">
        <w:t xml:space="preserve">VET and higher education </w:t>
      </w:r>
      <w:r w:rsidRPr="00F05A27">
        <w:t>sectors are learning from each other. Higher</w:t>
      </w:r>
      <w:r w:rsidR="00835EB9">
        <w:t>-level</w:t>
      </w:r>
      <w:r w:rsidRPr="00F05A27" w:rsidDel="00835EB9">
        <w:t xml:space="preserve"> </w:t>
      </w:r>
      <w:r w:rsidRPr="00F05A27" w:rsidDel="009640E6">
        <w:t xml:space="preserve">apprenticeships </w:t>
      </w:r>
      <w:r w:rsidR="009640E6" w:rsidRPr="009A718C">
        <w:t>–</w:t>
      </w:r>
      <w:r w:rsidR="00DF0CDF">
        <w:t xml:space="preserve"> </w:t>
      </w:r>
      <w:r w:rsidR="009A718C" w:rsidRPr="009A718C">
        <w:t>offered by both VET and higher education providers –</w:t>
      </w:r>
      <w:r w:rsidR="009640E6">
        <w:t xml:space="preserve"> </w:t>
      </w:r>
      <w:r w:rsidRPr="00F05A27">
        <w:t xml:space="preserve">draw on the apprenticeship and traineeship model used in the VET sector for trades qualifications such as electricians. </w:t>
      </w:r>
      <w:r w:rsidR="00086DD0" w:rsidRPr="00F05A27">
        <w:t xml:space="preserve">As </w:t>
      </w:r>
      <w:r w:rsidR="00086DD0">
        <w:t>of</w:t>
      </w:r>
      <w:r w:rsidR="00086DD0" w:rsidRPr="00F05A27">
        <w:t xml:space="preserve"> March 2025, diploma and advanced diploma apprenticeships account for 3.7% of apprentices in training (NCVER 2025</w:t>
      </w:r>
      <w:r w:rsidR="00086DD0">
        <w:t>a</w:t>
      </w:r>
      <w:r w:rsidR="00086DD0" w:rsidRPr="00F05A27">
        <w:t>).</w:t>
      </w:r>
    </w:p>
    <w:p w14:paraId="3B2C2D39" w14:textId="5458D8E5" w:rsidR="00F05A27" w:rsidRPr="00F05A27" w:rsidRDefault="00F05A27" w:rsidP="00F05A27">
      <w:r w:rsidRPr="00F05A27">
        <w:t xml:space="preserve">Apprenticeships combine work-based learning </w:t>
      </w:r>
      <w:r w:rsidR="00B9188E">
        <w:t>with</w:t>
      </w:r>
      <w:r w:rsidR="00B9188E" w:rsidRPr="00F05A27">
        <w:t xml:space="preserve"> structured</w:t>
      </w:r>
      <w:r w:rsidRPr="00F05A27">
        <w:t xml:space="preserve"> formal study, resulting in a learner earning a qualification (DEWR 2025). Currently, only VET qualifications are officially recognised nationally as Australian Apprenticeships</w:t>
      </w:r>
      <w:r w:rsidR="00445AF2">
        <w:t xml:space="preserve"> with</w:t>
      </w:r>
      <w:r w:rsidRPr="00F05A27">
        <w:t xml:space="preserve"> Certificates IIIs and IVs the most commonly used </w:t>
      </w:r>
      <w:r w:rsidR="00CC6A9F">
        <w:t xml:space="preserve">qualifications </w:t>
      </w:r>
      <w:r w:rsidRPr="00F05A27">
        <w:t xml:space="preserve">(DEWR 2025). State and territory governments </w:t>
      </w:r>
      <w:r w:rsidR="003708C2">
        <w:t xml:space="preserve">determine </w:t>
      </w:r>
      <w:r w:rsidRPr="00F05A27">
        <w:t>which specific qualifications</w:t>
      </w:r>
      <w:r w:rsidR="00864A66">
        <w:t xml:space="preserve"> c</w:t>
      </w:r>
      <w:r w:rsidR="00076FA5">
        <w:t xml:space="preserve">an be undertaken </w:t>
      </w:r>
      <w:r w:rsidRPr="00F05A27">
        <w:t xml:space="preserve">as apprenticeships or traineeships under their legislative frameworks – which has implications for the incentives and support available. These vary significantly </w:t>
      </w:r>
      <w:r w:rsidR="00124E1C">
        <w:t>ac</w:t>
      </w:r>
      <w:r w:rsidR="0010480D">
        <w:t>r</w:t>
      </w:r>
      <w:r w:rsidR="00124E1C">
        <w:t xml:space="preserve">oss </w:t>
      </w:r>
      <w:r w:rsidRPr="00F05A27">
        <w:t>jurisdictions (DEWR 202</w:t>
      </w:r>
      <w:r w:rsidR="00E11320">
        <w:t>4</w:t>
      </w:r>
      <w:r w:rsidR="000B6A80">
        <w:t>a</w:t>
      </w:r>
      <w:r w:rsidR="00E11320">
        <w:t>)</w:t>
      </w:r>
      <w:r w:rsidR="0017145F">
        <w:t xml:space="preserve">. </w:t>
      </w:r>
      <w:r w:rsidR="0084668A">
        <w:t>Recent changes to South Australia’s legislative framework ha</w:t>
      </w:r>
      <w:r w:rsidR="002E47AD">
        <w:t>ve</w:t>
      </w:r>
      <w:r w:rsidR="0084668A">
        <w:t xml:space="preserve"> allowed for apprenticeships to be delivered </w:t>
      </w:r>
      <w:r w:rsidR="00366559">
        <w:t>in higher education</w:t>
      </w:r>
      <w:r w:rsidR="0084668A">
        <w:t xml:space="preserve">, allowing for delivery of </w:t>
      </w:r>
      <w:r w:rsidR="007146BF">
        <w:t>a</w:t>
      </w:r>
      <w:r w:rsidR="0084668A">
        <w:t xml:space="preserve"> </w:t>
      </w:r>
      <w:r w:rsidR="0028337E">
        <w:t xml:space="preserve">degree apprenticeship </w:t>
      </w:r>
      <w:r w:rsidR="0084668A">
        <w:t>pilot program</w:t>
      </w:r>
      <w:r w:rsidR="00321CE2">
        <w:t xml:space="preserve"> (South Australian Skills Commission 2025)</w:t>
      </w:r>
      <w:r w:rsidR="0084668A">
        <w:t xml:space="preserve">. </w:t>
      </w:r>
      <w:r w:rsidRPr="00F05A27">
        <w:t xml:space="preserve">The use of apprenticeships </w:t>
      </w:r>
      <w:r w:rsidR="00537750">
        <w:t xml:space="preserve">also </w:t>
      </w:r>
      <w:r w:rsidRPr="00F05A27">
        <w:t xml:space="preserve">varies </w:t>
      </w:r>
      <w:r w:rsidR="00537750">
        <w:t>by</w:t>
      </w:r>
      <w:r w:rsidRPr="00F05A27">
        <w:t xml:space="preserve"> occupations, with some being more prominent pathways than others. For instance, </w:t>
      </w:r>
      <w:r w:rsidR="00214081">
        <w:t xml:space="preserve">apprenticeships remain the primary </w:t>
      </w:r>
      <w:r w:rsidR="00DD3143">
        <w:t>pathway for</w:t>
      </w:r>
      <w:r w:rsidRPr="00F05A27">
        <w:t xml:space="preserve"> electricians and plumbers (JSA 2025</w:t>
      </w:r>
      <w:r w:rsidR="00106B4F">
        <w:t>b</w:t>
      </w:r>
      <w:r w:rsidRPr="00F05A27">
        <w:t xml:space="preserve">). </w:t>
      </w:r>
    </w:p>
    <w:p w14:paraId="1A7B4AD3" w14:textId="34027B06" w:rsidR="0075623C" w:rsidRDefault="004B4DD7" w:rsidP="00F05A27">
      <w:r w:rsidRPr="004B4DD7">
        <w:t xml:space="preserve">In some jurisdictions, </w:t>
      </w:r>
      <w:r w:rsidR="00074035">
        <w:t xml:space="preserve">work is underway to expand </w:t>
      </w:r>
      <w:r w:rsidR="00F05A27" w:rsidRPr="00F05A27">
        <w:t>higher</w:t>
      </w:r>
      <w:r>
        <w:t>-level</w:t>
      </w:r>
      <w:r w:rsidR="00F05A27" w:rsidRPr="00F05A27">
        <w:t xml:space="preserve"> apprenticeship</w:t>
      </w:r>
      <w:r>
        <w:t xml:space="preserve"> offerings</w:t>
      </w:r>
      <w:r w:rsidR="00F05A27" w:rsidRPr="00F05A27">
        <w:t xml:space="preserve"> in the higher education sector. </w:t>
      </w:r>
      <w:r w:rsidR="003C7D1B" w:rsidRPr="003C7D1B">
        <w:t xml:space="preserve">New models are </w:t>
      </w:r>
      <w:r w:rsidR="00CC0E7C">
        <w:t xml:space="preserve">emerging </w:t>
      </w:r>
      <w:r w:rsidR="00F05A27" w:rsidRPr="00F05A27">
        <w:t>at AQF level 7</w:t>
      </w:r>
      <w:r w:rsidR="00CC0E7C">
        <w:t>, where</w:t>
      </w:r>
      <w:r w:rsidR="00F05A27" w:rsidRPr="00F05A27">
        <w:t xml:space="preserve"> </w:t>
      </w:r>
      <w:r w:rsidR="00413BD2" w:rsidRPr="00D353D1">
        <w:t>b</w:t>
      </w:r>
      <w:r w:rsidR="00F05A27" w:rsidRPr="00D353D1">
        <w:t xml:space="preserve">achelor </w:t>
      </w:r>
      <w:r w:rsidR="00413BD2" w:rsidRPr="00D353D1">
        <w:t>d</w:t>
      </w:r>
      <w:r w:rsidR="00F05A27" w:rsidRPr="00D353D1">
        <w:t>egrees</w:t>
      </w:r>
      <w:r w:rsidR="00F05A27" w:rsidRPr="00F05A27">
        <w:t xml:space="preserve"> are combined with an employer training arrangement</w:t>
      </w:r>
      <w:r w:rsidR="00B527DF">
        <w:t xml:space="preserve">. </w:t>
      </w:r>
      <w:r w:rsidR="008403D9">
        <w:t>T</w:t>
      </w:r>
      <w:r w:rsidR="00F05A27" w:rsidRPr="00F05A27">
        <w:t xml:space="preserve">he recently introduced qualification type, the </w:t>
      </w:r>
      <w:r w:rsidR="00E25C6D">
        <w:t>V</w:t>
      </w:r>
      <w:r w:rsidR="00F05A27" w:rsidRPr="00D353D1">
        <w:t xml:space="preserve">ocational </w:t>
      </w:r>
      <w:r w:rsidR="00E25C6D">
        <w:t>D</w:t>
      </w:r>
      <w:r w:rsidR="00F05A27" w:rsidRPr="00D353D1">
        <w:t>egree</w:t>
      </w:r>
      <w:r w:rsidR="009D40FC">
        <w:t>,</w:t>
      </w:r>
      <w:r w:rsidR="00644C23">
        <w:t xml:space="preserve"> </w:t>
      </w:r>
      <w:r w:rsidR="00F05A27" w:rsidRPr="00F05A27">
        <w:t xml:space="preserve">is intended to be the basis of </w:t>
      </w:r>
      <w:r w:rsidR="00402600">
        <w:t>higher</w:t>
      </w:r>
      <w:r w:rsidR="00755A96">
        <w:t>-</w:t>
      </w:r>
      <w:r w:rsidR="00402600">
        <w:t xml:space="preserve">level </w:t>
      </w:r>
      <w:r w:rsidR="00F05A27" w:rsidRPr="00F05A27">
        <w:t xml:space="preserve">degree apprenticeships in the VET sector. </w:t>
      </w:r>
    </w:p>
    <w:p w14:paraId="42D8AA5A" w14:textId="2E75E5DD" w:rsidR="00F05A27" w:rsidRPr="00F05A27" w:rsidRDefault="00F05A27" w:rsidP="00D31F72">
      <w:r>
        <w:t>So far, these</w:t>
      </w:r>
      <w:r w:rsidR="00644C23">
        <w:t xml:space="preserve"> degree</w:t>
      </w:r>
      <w:r w:rsidR="00C15D7C">
        <w:t>-</w:t>
      </w:r>
      <w:r w:rsidR="00644C23">
        <w:t>level</w:t>
      </w:r>
      <w:r>
        <w:t xml:space="preserve"> models are only in their infancy, with </w:t>
      </w:r>
      <w:r w:rsidR="00DE5EA6">
        <w:t xml:space="preserve">Adelaide </w:t>
      </w:r>
      <w:r w:rsidR="00082122">
        <w:t>University’s (</w:t>
      </w:r>
      <w:r w:rsidR="00DE5EA6">
        <w:t>formerly</w:t>
      </w:r>
      <w:r>
        <w:t xml:space="preserve"> University of South Australia’s</w:t>
      </w:r>
      <w:r w:rsidR="00DE5EA6">
        <w:t>)</w:t>
      </w:r>
      <w:r>
        <w:t xml:space="preserve"> degree apprenticeship pilot</w:t>
      </w:r>
      <w:r w:rsidR="00AF198E">
        <w:t xml:space="preserve"> only commencing</w:t>
      </w:r>
      <w:r w:rsidR="00F55179">
        <w:t xml:space="preserve"> </w:t>
      </w:r>
      <w:r w:rsidR="00AF198E">
        <w:t>i</w:t>
      </w:r>
      <w:r>
        <w:t xml:space="preserve">n 2024, </w:t>
      </w:r>
      <w:r w:rsidR="009C23A4">
        <w:t>with</w:t>
      </w:r>
      <w:r w:rsidR="007210C0">
        <w:t xml:space="preserve"> the first</w:t>
      </w:r>
      <w:r w:rsidR="009C23A4">
        <w:t xml:space="preserve"> </w:t>
      </w:r>
      <w:r>
        <w:t xml:space="preserve">learners in the five-year program </w:t>
      </w:r>
      <w:r w:rsidR="07F0AD39">
        <w:t xml:space="preserve">due to </w:t>
      </w:r>
      <w:r>
        <w:t>graduat</w:t>
      </w:r>
      <w:r w:rsidR="25A1A92A">
        <w:t>e</w:t>
      </w:r>
      <w:r>
        <w:t xml:space="preserve"> at the end of 2028. Similarly, the Vocational Degree qualification type was only introduced </w:t>
      </w:r>
      <w:r w:rsidR="001607F7">
        <w:t xml:space="preserve">to the AQF </w:t>
      </w:r>
      <w:r>
        <w:t>in February 2025</w:t>
      </w:r>
      <w:r w:rsidR="004E40FF">
        <w:t xml:space="preserve">, </w:t>
      </w:r>
      <w:r w:rsidR="007210C0">
        <w:t>and</w:t>
      </w:r>
      <w:r w:rsidR="00B24F3B">
        <w:t xml:space="preserve"> will take time to design, accredit and deliver</w:t>
      </w:r>
      <w:r w:rsidR="5231F70C">
        <w:t>.</w:t>
      </w:r>
      <w:r w:rsidR="00B24F3B">
        <w:t xml:space="preserve"> </w:t>
      </w:r>
      <w:r w:rsidR="00166CC4">
        <w:t xml:space="preserve">Early </w:t>
      </w:r>
      <w:r>
        <w:t xml:space="preserve">experiences </w:t>
      </w:r>
      <w:r w:rsidR="00425F92">
        <w:t xml:space="preserve">and interest are promising </w:t>
      </w:r>
      <w:r w:rsidRPr="3A7ED23E">
        <w:rPr>
          <w:color w:val="auto"/>
        </w:rPr>
        <w:t>(Powell 2025</w:t>
      </w:r>
      <w:r w:rsidR="00425F92" w:rsidRPr="3A7ED23E">
        <w:rPr>
          <w:color w:val="auto"/>
        </w:rPr>
        <w:t xml:space="preserve">; </w:t>
      </w:r>
      <w:r>
        <w:t xml:space="preserve">AUSMASA 2025), </w:t>
      </w:r>
      <w:r w:rsidR="00425F92">
        <w:t xml:space="preserve">but </w:t>
      </w:r>
      <w:r>
        <w:t xml:space="preserve">it will take </w:t>
      </w:r>
      <w:r w:rsidR="00425F92">
        <w:t xml:space="preserve">several </w:t>
      </w:r>
      <w:r>
        <w:t xml:space="preserve">years to understand the outcomes </w:t>
      </w:r>
      <w:r w:rsidR="003B1590">
        <w:t xml:space="preserve">for learners </w:t>
      </w:r>
      <w:r>
        <w:t xml:space="preserve">in Australia. </w:t>
      </w:r>
    </w:p>
    <w:p w14:paraId="0D0C2367" w14:textId="238D0427" w:rsidR="00F05A27" w:rsidRDefault="00F05A27" w:rsidP="00AC7E45">
      <w:pPr>
        <w:keepLines/>
      </w:pPr>
      <w:r w:rsidRPr="00F05A27">
        <w:t xml:space="preserve">Some providers are also offering dual award </w:t>
      </w:r>
      <w:r w:rsidR="006F10BB">
        <w:t>higher-level</w:t>
      </w:r>
      <w:r w:rsidR="006F10BB" w:rsidRPr="00F05A27">
        <w:t xml:space="preserve"> </w:t>
      </w:r>
      <w:r w:rsidRPr="00F05A27">
        <w:t>apprenticeships, where</w:t>
      </w:r>
      <w:r w:rsidR="00706679">
        <w:t>by</w:t>
      </w:r>
      <w:r w:rsidRPr="00F05A27">
        <w:t xml:space="preserve"> learners undertake a VET higher apprenticeship and receive credit into a higher education degree, continu</w:t>
      </w:r>
      <w:r w:rsidR="00706679">
        <w:t>ing</w:t>
      </w:r>
      <w:r w:rsidRPr="00F05A27">
        <w:t xml:space="preserve"> under the apprenticeship model and graduat</w:t>
      </w:r>
      <w:r w:rsidR="00035462">
        <w:t>ing</w:t>
      </w:r>
      <w:r w:rsidRPr="00F05A27">
        <w:t xml:space="preserve"> with both qualifications. This </w:t>
      </w:r>
      <w:r w:rsidR="00035462">
        <w:t xml:space="preserve">enables the </w:t>
      </w:r>
      <w:r w:rsidR="00391DC0">
        <w:t xml:space="preserve">initial </w:t>
      </w:r>
      <w:r w:rsidRPr="00F05A27">
        <w:t xml:space="preserve">part of the program to be </w:t>
      </w:r>
      <w:r w:rsidR="00391DC0">
        <w:t xml:space="preserve">delivered </w:t>
      </w:r>
      <w:r w:rsidR="00DE3EBF">
        <w:t xml:space="preserve">under an apprenticeship framework, allowing </w:t>
      </w:r>
      <w:r w:rsidR="006B6013">
        <w:t xml:space="preserve">apprentices and </w:t>
      </w:r>
      <w:r w:rsidR="00ED4D40">
        <w:t xml:space="preserve">employers </w:t>
      </w:r>
      <w:r w:rsidR="00D9115E">
        <w:t>access to</w:t>
      </w:r>
      <w:r w:rsidRPr="00F05A27">
        <w:t xml:space="preserve"> incentives</w:t>
      </w:r>
      <w:r w:rsidR="00BB1E2A">
        <w:t xml:space="preserve"> and</w:t>
      </w:r>
      <w:r w:rsidRPr="00F05A27">
        <w:t xml:space="preserve"> support</w:t>
      </w:r>
      <w:r w:rsidR="00BB1E2A">
        <w:t>s</w:t>
      </w:r>
      <w:r w:rsidRPr="00F05A27">
        <w:t xml:space="preserve"> </w:t>
      </w:r>
      <w:r w:rsidR="00BB1E2A">
        <w:t>that are</w:t>
      </w:r>
      <w:r w:rsidRPr="00F05A27">
        <w:t xml:space="preserve"> not currently </w:t>
      </w:r>
      <w:r w:rsidR="00BB1E2A">
        <w:t xml:space="preserve">available to learners </w:t>
      </w:r>
      <w:r w:rsidR="00AF628B" w:rsidRPr="00AF628B">
        <w:t xml:space="preserve">undertaking </w:t>
      </w:r>
      <w:r w:rsidR="00BB1E2A">
        <w:t xml:space="preserve">only </w:t>
      </w:r>
      <w:r w:rsidR="00AF628B" w:rsidRPr="00AF628B">
        <w:t xml:space="preserve">a </w:t>
      </w:r>
      <w:r w:rsidR="00BB1E2A">
        <w:t xml:space="preserve">higher education </w:t>
      </w:r>
      <w:r w:rsidR="00AF628B" w:rsidRPr="00AF628B">
        <w:t>degree.</w:t>
      </w:r>
    </w:p>
    <w:p w14:paraId="340FCAF8" w14:textId="4D5E8DB9" w:rsidR="00E61DD5" w:rsidRPr="00F05A27" w:rsidRDefault="00E61DD5" w:rsidP="00F6716F">
      <w:pPr>
        <w:pStyle w:val="Heading5"/>
        <w:shd w:val="clear" w:color="auto" w:fill="DBF5F2" w:themeFill="accent1" w:themeFillTint="1A"/>
      </w:pPr>
      <w:r w:rsidRPr="00F05A27">
        <w:t>Case study</w:t>
      </w:r>
      <w:r w:rsidR="000435A8">
        <w:t xml:space="preserve"> </w:t>
      </w:r>
      <w:r w:rsidR="00846B94">
        <w:t>–</w:t>
      </w:r>
      <w:r w:rsidRPr="00F05A27">
        <w:t xml:space="preserve"> </w:t>
      </w:r>
      <w:r w:rsidR="00846B94">
        <w:t xml:space="preserve">RMIT’s </w:t>
      </w:r>
      <w:r w:rsidRPr="00F05A27">
        <w:t xml:space="preserve">dual award degree apprenticeship </w:t>
      </w:r>
    </w:p>
    <w:p w14:paraId="1E5D7AED" w14:textId="3B7A164A" w:rsidR="00E61DD5" w:rsidRPr="00F6716F" w:rsidRDefault="00E61DD5" w:rsidP="00F6716F">
      <w:pPr>
        <w:shd w:val="clear" w:color="auto" w:fill="DBF5F2" w:themeFill="accent1" w:themeFillTint="1A"/>
        <w:rPr>
          <w:color w:val="FFFFFF" w:themeColor="background1"/>
        </w:rPr>
      </w:pPr>
      <w:r>
        <w:t>RMIT</w:t>
      </w:r>
      <w:r w:rsidR="1D56907C">
        <w:t xml:space="preserve">’s </w:t>
      </w:r>
      <w:r>
        <w:t xml:space="preserve">dual-sector degree apprenticeship in mechanical engineering, </w:t>
      </w:r>
      <w:r w:rsidR="00C15135">
        <w:t>enabl</w:t>
      </w:r>
      <w:r w:rsidR="006B31B0">
        <w:t>es</w:t>
      </w:r>
      <w:r w:rsidR="00C15135">
        <w:t xml:space="preserve"> </w:t>
      </w:r>
      <w:r>
        <w:t xml:space="preserve">learners </w:t>
      </w:r>
      <w:r w:rsidR="00C15135">
        <w:t>to</w:t>
      </w:r>
      <w:r>
        <w:t xml:space="preserve"> graduate with </w:t>
      </w:r>
      <w:r w:rsidR="00C15135">
        <w:t xml:space="preserve">both </w:t>
      </w:r>
      <w:r>
        <w:t xml:space="preserve">a VET Advanced Diploma of Engineering (Mechanical) and a Bachelor of Engineering (Mechanical Engineering) (Honours) over </w:t>
      </w:r>
      <w:r w:rsidR="00C15135">
        <w:t>five</w:t>
      </w:r>
      <w:r>
        <w:t xml:space="preserve"> years. Learners </w:t>
      </w:r>
      <w:r w:rsidR="00C15135">
        <w:t>are</w:t>
      </w:r>
      <w:r>
        <w:t xml:space="preserve"> employed as trainee engineer</w:t>
      </w:r>
      <w:r w:rsidR="00BE68EB">
        <w:t>s for the duration of the program</w:t>
      </w:r>
      <w:r>
        <w:t>, spending around 40% of th</w:t>
      </w:r>
      <w:r w:rsidR="00BE68EB">
        <w:t>eir</w:t>
      </w:r>
      <w:r>
        <w:t xml:space="preserve"> time studying and 60% working with their employer.</w:t>
      </w:r>
      <w:r w:rsidRPr="3A7ED23E">
        <w:rPr>
          <w:vertAlign w:val="superscript"/>
        </w:rPr>
        <w:t xml:space="preserve"> </w:t>
      </w:r>
      <w:r>
        <w:t xml:space="preserve">The </w:t>
      </w:r>
      <w:r w:rsidR="008B3362">
        <w:t xml:space="preserve">first </w:t>
      </w:r>
      <w:r>
        <w:t>cohort of 12 apprentices</w:t>
      </w:r>
      <w:r w:rsidR="00162083">
        <w:t xml:space="preserve">, </w:t>
      </w:r>
      <w:r w:rsidR="00D47714">
        <w:t>supported by five</w:t>
      </w:r>
      <w:r>
        <w:t xml:space="preserve"> participating employers</w:t>
      </w:r>
      <w:r w:rsidR="00162083">
        <w:t xml:space="preserve">, </w:t>
      </w:r>
      <w:r>
        <w:t xml:space="preserve">commenced in March </w:t>
      </w:r>
      <w:r w:rsidR="00F55179">
        <w:t>2025.</w:t>
      </w:r>
      <w:r w:rsidRPr="3A7ED23E">
        <w:rPr>
          <w:color w:val="FFFFFF" w:themeColor="background1"/>
        </w:rPr>
        <w:t>  </w:t>
      </w:r>
    </w:p>
    <w:p w14:paraId="25B6DEB1" w14:textId="738D703C" w:rsidR="00F05A27" w:rsidRDefault="00F05A27" w:rsidP="00F05A27">
      <w:r w:rsidRPr="00F05A27">
        <w:t>Work to support the development of higher</w:t>
      </w:r>
      <w:r w:rsidR="00716560">
        <w:t xml:space="preserve">-level apprenticeships </w:t>
      </w:r>
      <w:r w:rsidRPr="00F05A27">
        <w:t xml:space="preserve">is underway through TAFE Centres of Excellence, delivered </w:t>
      </w:r>
      <w:r w:rsidR="00225061">
        <w:t xml:space="preserve">under </w:t>
      </w:r>
      <w:r w:rsidRPr="00F05A27">
        <w:t xml:space="preserve">the National Skills Agreement. </w:t>
      </w:r>
      <w:r w:rsidRPr="00F6716F">
        <w:rPr>
          <w:color w:val="auto"/>
        </w:rPr>
        <w:t xml:space="preserve">An additional $9.6 million was provided </w:t>
      </w:r>
      <w:r w:rsidR="00225061">
        <w:rPr>
          <w:color w:val="auto"/>
        </w:rPr>
        <w:t xml:space="preserve">through </w:t>
      </w:r>
      <w:r w:rsidRPr="00F6716F">
        <w:rPr>
          <w:color w:val="auto"/>
        </w:rPr>
        <w:t xml:space="preserve">the Employment White Paper Turbocharging measure to support </w:t>
      </w:r>
      <w:r w:rsidR="00A6150D" w:rsidRPr="00F6716F">
        <w:rPr>
          <w:color w:val="auto"/>
        </w:rPr>
        <w:t xml:space="preserve">enabling work for higher-level </w:t>
      </w:r>
      <w:r w:rsidRPr="00F6716F">
        <w:rPr>
          <w:color w:val="auto"/>
        </w:rPr>
        <w:t>apprenticeships (DEWR 2025</w:t>
      </w:r>
      <w:r w:rsidR="003A3346">
        <w:rPr>
          <w:color w:val="auto"/>
        </w:rPr>
        <w:t>d</w:t>
      </w:r>
      <w:r w:rsidRPr="00F6716F">
        <w:rPr>
          <w:color w:val="auto"/>
        </w:rPr>
        <w:t>).</w:t>
      </w:r>
    </w:p>
    <w:p w14:paraId="7B0DC90B" w14:textId="16B1704D" w:rsidR="00AF3614" w:rsidRDefault="006F1AAD" w:rsidP="00AF3614">
      <w:r>
        <w:t>Reflecting growing</w:t>
      </w:r>
      <w:r w:rsidR="00AF3614" w:rsidRPr="00AF3614">
        <w:t xml:space="preserve"> interest in this </w:t>
      </w:r>
      <w:r>
        <w:t>area</w:t>
      </w:r>
      <w:r w:rsidR="00AF3614" w:rsidRPr="00AF3614">
        <w:t>, the Skills and Workforce Ministerial Council established the Higher-Leve</w:t>
      </w:r>
      <w:r w:rsidR="004D7F15">
        <w:t>l</w:t>
      </w:r>
      <w:r w:rsidR="00AF3614" w:rsidRPr="00AF3614">
        <w:t xml:space="preserve"> Apprenticeship Working Group in September 2024 to explore options that support scalable, sustainable and </w:t>
      </w:r>
      <w:r w:rsidR="004F2B52">
        <w:t>high-</w:t>
      </w:r>
      <w:r w:rsidR="00AF3614" w:rsidRPr="00AF3614">
        <w:t xml:space="preserve">quality AQF 5-8 apprenticeship pathways offered by VET and higher education providers. The Working Group is </w:t>
      </w:r>
      <w:r w:rsidR="00F86AC4">
        <w:t xml:space="preserve">considering </w:t>
      </w:r>
      <w:r w:rsidR="00AF3614" w:rsidRPr="00AF3614">
        <w:t xml:space="preserve">issues relevant to building a </w:t>
      </w:r>
      <w:r w:rsidR="00374ED8" w:rsidRPr="00AF3614">
        <w:t>nationally coordinated</w:t>
      </w:r>
      <w:r w:rsidR="00AF3614" w:rsidRPr="00AF3614">
        <w:t xml:space="preserve"> </w:t>
      </w:r>
      <w:r w:rsidR="00F55179" w:rsidRPr="00AF3614">
        <w:t xml:space="preserve">approach </w:t>
      </w:r>
      <w:r w:rsidR="00F55179">
        <w:t>including</w:t>
      </w:r>
      <w:r w:rsidR="00AF3614" w:rsidRPr="00AF3614">
        <w:t xml:space="preserve"> definitions and terminology, governance arrangements, funding and incentives, and workplace relations, and will report </w:t>
      </w:r>
      <w:r w:rsidR="009D1390">
        <w:t xml:space="preserve">to Ministers </w:t>
      </w:r>
      <w:r w:rsidR="00AF3614" w:rsidRPr="00AF3614">
        <w:t>by June 2026.</w:t>
      </w:r>
    </w:p>
    <w:tbl>
      <w:tblPr>
        <w:tblStyle w:val="TableGrid10"/>
        <w:tblW w:w="0" w:type="auto"/>
        <w:shd w:val="clear" w:color="auto" w:fill="DBF5F2" w:themeFill="accent1" w:themeFillTint="1A"/>
        <w:tblLook w:val="04A0" w:firstRow="1" w:lastRow="0" w:firstColumn="1" w:lastColumn="0" w:noHBand="0" w:noVBand="1"/>
      </w:tblPr>
      <w:tblGrid>
        <w:gridCol w:w="567"/>
        <w:gridCol w:w="9072"/>
      </w:tblGrid>
      <w:tr w:rsidR="00E72E59" w:rsidRPr="00785601" w14:paraId="5041A2B6" w14:textId="77777777">
        <w:trPr>
          <w:cnfStyle w:val="100000000000" w:firstRow="1" w:lastRow="0" w:firstColumn="0" w:lastColumn="0" w:oddVBand="0" w:evenVBand="0" w:oddHBand="0" w:evenHBand="0" w:firstRowFirstColumn="0" w:firstRowLastColumn="0" w:lastRowFirstColumn="0" w:lastRowLastColumn="0"/>
          <w:trHeight w:val="329"/>
        </w:trPr>
        <w:tc>
          <w:tcPr>
            <w:tcW w:w="567" w:type="dxa"/>
            <w:shd w:val="clear" w:color="auto" w:fill="D0DEFF" w:themeFill="text2" w:themeFillTint="1A"/>
          </w:tcPr>
          <w:p w14:paraId="197A329A" w14:textId="1B99F896" w:rsidR="005D472B" w:rsidRPr="00E225EB" w:rsidRDefault="005D472B">
            <w:pPr>
              <w:rPr>
                <w:rFonts w:eastAsiaTheme="minorEastAsia" w:cstheme="minorBidi"/>
                <w:bCs/>
                <w:color w:val="001032" w:themeColor="text2"/>
                <w:kern w:val="2"/>
                <w:sz w:val="22"/>
                <w:szCs w:val="22"/>
                <w:lang w:eastAsia="en-US"/>
                <w14:ligatures w14:val="standardContextual"/>
              </w:rPr>
            </w:pPr>
            <w:r w:rsidRPr="00D33389">
              <w:rPr>
                <w:rFonts w:eastAsiaTheme="minorEastAsia" w:cstheme="minorBidi"/>
                <w:color w:val="001032" w:themeColor="text2"/>
                <w:kern w:val="2"/>
                <w:sz w:val="22"/>
                <w:szCs w:val="22"/>
                <w:lang w:eastAsia="en-US"/>
                <w14:ligatures w14:val="standardContextual"/>
              </w:rPr>
              <w:t>Q7</w:t>
            </w:r>
          </w:p>
        </w:tc>
        <w:tc>
          <w:tcPr>
            <w:tcW w:w="9072" w:type="dxa"/>
            <w:shd w:val="clear" w:color="auto" w:fill="D0DEFF" w:themeFill="text2" w:themeFillTint="1A"/>
          </w:tcPr>
          <w:p w14:paraId="7FF40A72" w14:textId="77777777" w:rsidR="005D472B" w:rsidRPr="00E225EB" w:rsidRDefault="005D472B">
            <w:pPr>
              <w:rPr>
                <w:rFonts w:eastAsiaTheme="minorEastAsia" w:cstheme="minorBidi"/>
                <w:bCs/>
                <w:color w:val="auto"/>
                <w:kern w:val="2"/>
                <w:sz w:val="22"/>
                <w:szCs w:val="22"/>
                <w:lang w:eastAsia="en-US"/>
                <w14:ligatures w14:val="standardContextual"/>
              </w:rPr>
            </w:pPr>
            <w:r w:rsidRPr="00E225EB">
              <w:rPr>
                <w:rFonts w:eastAsiaTheme="minorHAnsi" w:cstheme="minorBidi"/>
                <w:bCs/>
                <w:color w:val="auto"/>
                <w:kern w:val="2"/>
                <w:sz w:val="22"/>
                <w:szCs w:val="22"/>
                <w:lang w:eastAsia="en-US"/>
                <w14:ligatures w14:val="standardContextual"/>
              </w:rPr>
              <w:t>What does the VET sector do well that you would like to see adopted in higher education? What does the higher education sector do well that could be applied to VET?</w:t>
            </w:r>
          </w:p>
        </w:tc>
      </w:tr>
    </w:tbl>
    <w:p w14:paraId="13CD7221" w14:textId="77777777" w:rsidR="00F05A27" w:rsidRPr="00F05A27" w:rsidRDefault="00F05A27" w:rsidP="00B53611">
      <w:pPr>
        <w:pStyle w:val="Heading3"/>
      </w:pPr>
      <w:bookmarkStart w:id="53" w:name="_Toc229643979"/>
      <w:r w:rsidRPr="00F05A27">
        <w:t>Benefits of dual sector models</w:t>
      </w:r>
      <w:bookmarkEnd w:id="53"/>
    </w:p>
    <w:p w14:paraId="4BA00D24" w14:textId="23E992FD" w:rsidR="00F05A27" w:rsidRPr="00F05A27" w:rsidRDefault="00F05A27" w:rsidP="002320D2">
      <w:pPr>
        <w:pStyle w:val="Heading4"/>
      </w:pPr>
      <w:r w:rsidRPr="00F05A27">
        <w:t>Scaffolding engagement in</w:t>
      </w:r>
      <w:r w:rsidR="002F6877">
        <w:t>to</w:t>
      </w:r>
      <w:r w:rsidRPr="00F05A27">
        <w:t xml:space="preserve"> higher-level qualifications</w:t>
      </w:r>
    </w:p>
    <w:p w14:paraId="5624FDE9" w14:textId="455A58EB" w:rsidR="00F05A27" w:rsidRPr="00F05A27" w:rsidRDefault="00F05A27" w:rsidP="00F05A27">
      <w:r w:rsidRPr="00F05A27">
        <w:t xml:space="preserve">As noted in sections </w:t>
      </w:r>
      <w:r w:rsidR="00DB6D5B">
        <w:t>5</w:t>
      </w:r>
      <w:r w:rsidRPr="00F05A27">
        <w:t xml:space="preserve">.1 and </w:t>
      </w:r>
      <w:r w:rsidR="00DB6D5B">
        <w:t>5</w:t>
      </w:r>
      <w:r w:rsidRPr="00F05A27">
        <w:t>.2, VET to higher education pathways play an important role in widening access for underrepresented cohorts. For regional learners, t</w:t>
      </w:r>
      <w:r w:rsidRPr="00F05A27">
        <w:rPr>
          <w:color w:val="auto"/>
        </w:rPr>
        <w:t xml:space="preserve">he wider geographical distribution of VET providers compared to higher education </w:t>
      </w:r>
      <w:r w:rsidR="006A3686">
        <w:rPr>
          <w:color w:val="auto"/>
        </w:rPr>
        <w:t>providers</w:t>
      </w:r>
      <w:r w:rsidRPr="00F05A27">
        <w:rPr>
          <w:color w:val="auto"/>
        </w:rPr>
        <w:t xml:space="preserve"> suggests that VET to university pathways can play a more important role in widening access (Curtis 2011)</w:t>
      </w:r>
      <w:r w:rsidR="00CE0AF8">
        <w:rPr>
          <w:color w:val="auto"/>
        </w:rPr>
        <w:t>.</w:t>
      </w:r>
      <w:r w:rsidRPr="00F05A27">
        <w:rPr>
          <w:color w:val="auto"/>
        </w:rPr>
        <w:t xml:space="preserve"> </w:t>
      </w:r>
      <w:r w:rsidR="00CE0AF8">
        <w:rPr>
          <w:color w:val="auto"/>
        </w:rPr>
        <w:t>These pathways enable learners</w:t>
      </w:r>
      <w:r w:rsidR="007E6C9F" w:rsidRPr="00F05A27">
        <w:rPr>
          <w:color w:val="auto"/>
        </w:rPr>
        <w:t xml:space="preserve"> </w:t>
      </w:r>
      <w:r w:rsidRPr="00F05A27">
        <w:rPr>
          <w:color w:val="auto"/>
        </w:rPr>
        <w:t xml:space="preserve">to </w:t>
      </w:r>
      <w:r w:rsidR="007644F9">
        <w:rPr>
          <w:color w:val="auto"/>
        </w:rPr>
        <w:t xml:space="preserve">begin study </w:t>
      </w:r>
      <w:r w:rsidRPr="00F05A27">
        <w:rPr>
          <w:color w:val="auto"/>
        </w:rPr>
        <w:t xml:space="preserve">with a local provider </w:t>
      </w:r>
      <w:r w:rsidR="00F55179" w:rsidRPr="00F05A27">
        <w:rPr>
          <w:color w:val="auto"/>
        </w:rPr>
        <w:t>first and</w:t>
      </w:r>
      <w:r w:rsidRPr="00F05A27">
        <w:rPr>
          <w:color w:val="auto"/>
        </w:rPr>
        <w:t xml:space="preserve"> </w:t>
      </w:r>
      <w:r w:rsidR="00FF698E">
        <w:rPr>
          <w:color w:val="auto"/>
        </w:rPr>
        <w:t xml:space="preserve">then </w:t>
      </w:r>
      <w:r w:rsidRPr="00F05A27">
        <w:rPr>
          <w:color w:val="auto"/>
        </w:rPr>
        <w:t xml:space="preserve">receive credit into higher education. Making </w:t>
      </w:r>
      <w:r w:rsidR="00FF698E">
        <w:rPr>
          <w:color w:val="auto"/>
        </w:rPr>
        <w:t xml:space="preserve">such </w:t>
      </w:r>
      <w:r w:rsidR="00096509">
        <w:rPr>
          <w:color w:val="auto"/>
        </w:rPr>
        <w:t>pathways</w:t>
      </w:r>
      <w:r w:rsidRPr="00F05A27">
        <w:rPr>
          <w:color w:val="auto"/>
        </w:rPr>
        <w:t xml:space="preserve"> more consistent </w:t>
      </w:r>
      <w:r w:rsidR="00FF698E">
        <w:rPr>
          <w:color w:val="auto"/>
        </w:rPr>
        <w:t xml:space="preserve">across the system </w:t>
      </w:r>
      <w:r w:rsidRPr="00F05A27">
        <w:rPr>
          <w:color w:val="auto"/>
        </w:rPr>
        <w:t>could</w:t>
      </w:r>
      <w:r w:rsidR="00F111A0">
        <w:rPr>
          <w:color w:val="auto"/>
        </w:rPr>
        <w:t xml:space="preserve"> </w:t>
      </w:r>
      <w:r w:rsidR="00263D64">
        <w:rPr>
          <w:color w:val="auto"/>
        </w:rPr>
        <w:t xml:space="preserve">strengthen </w:t>
      </w:r>
      <w:r w:rsidR="00F111A0">
        <w:rPr>
          <w:color w:val="auto"/>
        </w:rPr>
        <w:t>connections between the sectors more broadly</w:t>
      </w:r>
      <w:r w:rsidRPr="00F05A27">
        <w:rPr>
          <w:color w:val="auto"/>
        </w:rPr>
        <w:t xml:space="preserve">. Employers </w:t>
      </w:r>
      <w:r w:rsidR="00263D64">
        <w:rPr>
          <w:color w:val="auto"/>
        </w:rPr>
        <w:t xml:space="preserve">also </w:t>
      </w:r>
      <w:r w:rsidRPr="00F05A27">
        <w:rPr>
          <w:color w:val="auto"/>
        </w:rPr>
        <w:t xml:space="preserve">note that in occupations </w:t>
      </w:r>
      <w:r w:rsidR="00263D64">
        <w:rPr>
          <w:color w:val="auto"/>
        </w:rPr>
        <w:t>where both</w:t>
      </w:r>
      <w:r w:rsidRPr="00F05A27">
        <w:rPr>
          <w:color w:val="auto"/>
        </w:rPr>
        <w:t xml:space="preserve"> VET and higher education qualifications</w:t>
      </w:r>
      <w:r w:rsidR="00263D64">
        <w:rPr>
          <w:color w:val="auto"/>
        </w:rPr>
        <w:t xml:space="preserve"> are used</w:t>
      </w:r>
      <w:r w:rsidRPr="00F05A27">
        <w:rPr>
          <w:color w:val="auto"/>
        </w:rPr>
        <w:t>, diploma</w:t>
      </w:r>
      <w:r w:rsidR="00263D64">
        <w:rPr>
          <w:color w:val="auto"/>
        </w:rPr>
        <w:t>-</w:t>
      </w:r>
      <w:r w:rsidRPr="00F05A27">
        <w:rPr>
          <w:color w:val="auto"/>
        </w:rPr>
        <w:t>to</w:t>
      </w:r>
      <w:r w:rsidR="00263D64">
        <w:rPr>
          <w:color w:val="auto"/>
        </w:rPr>
        <w:t>-</w:t>
      </w:r>
      <w:r w:rsidRPr="00F05A27">
        <w:rPr>
          <w:color w:val="auto"/>
        </w:rPr>
        <w:t xml:space="preserve">degree pathways </w:t>
      </w:r>
      <w:r w:rsidR="001C291E">
        <w:rPr>
          <w:color w:val="auto"/>
        </w:rPr>
        <w:t xml:space="preserve">allow </w:t>
      </w:r>
      <w:r w:rsidRPr="00F05A27">
        <w:rPr>
          <w:color w:val="auto"/>
        </w:rPr>
        <w:t>learners to upskill in higher education, whil</w:t>
      </w:r>
      <w:r w:rsidR="00032E36">
        <w:rPr>
          <w:color w:val="auto"/>
        </w:rPr>
        <w:t>e</w:t>
      </w:r>
      <w:r w:rsidRPr="00F05A27">
        <w:rPr>
          <w:color w:val="auto"/>
        </w:rPr>
        <w:t xml:space="preserve"> remaining employed and gaining </w:t>
      </w:r>
      <w:r w:rsidR="00DD43BD">
        <w:rPr>
          <w:color w:val="auto"/>
        </w:rPr>
        <w:t xml:space="preserve">industry </w:t>
      </w:r>
      <w:r w:rsidRPr="00F05A27">
        <w:rPr>
          <w:color w:val="auto"/>
        </w:rPr>
        <w:t xml:space="preserve">experience (Wibrow 2022). </w:t>
      </w:r>
    </w:p>
    <w:p w14:paraId="77F27D9C" w14:textId="46295891" w:rsidR="00AE1AF7" w:rsidRPr="00F05A27" w:rsidRDefault="00F05A27" w:rsidP="00F05A27">
      <w:pPr>
        <w:rPr>
          <w:color w:val="auto"/>
        </w:rPr>
      </w:pPr>
      <w:r w:rsidRPr="00F05A27">
        <w:rPr>
          <w:color w:val="auto"/>
        </w:rPr>
        <w:t xml:space="preserve">Dual pathways can also </w:t>
      </w:r>
      <w:r w:rsidR="00DD43BD">
        <w:rPr>
          <w:color w:val="auto"/>
        </w:rPr>
        <w:t xml:space="preserve">provide </w:t>
      </w:r>
      <w:r w:rsidRPr="00F05A27">
        <w:rPr>
          <w:color w:val="auto"/>
        </w:rPr>
        <w:t xml:space="preserve">learners </w:t>
      </w:r>
      <w:r w:rsidR="00DD43BD">
        <w:rPr>
          <w:color w:val="auto"/>
        </w:rPr>
        <w:t xml:space="preserve">with the option </w:t>
      </w:r>
      <w:r w:rsidRPr="00F05A27">
        <w:rPr>
          <w:color w:val="auto"/>
        </w:rPr>
        <w:t xml:space="preserve">to exit early with </w:t>
      </w:r>
      <w:r w:rsidR="00DD43BD">
        <w:rPr>
          <w:color w:val="auto"/>
        </w:rPr>
        <w:t xml:space="preserve">a </w:t>
      </w:r>
      <w:r w:rsidRPr="00F05A27">
        <w:rPr>
          <w:color w:val="auto"/>
        </w:rPr>
        <w:t xml:space="preserve">VET qualification, </w:t>
      </w:r>
      <w:r w:rsidR="00DD43BD">
        <w:rPr>
          <w:color w:val="auto"/>
        </w:rPr>
        <w:t xml:space="preserve">offering </w:t>
      </w:r>
      <w:r w:rsidRPr="00F05A27">
        <w:rPr>
          <w:color w:val="auto"/>
        </w:rPr>
        <w:t>formal recognition</w:t>
      </w:r>
      <w:r w:rsidR="000D3107">
        <w:rPr>
          <w:color w:val="auto"/>
        </w:rPr>
        <w:t xml:space="preserve"> </w:t>
      </w:r>
      <w:r w:rsidR="009B3D43">
        <w:rPr>
          <w:color w:val="auto"/>
        </w:rPr>
        <w:t xml:space="preserve">they </w:t>
      </w:r>
      <w:r w:rsidR="00BB4767">
        <w:rPr>
          <w:color w:val="auto"/>
        </w:rPr>
        <w:t>might</w:t>
      </w:r>
      <w:r w:rsidR="000D3107">
        <w:rPr>
          <w:color w:val="auto"/>
        </w:rPr>
        <w:t xml:space="preserve"> otherwise not receive</w:t>
      </w:r>
      <w:r w:rsidR="003E044B">
        <w:rPr>
          <w:color w:val="auto"/>
        </w:rPr>
        <w:t xml:space="preserve"> beyond a transcript of units completed</w:t>
      </w:r>
      <w:r w:rsidRPr="00F05A27">
        <w:rPr>
          <w:color w:val="auto"/>
        </w:rPr>
        <w:t>. Nested</w:t>
      </w:r>
      <w:r w:rsidR="000D3107">
        <w:rPr>
          <w:color w:val="auto"/>
        </w:rPr>
        <w:t xml:space="preserve"> or </w:t>
      </w:r>
      <w:r w:rsidRPr="00F05A27">
        <w:rPr>
          <w:color w:val="auto"/>
        </w:rPr>
        <w:t xml:space="preserve">exit qualifications </w:t>
      </w:r>
      <w:r w:rsidR="000D3107">
        <w:rPr>
          <w:color w:val="auto"/>
        </w:rPr>
        <w:t xml:space="preserve">can </w:t>
      </w:r>
      <w:r w:rsidRPr="00F05A27">
        <w:rPr>
          <w:color w:val="auto"/>
        </w:rPr>
        <w:t>help those exiting early have their study recognised</w:t>
      </w:r>
      <w:r w:rsidR="008F35DB">
        <w:rPr>
          <w:color w:val="auto"/>
        </w:rPr>
        <w:t xml:space="preserve"> and </w:t>
      </w:r>
      <w:r w:rsidRPr="00F05A27">
        <w:rPr>
          <w:color w:val="auto"/>
        </w:rPr>
        <w:t>can attract learners</w:t>
      </w:r>
      <w:r w:rsidR="005C2C7D">
        <w:rPr>
          <w:color w:val="auto"/>
        </w:rPr>
        <w:t xml:space="preserve"> by offering a structured entry point </w:t>
      </w:r>
      <w:r w:rsidRPr="00F05A27">
        <w:rPr>
          <w:color w:val="auto"/>
        </w:rPr>
        <w:t>into higher education (Hodge and Knight 2021</w:t>
      </w:r>
      <w:r w:rsidR="004742A8">
        <w:rPr>
          <w:color w:val="auto"/>
        </w:rPr>
        <w:t>a</w:t>
      </w:r>
      <w:r w:rsidRPr="00D353D1">
        <w:rPr>
          <w:color w:val="auto"/>
        </w:rPr>
        <w:t>).</w:t>
      </w:r>
    </w:p>
    <w:p w14:paraId="4939CAA3" w14:textId="6D570A05" w:rsidR="00F05A27" w:rsidRDefault="00A725F9" w:rsidP="3A7ED23E">
      <w:pPr>
        <w:rPr>
          <w:color w:val="auto"/>
        </w:rPr>
      </w:pPr>
      <w:r>
        <w:t>Cost is a</w:t>
      </w:r>
      <w:r w:rsidR="00F05A27">
        <w:t xml:space="preserve"> key</w:t>
      </w:r>
      <w:r w:rsidR="00B8777A">
        <w:t xml:space="preserve"> </w:t>
      </w:r>
      <w:r w:rsidR="00F05A27">
        <w:t xml:space="preserve">barrier to tertiary education, including the cost of fees </w:t>
      </w:r>
      <w:r w:rsidR="00B8777A">
        <w:t xml:space="preserve">and </w:t>
      </w:r>
      <w:r w:rsidR="00F05A27">
        <w:t xml:space="preserve">the opportunity cost of </w:t>
      </w:r>
      <w:r w:rsidR="00B8777A">
        <w:t>study</w:t>
      </w:r>
      <w:r w:rsidR="007F3982">
        <w:t xml:space="preserve"> compared to work</w:t>
      </w:r>
      <w:r w:rsidR="00B8777A">
        <w:t>. These</w:t>
      </w:r>
      <w:r w:rsidR="00F05A27">
        <w:t xml:space="preserve"> burden</w:t>
      </w:r>
      <w:r w:rsidR="00B8777A">
        <w:t>s are often greater for learners from</w:t>
      </w:r>
      <w:r w:rsidR="00F05A27">
        <w:t xml:space="preserve"> lower socio</w:t>
      </w:r>
      <w:r w:rsidR="00F85844">
        <w:t>-</w:t>
      </w:r>
      <w:r w:rsidR="00F05A27">
        <w:t xml:space="preserve">economic </w:t>
      </w:r>
      <w:r w:rsidR="00B8777A">
        <w:t>backgrounds</w:t>
      </w:r>
      <w:r w:rsidR="00F05A27">
        <w:t xml:space="preserve">. </w:t>
      </w:r>
      <w:r w:rsidR="000658C7">
        <w:t>Higher-level apprenticeship</w:t>
      </w:r>
      <w:r w:rsidR="00B8777A">
        <w:t>s</w:t>
      </w:r>
      <w:r w:rsidR="000658C7">
        <w:t xml:space="preserve"> </w:t>
      </w:r>
      <w:r w:rsidR="00B8777A">
        <w:t xml:space="preserve">can provide </w:t>
      </w:r>
      <w:r w:rsidR="000658C7">
        <w:t xml:space="preserve">a way to </w:t>
      </w:r>
      <w:r w:rsidR="00B8777A">
        <w:t xml:space="preserve">reduce </w:t>
      </w:r>
      <w:r w:rsidR="000658C7">
        <w:t>the financial disincentives associated with degree</w:t>
      </w:r>
      <w:r w:rsidR="00B8777A">
        <w:t xml:space="preserve">-level study, </w:t>
      </w:r>
      <w:r w:rsidR="000658C7">
        <w:t>whil</w:t>
      </w:r>
      <w:r w:rsidR="00B8777A">
        <w:t>e</w:t>
      </w:r>
      <w:r w:rsidR="000658C7">
        <w:t xml:space="preserve"> giving learners experience in their field for much longer than their equivalent graduates. </w:t>
      </w:r>
      <w:r w:rsidR="006D6DD4">
        <w:t>H</w:t>
      </w:r>
      <w:r w:rsidR="00967339">
        <w:t>igher-level</w:t>
      </w:r>
      <w:r w:rsidR="00F05A27">
        <w:t xml:space="preserve"> apprenticeships </w:t>
      </w:r>
      <w:r w:rsidR="0072592F">
        <w:t>may encourage participation in d</w:t>
      </w:r>
      <w:r w:rsidR="00967339">
        <w:t>iploma</w:t>
      </w:r>
      <w:r w:rsidR="0072592F">
        <w:t>-</w:t>
      </w:r>
      <w:r w:rsidR="00967339">
        <w:t xml:space="preserve"> </w:t>
      </w:r>
      <w:r w:rsidR="0072592F">
        <w:t>and</w:t>
      </w:r>
      <w:r w:rsidR="00967339">
        <w:t xml:space="preserve"> bachelor-level </w:t>
      </w:r>
      <w:r w:rsidR="00F05A27">
        <w:t>qualifications. Many learners work part- or full-time whil</w:t>
      </w:r>
      <w:r w:rsidR="004E5C57">
        <w:t>e</w:t>
      </w:r>
      <w:r w:rsidR="00F05A27">
        <w:t xml:space="preserve"> </w:t>
      </w:r>
      <w:r w:rsidR="00F05A27" w:rsidRPr="3A7ED23E">
        <w:rPr>
          <w:color w:val="auto"/>
        </w:rPr>
        <w:t xml:space="preserve">studying due to financial necessity (Brosnan et al. 2023), and </w:t>
      </w:r>
      <w:r w:rsidR="00967339" w:rsidRPr="3A7ED23E">
        <w:rPr>
          <w:color w:val="auto"/>
        </w:rPr>
        <w:t>higher-level</w:t>
      </w:r>
      <w:r w:rsidR="00F05A27" w:rsidRPr="3A7ED23E">
        <w:rPr>
          <w:color w:val="auto"/>
        </w:rPr>
        <w:t xml:space="preserve"> apprenticeships provide a </w:t>
      </w:r>
      <w:r w:rsidR="004E5C57" w:rsidRPr="3A7ED23E">
        <w:rPr>
          <w:color w:val="auto"/>
        </w:rPr>
        <w:t xml:space="preserve">structured way to </w:t>
      </w:r>
      <w:r w:rsidR="00F05A27" w:rsidRPr="3A7ED23E">
        <w:rPr>
          <w:color w:val="auto"/>
        </w:rPr>
        <w:t>combine the two.</w:t>
      </w:r>
      <w:r w:rsidR="009F1B59" w:rsidRPr="3A7ED23E">
        <w:rPr>
          <w:color w:val="auto"/>
        </w:rPr>
        <w:t xml:space="preserve"> </w:t>
      </w:r>
    </w:p>
    <w:p w14:paraId="5C7E3A2A" w14:textId="79039513" w:rsidR="004D17E2" w:rsidRDefault="006E53C8" w:rsidP="3A7ED23E">
      <w:r>
        <w:rPr>
          <w:color w:val="auto"/>
        </w:rPr>
        <w:t xml:space="preserve">These new models may also entice young people to engage with tertiary education and work. </w:t>
      </w:r>
      <w:r w:rsidR="00CD3146">
        <w:rPr>
          <w:color w:val="auto"/>
        </w:rPr>
        <w:t>In 2025, 8% of young people aged 15-24 years were not engaged in work or study</w:t>
      </w:r>
      <w:r w:rsidR="00FB71CB">
        <w:rPr>
          <w:color w:val="auto"/>
        </w:rPr>
        <w:t xml:space="preserve"> (ABS 202</w:t>
      </w:r>
      <w:r w:rsidR="00AE1AF7">
        <w:rPr>
          <w:color w:val="auto"/>
        </w:rPr>
        <w:t>5</w:t>
      </w:r>
      <w:r w:rsidR="00FB71CB">
        <w:rPr>
          <w:color w:val="auto"/>
        </w:rPr>
        <w:t>). Longer periods of disengagement are associated with</w:t>
      </w:r>
      <w:r w:rsidR="00F83ED1">
        <w:rPr>
          <w:color w:val="auto"/>
        </w:rPr>
        <w:t xml:space="preserve"> poorer outcomes</w:t>
      </w:r>
      <w:r w:rsidR="001F7BBB">
        <w:rPr>
          <w:color w:val="auto"/>
        </w:rPr>
        <w:t>, such as long-term unemployment, underemployment and insecure work (Dawkins</w:t>
      </w:r>
      <w:r w:rsidR="00605AD4">
        <w:rPr>
          <w:color w:val="auto"/>
        </w:rPr>
        <w:t xml:space="preserve"> et al. 2020). </w:t>
      </w:r>
      <w:r w:rsidR="002B3B2F">
        <w:rPr>
          <w:color w:val="auto"/>
        </w:rPr>
        <w:t>Analysis of</w:t>
      </w:r>
      <w:r w:rsidR="006E0466">
        <w:rPr>
          <w:color w:val="auto"/>
        </w:rPr>
        <w:t xml:space="preserve"> LSAY data</w:t>
      </w:r>
      <w:r w:rsidR="002B3B2F">
        <w:rPr>
          <w:color w:val="auto"/>
        </w:rPr>
        <w:t xml:space="preserve"> showed that although females were </w:t>
      </w:r>
      <w:r w:rsidR="00335781">
        <w:rPr>
          <w:color w:val="auto"/>
        </w:rPr>
        <w:t xml:space="preserve">more likely to experience </w:t>
      </w:r>
      <w:r w:rsidR="00E72B4D">
        <w:rPr>
          <w:color w:val="auto"/>
        </w:rPr>
        <w:t>persistent</w:t>
      </w:r>
      <w:r w:rsidR="00234EAB">
        <w:rPr>
          <w:color w:val="auto"/>
        </w:rPr>
        <w:t xml:space="preserve"> periods of NEET</w:t>
      </w:r>
      <w:r w:rsidR="006E0466">
        <w:rPr>
          <w:color w:val="auto"/>
        </w:rPr>
        <w:t xml:space="preserve"> from age 15-24</w:t>
      </w:r>
      <w:r w:rsidR="00B63C4B">
        <w:rPr>
          <w:color w:val="auto"/>
        </w:rPr>
        <w:t xml:space="preserve">, in that period they were </w:t>
      </w:r>
      <w:r w:rsidR="002B566B">
        <w:rPr>
          <w:color w:val="auto"/>
        </w:rPr>
        <w:t>generally engaging in home duties or looking after children</w:t>
      </w:r>
      <w:r w:rsidR="00492579">
        <w:rPr>
          <w:color w:val="auto"/>
        </w:rPr>
        <w:t xml:space="preserve"> – choosing to be not in the labour force</w:t>
      </w:r>
      <w:r w:rsidR="0056105D">
        <w:rPr>
          <w:color w:val="auto"/>
        </w:rPr>
        <w:t>. On the other hand,</w:t>
      </w:r>
      <w:r w:rsidR="00234EAB">
        <w:rPr>
          <w:color w:val="auto"/>
        </w:rPr>
        <w:t xml:space="preserve"> male respondents were </w:t>
      </w:r>
      <w:r w:rsidR="0056105D">
        <w:rPr>
          <w:color w:val="auto"/>
        </w:rPr>
        <w:t xml:space="preserve">less likely to experience periods of NEET but were </w:t>
      </w:r>
      <w:r w:rsidR="00234EAB">
        <w:rPr>
          <w:color w:val="auto"/>
        </w:rPr>
        <w:t xml:space="preserve">more likely to </w:t>
      </w:r>
      <w:r w:rsidR="0056105D">
        <w:rPr>
          <w:color w:val="auto"/>
        </w:rPr>
        <w:t>be unemploy</w:t>
      </w:r>
      <w:r w:rsidR="001322A3">
        <w:rPr>
          <w:color w:val="auto"/>
        </w:rPr>
        <w:t>ed (S</w:t>
      </w:r>
      <w:r w:rsidR="00984EA1">
        <w:rPr>
          <w:color w:val="auto"/>
        </w:rPr>
        <w:t>tan</w:t>
      </w:r>
      <w:r w:rsidR="001322A3">
        <w:rPr>
          <w:color w:val="auto"/>
        </w:rPr>
        <w:t>wick 2017).</w:t>
      </w:r>
    </w:p>
    <w:p w14:paraId="445D8217" w14:textId="334410B4" w:rsidR="008C26F1" w:rsidRPr="00F05A27" w:rsidRDefault="000C2286" w:rsidP="3A7ED23E">
      <w:pPr>
        <w:rPr>
          <w:color w:val="auto"/>
        </w:rPr>
      </w:pPr>
      <w:r>
        <w:t>Degree apprenticeships, and other work-integrated learning models such as cadetships,</w:t>
      </w:r>
      <w:r w:rsidR="006F600B">
        <w:rPr>
          <w:color w:val="auto"/>
        </w:rPr>
        <w:t xml:space="preserve"> may be particularly helpful in </w:t>
      </w:r>
      <w:r w:rsidR="00CD58C9">
        <w:rPr>
          <w:color w:val="auto"/>
        </w:rPr>
        <w:t>re-</w:t>
      </w:r>
      <w:r w:rsidR="006F600B">
        <w:rPr>
          <w:color w:val="auto"/>
        </w:rPr>
        <w:t>engaging young men</w:t>
      </w:r>
      <w:r w:rsidR="00CD58C9">
        <w:rPr>
          <w:color w:val="auto"/>
        </w:rPr>
        <w:t>.</w:t>
      </w:r>
      <w:r w:rsidR="006F600B">
        <w:rPr>
          <w:color w:val="auto"/>
        </w:rPr>
        <w:t xml:space="preserve"> </w:t>
      </w:r>
      <w:r w:rsidR="00CD58C9">
        <w:rPr>
          <w:color w:val="auto"/>
        </w:rPr>
        <w:t>Y</w:t>
      </w:r>
      <w:r w:rsidR="006F600B">
        <w:t>oung men from low socio-economic status backgrounds tend to be more interested in apprenticeships and traineeships due to the possibility of greater earnings at a younger age (Stahl et al. 2025).</w:t>
      </w:r>
      <w:r w:rsidR="00A51C19">
        <w:t xml:space="preserve"> Th</w:t>
      </w:r>
      <w:r w:rsidR="00CD58C9">
        <w:t>ese models</w:t>
      </w:r>
      <w:r w:rsidR="00A51C19">
        <w:t xml:space="preserve"> could also support young people to join the ‘job ladder’ in their desired career, offering them a way to build experience, earn money and study at the same time – which may help young people to overcome the potential negative impacts of experiencing persistent NEET (Dawkins et al. 2020).</w:t>
      </w:r>
      <w:r w:rsidR="00A51C19">
        <w:rPr>
          <w:color w:val="auto"/>
        </w:rPr>
        <w:t xml:space="preserve"> </w:t>
      </w:r>
    </w:p>
    <w:p w14:paraId="5F4AB6B1" w14:textId="648BDB6A" w:rsidR="00FD24C5" w:rsidRDefault="00F05A27" w:rsidP="00FD24C5">
      <w:r w:rsidRPr="00F05A27">
        <w:t>Apprentices and trainees are likely to earn more, have higher rates of full-time employment, and report higher levels of job satisfaction than other groups at age 25 (Hurley et al. 2021). Compared to general VET students, apprentices and trainees tend to have better completion rates in their field of education (JSA</w:t>
      </w:r>
      <w:r w:rsidR="00E61C29">
        <w:t> </w:t>
      </w:r>
      <w:r w:rsidRPr="00D353D1">
        <w:t>2025</w:t>
      </w:r>
      <w:r w:rsidR="00460C0D">
        <w:t>b</w:t>
      </w:r>
      <w:r w:rsidR="000F7B40" w:rsidRPr="00D353D1">
        <w:t>)</w:t>
      </w:r>
      <w:r w:rsidRPr="00D353D1">
        <w:t>.</w:t>
      </w:r>
      <w:r w:rsidR="00F229D3">
        <w:t xml:space="preserve"> </w:t>
      </w:r>
      <w:r w:rsidR="005D5AA4">
        <w:t xml:space="preserve">At the same time, </w:t>
      </w:r>
      <w:r w:rsidR="00F229D3">
        <w:t>low wages during training</w:t>
      </w:r>
      <w:r w:rsidR="005D5AA4">
        <w:t xml:space="preserve"> are a commonly cited</w:t>
      </w:r>
      <w:r w:rsidR="00F229D3">
        <w:t xml:space="preserve"> </w:t>
      </w:r>
      <w:r w:rsidR="005D5AA4">
        <w:t xml:space="preserve">concern and can deter learners from </w:t>
      </w:r>
      <w:r w:rsidR="000B6A80">
        <w:t>enter</w:t>
      </w:r>
      <w:r w:rsidR="006F0B77">
        <w:t>ing</w:t>
      </w:r>
      <w:r w:rsidR="000B6A80">
        <w:t xml:space="preserve"> apprenticeship</w:t>
      </w:r>
      <w:r w:rsidR="00B90394">
        <w:t>s</w:t>
      </w:r>
      <w:r w:rsidR="000B6A80">
        <w:t xml:space="preserve"> (DEWR 2024b).</w:t>
      </w:r>
      <w:r w:rsidR="00CC0ED2">
        <w:t xml:space="preserve"> These low wages can </w:t>
      </w:r>
      <w:r w:rsidR="00C34A20">
        <w:t xml:space="preserve">affect </w:t>
      </w:r>
      <w:r w:rsidR="00CC0ED2">
        <w:t>living conditions, job satisfaction</w:t>
      </w:r>
      <w:r w:rsidR="009D32BE">
        <w:t xml:space="preserve"> and attrition, </w:t>
      </w:r>
      <w:r w:rsidR="00C34A20">
        <w:t>al</w:t>
      </w:r>
      <w:r w:rsidR="009D32BE">
        <w:t>though wage</w:t>
      </w:r>
      <w:r w:rsidR="00C34A20">
        <w:t xml:space="preserve"> outcomes</w:t>
      </w:r>
      <w:r w:rsidR="009D32BE">
        <w:t xml:space="preserve"> upon completion are relatively high (DEWR 2024b).</w:t>
      </w:r>
    </w:p>
    <w:p w14:paraId="61659012" w14:textId="19B44487" w:rsidR="00F05A27" w:rsidRPr="00F05A27" w:rsidRDefault="0023593F" w:rsidP="00F6716F">
      <w:r>
        <w:t xml:space="preserve">While </w:t>
      </w:r>
      <w:r w:rsidR="00F71490">
        <w:t xml:space="preserve">earnings associated with </w:t>
      </w:r>
      <w:r w:rsidR="002F6877">
        <w:t xml:space="preserve">higher-level apprenticeships </w:t>
      </w:r>
      <w:r w:rsidR="00F71490">
        <w:t xml:space="preserve">could </w:t>
      </w:r>
      <w:r>
        <w:t xml:space="preserve">help </w:t>
      </w:r>
      <w:r w:rsidR="00F71490">
        <w:t>widen participation, e</w:t>
      </w:r>
      <w:r w:rsidR="00F05A27" w:rsidRPr="00F05A27">
        <w:t xml:space="preserve">xperience </w:t>
      </w:r>
      <w:r>
        <w:t xml:space="preserve">in </w:t>
      </w:r>
      <w:r w:rsidR="00F05A27" w:rsidRPr="00F05A27">
        <w:t>the U</w:t>
      </w:r>
      <w:r w:rsidR="006E640F">
        <w:t xml:space="preserve">nited </w:t>
      </w:r>
      <w:r w:rsidR="00F05A27" w:rsidRPr="00F05A27">
        <w:t>K</w:t>
      </w:r>
      <w:r w:rsidR="006E640F">
        <w:t>ingdom</w:t>
      </w:r>
      <w:r w:rsidR="00F05A27" w:rsidRPr="00F05A27">
        <w:t xml:space="preserve"> does not </w:t>
      </w:r>
      <w:r>
        <w:t xml:space="preserve">show strong </w:t>
      </w:r>
      <w:r w:rsidR="00F05A27" w:rsidRPr="00F05A27">
        <w:t>gains in widening participation through degree apprenticeships</w:t>
      </w:r>
      <w:r w:rsidR="00F71490">
        <w:t>. T</w:t>
      </w:r>
      <w:r w:rsidR="00F05A27" w:rsidRPr="00F05A27">
        <w:t xml:space="preserve">he </w:t>
      </w:r>
      <w:r w:rsidR="00274785">
        <w:t xml:space="preserve">socio-economic background </w:t>
      </w:r>
      <w:r w:rsidR="00F05A27" w:rsidRPr="00F05A27">
        <w:t>of</w:t>
      </w:r>
      <w:r w:rsidR="00D844AB">
        <w:t xml:space="preserve"> </w:t>
      </w:r>
      <w:r w:rsidR="00F05A27" w:rsidRPr="00F05A27">
        <w:t xml:space="preserve">degree apprenticeship </w:t>
      </w:r>
      <w:r w:rsidR="00B80170">
        <w:t xml:space="preserve">learners </w:t>
      </w:r>
      <w:r w:rsidR="007B1D1F">
        <w:t>is</w:t>
      </w:r>
      <w:r w:rsidR="00C050D1">
        <w:t xml:space="preserve"> </w:t>
      </w:r>
      <w:r w:rsidR="00862F6D">
        <w:t xml:space="preserve">similar to </w:t>
      </w:r>
      <w:r w:rsidR="002B0EA1">
        <w:t xml:space="preserve">that of higher education learners generally, </w:t>
      </w:r>
      <w:r w:rsidR="00274785">
        <w:t>whereas</w:t>
      </w:r>
      <w:r w:rsidR="00F05A27" w:rsidRPr="00F05A27">
        <w:t xml:space="preserve"> </w:t>
      </w:r>
      <w:r w:rsidR="00D97971">
        <w:t>traditional</w:t>
      </w:r>
      <w:r w:rsidR="00F05A27" w:rsidRPr="00F05A27">
        <w:t xml:space="preserve"> apprenticeships </w:t>
      </w:r>
      <w:r w:rsidR="00D97971">
        <w:t>attract more learners</w:t>
      </w:r>
      <w:r w:rsidR="002058DC">
        <w:t xml:space="preserve"> from </w:t>
      </w:r>
      <w:r w:rsidR="001D6501">
        <w:t>communities</w:t>
      </w:r>
      <w:r w:rsidR="00C050D1">
        <w:t xml:space="preserve"> </w:t>
      </w:r>
      <w:r w:rsidR="000B2B3C">
        <w:t>with</w:t>
      </w:r>
      <w:r w:rsidR="00C050D1">
        <w:t xml:space="preserve"> lower participation in tertiary education</w:t>
      </w:r>
      <w:r w:rsidR="002058DC">
        <w:t xml:space="preserve"> </w:t>
      </w:r>
      <w:r w:rsidR="00F05A27" w:rsidRPr="00F05A27">
        <w:t xml:space="preserve">(Cullinane and Doherty 2020). One of the barriers identified is that degree apprenticeships have high </w:t>
      </w:r>
      <w:r w:rsidR="009A0680">
        <w:t xml:space="preserve">academic </w:t>
      </w:r>
      <w:r w:rsidR="00F05A27" w:rsidRPr="00F05A27">
        <w:t xml:space="preserve">entry requirements </w:t>
      </w:r>
      <w:r w:rsidR="004E2B54">
        <w:t>and</w:t>
      </w:r>
      <w:r w:rsidR="00F05A27" w:rsidRPr="00F05A27">
        <w:t xml:space="preserve"> additional application and interview</w:t>
      </w:r>
      <w:r w:rsidR="00B002A5">
        <w:t xml:space="preserve"> processes, </w:t>
      </w:r>
      <w:r w:rsidR="00F05A27" w:rsidRPr="00F05A27">
        <w:t xml:space="preserve">where employers note disadvantaged </w:t>
      </w:r>
      <w:r w:rsidR="00B002A5">
        <w:t>learners may be less competitive</w:t>
      </w:r>
      <w:r w:rsidR="00F05A27" w:rsidRPr="00F05A27">
        <w:t xml:space="preserve"> (Cullinane and Doherty 2020). High demand from learners compared to the places available amongst employers mean employers can afford to be selective, which can further limit opportunity for disadvantaged </w:t>
      </w:r>
      <w:r w:rsidR="00981C44">
        <w:t>learners</w:t>
      </w:r>
      <w:r w:rsidR="00F05A27" w:rsidRPr="00F05A27">
        <w:t xml:space="preserve"> who are less likely to have the support in </w:t>
      </w:r>
      <w:r w:rsidR="00981C44">
        <w:t xml:space="preserve">preparing </w:t>
      </w:r>
      <w:r w:rsidR="00F05A27" w:rsidRPr="00F05A27">
        <w:t xml:space="preserve">applications or </w:t>
      </w:r>
      <w:r w:rsidR="008932B4">
        <w:t>have as</w:t>
      </w:r>
      <w:r w:rsidR="002F1580">
        <w:t xml:space="preserve"> </w:t>
      </w:r>
      <w:r w:rsidR="00F05A27" w:rsidRPr="00F05A27">
        <w:t>high academic results (Cullinane and Doherty 2020</w:t>
      </w:r>
      <w:r w:rsidR="00F05A27" w:rsidRPr="00D353D1">
        <w:t xml:space="preserve">). </w:t>
      </w:r>
      <w:r w:rsidR="000B411A">
        <w:t xml:space="preserve">This suggests that </w:t>
      </w:r>
      <w:r w:rsidR="00536ED8">
        <w:t xml:space="preserve">if similar models were scaled in Australia, </w:t>
      </w:r>
      <w:r w:rsidR="0061525D">
        <w:t xml:space="preserve">targeted </w:t>
      </w:r>
      <w:r w:rsidR="00175A4A">
        <w:t>support</w:t>
      </w:r>
      <w:r w:rsidR="007500C1">
        <w:t xml:space="preserve">, </w:t>
      </w:r>
      <w:r w:rsidR="00035707">
        <w:t xml:space="preserve">such as interview </w:t>
      </w:r>
      <w:r w:rsidR="00805D22">
        <w:t>preparation and application assistance</w:t>
      </w:r>
      <w:r w:rsidR="007500C1">
        <w:t>,</w:t>
      </w:r>
      <w:r w:rsidR="00035707">
        <w:t xml:space="preserve"> </w:t>
      </w:r>
      <w:r w:rsidR="00D304EB">
        <w:t>could help</w:t>
      </w:r>
      <w:r w:rsidR="000B411A">
        <w:t xml:space="preserve"> engage learners from underrepresented cohorts </w:t>
      </w:r>
      <w:r w:rsidR="002F1580">
        <w:t xml:space="preserve">in </w:t>
      </w:r>
      <w:r w:rsidR="0031606E">
        <w:t>these opportunities</w:t>
      </w:r>
      <w:r w:rsidR="00D304EB">
        <w:t>.</w:t>
      </w:r>
      <w:r w:rsidR="00362148">
        <w:t xml:space="preserve"> </w:t>
      </w:r>
    </w:p>
    <w:p w14:paraId="26713A8E" w14:textId="7A674291" w:rsidR="00F05A27" w:rsidRPr="00F05A27" w:rsidRDefault="00F05A27" w:rsidP="002320D2">
      <w:pPr>
        <w:pStyle w:val="Heading4"/>
      </w:pPr>
      <w:r w:rsidRPr="00F05A27">
        <w:t xml:space="preserve">Filling the gaps between theory and practice </w:t>
      </w:r>
    </w:p>
    <w:p w14:paraId="3610379D" w14:textId="33B5C00B" w:rsidR="009614BD" w:rsidRDefault="00F05A27" w:rsidP="00F05A27">
      <w:r w:rsidRPr="00F05A27">
        <w:t xml:space="preserve">Learners could benefit from </w:t>
      </w:r>
      <w:r w:rsidR="00BC1359">
        <w:t xml:space="preserve">dual sector models </w:t>
      </w:r>
      <w:r w:rsidRPr="00F05A27">
        <w:t>th</w:t>
      </w:r>
      <w:r w:rsidR="00BC1359">
        <w:t>at</w:t>
      </w:r>
      <w:r w:rsidRPr="00F05A27">
        <w:t xml:space="preserve"> combine technical and transferable skills to build contemporary skills and knowledge. Whil</w:t>
      </w:r>
      <w:r w:rsidR="00BC1359">
        <w:t>e</w:t>
      </w:r>
      <w:r w:rsidRPr="00F05A27">
        <w:t xml:space="preserve"> employers </w:t>
      </w:r>
      <w:r w:rsidR="00BC1359">
        <w:t xml:space="preserve">report </w:t>
      </w:r>
      <w:r w:rsidRPr="00F05A27">
        <w:t>high</w:t>
      </w:r>
      <w:r w:rsidR="00A278C4">
        <w:t xml:space="preserve"> overall</w:t>
      </w:r>
      <w:r w:rsidRPr="00F05A27">
        <w:t xml:space="preserve"> satisf</w:t>
      </w:r>
      <w:r w:rsidR="00A278C4">
        <w:t>action</w:t>
      </w:r>
      <w:r w:rsidRPr="00F05A27">
        <w:t xml:space="preserve"> with their higher education graduates – with direct supervisors’ overall satisfaction rated at 85.5% in the 2024 Employer Satisfaction Survey (QILT 2025)</w:t>
      </w:r>
      <w:r w:rsidR="00A200DC">
        <w:t>,</w:t>
      </w:r>
      <w:r w:rsidRPr="00F05A27">
        <w:t xml:space="preserve"> employability skills such as working under pressure </w:t>
      </w:r>
      <w:r w:rsidR="003734B9">
        <w:t xml:space="preserve">and </w:t>
      </w:r>
      <w:r w:rsidRPr="00F05A27">
        <w:t xml:space="preserve">leadership and management skills, were rated the lowest. Employability skills were </w:t>
      </w:r>
      <w:r w:rsidR="00A200DC">
        <w:t xml:space="preserve">also </w:t>
      </w:r>
      <w:r w:rsidRPr="00F05A27">
        <w:t xml:space="preserve">the most likely to be identified as areas in which the qualification could be improved, identified by 38.2% of supervisors. JSA analysis on skills shortages has found </w:t>
      </w:r>
      <w:r w:rsidR="0051170A">
        <w:t>that</w:t>
      </w:r>
      <w:r w:rsidRPr="00F05A27">
        <w:t xml:space="preserve"> </w:t>
      </w:r>
      <w:r w:rsidR="009C4312">
        <w:t xml:space="preserve">suitability gaps </w:t>
      </w:r>
      <w:r w:rsidR="0066355C">
        <w:t xml:space="preserve">– </w:t>
      </w:r>
      <w:r w:rsidR="005427C6">
        <w:t xml:space="preserve">where applicants </w:t>
      </w:r>
      <w:r w:rsidR="00356883">
        <w:t xml:space="preserve">hold the required qualifications but lack job-specific or contextual skills </w:t>
      </w:r>
      <w:r w:rsidR="001F4972">
        <w:t xml:space="preserve">– </w:t>
      </w:r>
      <w:r w:rsidR="001C2500">
        <w:t>were</w:t>
      </w:r>
      <w:r w:rsidR="009C4312">
        <w:t xml:space="preserve"> most</w:t>
      </w:r>
      <w:r w:rsidR="001C2500">
        <w:t>ly seen in engineering roles</w:t>
      </w:r>
      <w:r w:rsidR="009C4312">
        <w:t xml:space="preserve"> in the professionals major occupation group </w:t>
      </w:r>
      <w:r w:rsidRPr="00F05A27">
        <w:t xml:space="preserve">(JSA </w:t>
      </w:r>
      <w:r w:rsidRPr="00D353D1">
        <w:t>2025</w:t>
      </w:r>
      <w:r w:rsidR="00975529">
        <w:t>b</w:t>
      </w:r>
      <w:r w:rsidRPr="00D353D1">
        <w:t>).</w:t>
      </w:r>
      <w:r w:rsidR="00864D30">
        <w:t xml:space="preserve"> </w:t>
      </w:r>
    </w:p>
    <w:p w14:paraId="6ED4C704" w14:textId="153933C3" w:rsidR="00D87D84" w:rsidRDefault="00F40252" w:rsidP="00F05A27">
      <w:r>
        <w:t xml:space="preserve">Some concerns have been raised about </w:t>
      </w:r>
      <w:r w:rsidR="00BF4F71">
        <w:t>individual higher education graduates having a</w:t>
      </w:r>
      <w:r>
        <w:t xml:space="preserve"> gap between theory and practice</w:t>
      </w:r>
      <w:r w:rsidR="00697C7D">
        <w:t xml:space="preserve"> </w:t>
      </w:r>
      <w:r w:rsidR="00BF4F71">
        <w:t>(Whannell et al. 2015), and a</w:t>
      </w:r>
      <w:r w:rsidR="00FA32C8">
        <w:t xml:space="preserve">t </w:t>
      </w:r>
      <w:r w:rsidR="00F55179">
        <w:t>an</w:t>
      </w:r>
      <w:r w:rsidR="00FA32C8">
        <w:t xml:space="preserve"> industry-wide level, with a </w:t>
      </w:r>
      <w:r w:rsidR="00407ABC">
        <w:t>growing</w:t>
      </w:r>
      <w:r w:rsidR="00F05A27" w:rsidRPr="00F05A27">
        <w:t xml:space="preserve"> need for higher-skilled technicians </w:t>
      </w:r>
      <w:r w:rsidR="00FA32C8">
        <w:t>in sectors such as</w:t>
      </w:r>
      <w:r w:rsidR="00FA32C8" w:rsidRPr="00F05A27">
        <w:t xml:space="preserve"> </w:t>
      </w:r>
      <w:r w:rsidR="00F05A27" w:rsidRPr="00F05A27">
        <w:t>manufacturing (NCVER 2019</w:t>
      </w:r>
      <w:r w:rsidR="006C5AC3">
        <w:t>).</w:t>
      </w:r>
      <w:r w:rsidR="001759D4">
        <w:t xml:space="preserve"> Work-integrated learning models, including </w:t>
      </w:r>
      <w:r w:rsidR="00EC03CB">
        <w:t xml:space="preserve">apprenticeships, placements, internships and cadetships, is a mechanism to build these employability skills (Wheeldon et al. </w:t>
      </w:r>
      <w:r w:rsidR="008404DC">
        <w:t xml:space="preserve">2023). </w:t>
      </w:r>
      <w:r w:rsidR="006E52CE">
        <w:t xml:space="preserve">Students who undertake high-quality work-integrated learning opportunities </w:t>
      </w:r>
      <w:r w:rsidR="00FE5502">
        <w:t xml:space="preserve">can gain more skills and knowledge for their </w:t>
      </w:r>
      <w:r w:rsidR="00231654">
        <w:t>profession and</w:t>
      </w:r>
      <w:r w:rsidR="00FE5502">
        <w:t xml:space="preserve"> is an important way to students to connect with industry (Wheeldon et al. 2023). </w:t>
      </w:r>
      <w:r w:rsidR="002702F2">
        <w:t xml:space="preserve">More broadly, industry engagement </w:t>
      </w:r>
      <w:r w:rsidR="009C386A">
        <w:t xml:space="preserve">can help ensure students </w:t>
      </w:r>
      <w:r w:rsidR="00F34F05">
        <w:t>are best prepared for their career</w:t>
      </w:r>
      <w:r w:rsidR="009726A3">
        <w:t xml:space="preserve">. </w:t>
      </w:r>
      <w:r w:rsidR="00210502">
        <w:t>Industry</w:t>
      </w:r>
      <w:r w:rsidR="009726A3">
        <w:t xml:space="preserve"> engagement is a strength of the VET sector, with training packages designed with significant industry involvement through Jobs and Skills Councils</w:t>
      </w:r>
      <w:r w:rsidR="00A06139">
        <w:t xml:space="preserve"> (</w:t>
      </w:r>
      <w:r w:rsidR="002633A7">
        <w:t>JSA 2025d</w:t>
      </w:r>
      <w:r w:rsidR="00A06139">
        <w:t>). In higher education, partnerships are more individualised</w:t>
      </w:r>
      <w:r w:rsidR="007B305D">
        <w:t>, with</w:t>
      </w:r>
      <w:r w:rsidR="002633A7">
        <w:t xml:space="preserve"> greater</w:t>
      </w:r>
      <w:r w:rsidR="007B305D">
        <w:t xml:space="preserve"> opportunity for growth. </w:t>
      </w:r>
    </w:p>
    <w:p w14:paraId="0F33C70C" w14:textId="02C3C018" w:rsidR="00F05A27" w:rsidRDefault="00232EFF" w:rsidP="00F05A27">
      <w:r w:rsidRPr="00232EFF">
        <w:t xml:space="preserve">The Higher-Level Apprenticeships Working </w:t>
      </w:r>
      <w:r w:rsidR="00DA7E2C" w:rsidRPr="00232EFF">
        <w:t xml:space="preserve">Group </w:t>
      </w:r>
      <w:r w:rsidR="00DA7E2C" w:rsidRPr="000B3744">
        <w:t>–</w:t>
      </w:r>
      <w:r w:rsidR="000B3744" w:rsidRPr="000B3744">
        <w:t xml:space="preserve"> whose membership comprises skills and higher education senior officials from Commonwealth and state and territory governments – is working to meet this demand through exploring options to allow students in higher level qualifications to benefit from accessing an apprenticeship model</w:t>
      </w:r>
      <w:r w:rsidR="000B3744">
        <w:t>.</w:t>
      </w:r>
      <w:r w:rsidRPr="00232EFF">
        <w:t xml:space="preserve"> </w:t>
      </w:r>
      <w:r w:rsidR="000B3744">
        <w:t>Com</w:t>
      </w:r>
      <w:r w:rsidR="000B3744" w:rsidRPr="00232EFF">
        <w:t>bining</w:t>
      </w:r>
      <w:r w:rsidRPr="00232EFF">
        <w:t xml:space="preserve"> VET and higher education </w:t>
      </w:r>
      <w:r w:rsidR="00B77E80">
        <w:t xml:space="preserve">components </w:t>
      </w:r>
      <w:r w:rsidRPr="00232EFF">
        <w:t>in higher</w:t>
      </w:r>
      <w:r w:rsidR="00B77E80">
        <w:t>-</w:t>
      </w:r>
      <w:r w:rsidRPr="00232EFF">
        <w:t>level apprenticeship</w:t>
      </w:r>
      <w:r w:rsidR="00B77E80">
        <w:t>s</w:t>
      </w:r>
      <w:r w:rsidRPr="00232EFF">
        <w:t xml:space="preserve"> could help </w:t>
      </w:r>
      <w:r w:rsidR="00FC3ACD">
        <w:t xml:space="preserve">address </w:t>
      </w:r>
      <w:r w:rsidRPr="00232EFF">
        <w:t>these gaps</w:t>
      </w:r>
      <w:r w:rsidR="002343FD">
        <w:t xml:space="preserve"> by</w:t>
      </w:r>
      <w:r w:rsidRPr="00232EFF">
        <w:t xml:space="preserve"> better </w:t>
      </w:r>
      <w:r w:rsidR="002343FD">
        <w:t xml:space="preserve">integrating </w:t>
      </w:r>
      <w:r w:rsidRPr="00232EFF">
        <w:t>generalist and technical skills (NCVER 2019).</w:t>
      </w:r>
      <w:r w:rsidR="00F05A27" w:rsidRPr="00F05A27">
        <w:t xml:space="preserve"> </w:t>
      </w:r>
      <w:r w:rsidR="002343FD">
        <w:t>In s</w:t>
      </w:r>
      <w:r w:rsidR="00F05A27" w:rsidRPr="00F05A27">
        <w:t>ome industries</w:t>
      </w:r>
      <w:r w:rsidR="002343FD">
        <w:t xml:space="preserve">, </w:t>
      </w:r>
      <w:r w:rsidR="00F05A27" w:rsidRPr="00F05A27">
        <w:t>dual</w:t>
      </w:r>
      <w:r w:rsidR="008E0353">
        <w:t>-</w:t>
      </w:r>
      <w:r w:rsidR="00F05A27" w:rsidRPr="00F05A27">
        <w:t>qualifi</w:t>
      </w:r>
      <w:r w:rsidR="008E0353">
        <w:t>ed</w:t>
      </w:r>
      <w:r w:rsidR="00F05A27" w:rsidRPr="00F05A27">
        <w:t xml:space="preserve"> workers or qualifications offer</w:t>
      </w:r>
      <w:r w:rsidR="00E821D6">
        <w:t>ing</w:t>
      </w:r>
      <w:r w:rsidR="00F05A27" w:rsidRPr="00F05A27">
        <w:t xml:space="preserve"> higher</w:t>
      </w:r>
      <w:r w:rsidR="000435A8">
        <w:t>-</w:t>
      </w:r>
      <w:r w:rsidR="00F05A27" w:rsidRPr="00F05A27">
        <w:t>level technical skills</w:t>
      </w:r>
      <w:r w:rsidR="00806465">
        <w:t xml:space="preserve"> –</w:t>
      </w:r>
      <w:r w:rsidR="00F05A27" w:rsidRPr="00F05A27">
        <w:t xml:space="preserve"> such as Vocational Degrees in the mining </w:t>
      </w:r>
      <w:r w:rsidR="00CF01D5">
        <w:t>sector – may provide additional benefits</w:t>
      </w:r>
      <w:r w:rsidR="00F05A27" w:rsidRPr="00F05A27">
        <w:t xml:space="preserve"> (AUSMASA 2025). </w:t>
      </w:r>
      <w:r w:rsidR="00573FDE">
        <w:t>These</w:t>
      </w:r>
      <w:r w:rsidR="001F3079">
        <w:t xml:space="preserve"> models</w:t>
      </w:r>
      <w:r w:rsidR="006F534F">
        <w:t xml:space="preserve"> are not suited to every industry and </w:t>
      </w:r>
      <w:r w:rsidR="003A6F34">
        <w:t xml:space="preserve">would likely be niche offerings </w:t>
      </w:r>
      <w:r w:rsidR="00573FDE">
        <w:t xml:space="preserve">where there </w:t>
      </w:r>
      <w:proofErr w:type="gramStart"/>
      <w:r w:rsidR="00573FDE">
        <w:t>is</w:t>
      </w:r>
      <w:proofErr w:type="gramEnd"/>
      <w:r w:rsidR="00573FDE">
        <w:t xml:space="preserve"> genuine demand and recognition by employers </w:t>
      </w:r>
      <w:r w:rsidR="003A6F34">
        <w:t>(Hodge and Knight 2021</w:t>
      </w:r>
      <w:r w:rsidR="004742A8">
        <w:t>a</w:t>
      </w:r>
      <w:r w:rsidR="003A6F34">
        <w:t>).</w:t>
      </w:r>
    </w:p>
    <w:p w14:paraId="5067D074" w14:textId="2DD83F5A" w:rsidR="00F05A27" w:rsidRPr="00F05A27" w:rsidRDefault="00F05A27" w:rsidP="00B53611">
      <w:pPr>
        <w:pStyle w:val="Heading3"/>
      </w:pPr>
      <w:bookmarkStart w:id="54" w:name="_Toc229643980"/>
      <w:r w:rsidRPr="00F05A27">
        <w:t>Barriers to developing collaborative models</w:t>
      </w:r>
      <w:bookmarkEnd w:id="54"/>
    </w:p>
    <w:p w14:paraId="39B4DBB7" w14:textId="2A7D4864" w:rsidR="00F05A27" w:rsidRPr="00F05A27" w:rsidRDefault="00F05A27" w:rsidP="00F05A27">
      <w:r w:rsidRPr="00F05A27">
        <w:t xml:space="preserve">Despite the potential benefits of </w:t>
      </w:r>
      <w:r w:rsidR="00365148">
        <w:t xml:space="preserve">dual sector and collaborative </w:t>
      </w:r>
      <w:r w:rsidRPr="00F05A27">
        <w:t>models</w:t>
      </w:r>
      <w:r w:rsidR="00892560">
        <w:t xml:space="preserve"> </w:t>
      </w:r>
      <w:r w:rsidR="00365148">
        <w:t xml:space="preserve">in </w:t>
      </w:r>
      <w:r w:rsidR="00A15960">
        <w:t xml:space="preserve">supporting a more joined-up </w:t>
      </w:r>
      <w:r w:rsidR="00365148">
        <w:t xml:space="preserve">tertiary </w:t>
      </w:r>
      <w:r w:rsidR="00A15960">
        <w:t>system</w:t>
      </w:r>
      <w:r w:rsidRPr="00F05A27">
        <w:t xml:space="preserve">, these </w:t>
      </w:r>
      <w:r w:rsidR="00712828">
        <w:t>are</w:t>
      </w:r>
      <w:r w:rsidR="009D44B2">
        <w:t xml:space="preserve"> likely </w:t>
      </w:r>
      <w:r w:rsidR="00712828">
        <w:t xml:space="preserve">to </w:t>
      </w:r>
      <w:r w:rsidRPr="00F05A27">
        <w:t>remain niche offerings</w:t>
      </w:r>
      <w:r w:rsidR="00B1222B">
        <w:t xml:space="preserve"> as they are</w:t>
      </w:r>
      <w:r w:rsidR="00712828">
        <w:t xml:space="preserve"> </w:t>
      </w:r>
      <w:r w:rsidRPr="00F05A27">
        <w:t>difficult to scale and sustain. Hodge and Knight</w:t>
      </w:r>
      <w:r w:rsidR="00712828">
        <w:t xml:space="preserve"> (2021a)</w:t>
      </w:r>
      <w:r w:rsidRPr="00F05A27">
        <w:t xml:space="preserve"> found that </w:t>
      </w:r>
      <w:r w:rsidR="00E4737F">
        <w:t xml:space="preserve">many of the </w:t>
      </w:r>
      <w:r w:rsidRPr="00F05A27">
        <w:t xml:space="preserve">most highly integrated models had been </w:t>
      </w:r>
      <w:r w:rsidR="00E4737F">
        <w:t xml:space="preserve">discontinued, a </w:t>
      </w:r>
      <w:r w:rsidR="00663069">
        <w:t xml:space="preserve">pattern </w:t>
      </w:r>
      <w:r w:rsidRPr="00F05A27">
        <w:t xml:space="preserve">reflected in internal reviews. </w:t>
      </w:r>
      <w:r w:rsidRPr="00F05A27">
        <w:rPr>
          <w:color w:val="auto"/>
        </w:rPr>
        <w:t xml:space="preserve">Many of the existing offerings have small numbers of </w:t>
      </w:r>
      <w:r w:rsidR="00B662B0">
        <w:rPr>
          <w:color w:val="auto"/>
        </w:rPr>
        <w:t>learne</w:t>
      </w:r>
      <w:r w:rsidR="00A200DC">
        <w:rPr>
          <w:color w:val="auto"/>
        </w:rPr>
        <w:t>rs</w:t>
      </w:r>
      <w:r w:rsidR="00652F74">
        <w:rPr>
          <w:color w:val="auto"/>
        </w:rPr>
        <w:t>. F</w:t>
      </w:r>
      <w:r w:rsidR="00C1766B" w:rsidRPr="00F05A27">
        <w:rPr>
          <w:color w:val="auto"/>
        </w:rPr>
        <w:t>or example</w:t>
      </w:r>
      <w:r w:rsidR="00B662B0">
        <w:rPr>
          <w:color w:val="auto"/>
        </w:rPr>
        <w:t>,</w:t>
      </w:r>
      <w:r w:rsidR="00C1766B" w:rsidRPr="00F05A27">
        <w:rPr>
          <w:color w:val="auto"/>
        </w:rPr>
        <w:t xml:space="preserve"> </w:t>
      </w:r>
      <w:r w:rsidRPr="00F05A27">
        <w:rPr>
          <w:color w:val="auto"/>
        </w:rPr>
        <w:t xml:space="preserve">the first cohort of the </w:t>
      </w:r>
      <w:r w:rsidR="0013147D">
        <w:rPr>
          <w:color w:val="auto"/>
        </w:rPr>
        <w:t>s</w:t>
      </w:r>
      <w:r w:rsidRPr="00F05A27">
        <w:rPr>
          <w:color w:val="auto"/>
        </w:rPr>
        <w:t>oftware engineering degree apprenticeship</w:t>
      </w:r>
      <w:r w:rsidR="00194BF8">
        <w:rPr>
          <w:color w:val="auto"/>
        </w:rPr>
        <w:t>s</w:t>
      </w:r>
      <w:r w:rsidRPr="00F05A27">
        <w:rPr>
          <w:color w:val="auto"/>
        </w:rPr>
        <w:t xml:space="preserve"> </w:t>
      </w:r>
      <w:r w:rsidR="0013147D">
        <w:rPr>
          <w:color w:val="auto"/>
        </w:rPr>
        <w:t xml:space="preserve">comprised only </w:t>
      </w:r>
      <w:r w:rsidRPr="00F05A27">
        <w:rPr>
          <w:color w:val="auto"/>
        </w:rPr>
        <w:t xml:space="preserve">13 enrolments (University of South Australia 2024). </w:t>
      </w:r>
    </w:p>
    <w:p w14:paraId="6A5DD2B2" w14:textId="77777777" w:rsidR="00F05A27" w:rsidRPr="00F05A27" w:rsidRDefault="00F05A27" w:rsidP="002320D2">
      <w:pPr>
        <w:pStyle w:val="Heading4"/>
      </w:pPr>
      <w:r w:rsidRPr="00F05A27">
        <w:t>Difficulties mapping two distinct languages</w:t>
      </w:r>
    </w:p>
    <w:p w14:paraId="2C68E0FD" w14:textId="52EA85C8" w:rsidR="00F05A27" w:rsidRPr="00F05A27" w:rsidRDefault="00F05A27" w:rsidP="00F05A27">
      <w:r w:rsidRPr="00F05A27">
        <w:t xml:space="preserve">Dual awards and credit agreements require comprehensive mapping to ensure all learning outcomes are covered, which can be incredibly </w:t>
      </w:r>
      <w:r w:rsidR="00F55179" w:rsidRPr="00F05A27">
        <w:t>resource</w:t>
      </w:r>
      <w:r w:rsidR="00F55179">
        <w:t xml:space="preserve"> intensive</w:t>
      </w:r>
      <w:r w:rsidRPr="00F05A27">
        <w:t xml:space="preserve">. </w:t>
      </w:r>
      <w:r w:rsidRPr="00D353D1">
        <w:t>The</w:t>
      </w:r>
      <w:r w:rsidRPr="00F05A27" w:rsidDel="00BF2ADD">
        <w:t xml:space="preserve"> </w:t>
      </w:r>
      <w:r w:rsidR="00BF2ADD">
        <w:t>distinct</w:t>
      </w:r>
      <w:r w:rsidRPr="00F05A27">
        <w:t xml:space="preserve"> structure of VET and higher education amplifies these difficulties, with a lack of common measure for knowledge and skills between higher education course content and VET training packages (Whannel</w:t>
      </w:r>
      <w:r w:rsidR="002D45C1">
        <w:t>l</w:t>
      </w:r>
      <w:r w:rsidRPr="00F05A27">
        <w:t xml:space="preserve"> et al. 2015; Hodge and Knight 2021</w:t>
      </w:r>
      <w:r w:rsidR="00195A1D">
        <w:t>a</w:t>
      </w:r>
      <w:r w:rsidRPr="00F05A27">
        <w:t xml:space="preserve">; Gonski and Shergold 2021). Hodge and Knight </w:t>
      </w:r>
      <w:r w:rsidR="00B957A5">
        <w:t xml:space="preserve">(2021a) </w:t>
      </w:r>
      <w:r w:rsidRPr="00F05A27">
        <w:t xml:space="preserve">note </w:t>
      </w:r>
      <w:r w:rsidR="00B957A5">
        <w:t xml:space="preserve">that providers often </w:t>
      </w:r>
      <w:r w:rsidR="00541474">
        <w:t xml:space="preserve">describe the </w:t>
      </w:r>
      <w:r w:rsidRPr="00F05A27">
        <w:t xml:space="preserve">mapping process as </w:t>
      </w:r>
      <w:r w:rsidR="00541474">
        <w:t xml:space="preserve">the </w:t>
      </w:r>
      <w:r w:rsidRPr="00F05A27">
        <w:t xml:space="preserve">‘translation’ of distinct </w:t>
      </w:r>
      <w:r w:rsidR="00541474">
        <w:t xml:space="preserve">educational </w:t>
      </w:r>
      <w:r w:rsidRPr="00F05A27">
        <w:t xml:space="preserve">‘languages’. </w:t>
      </w:r>
    </w:p>
    <w:p w14:paraId="7C009D68" w14:textId="0A086FB4" w:rsidR="00905E89" w:rsidRDefault="00F05A27" w:rsidP="00E61C29">
      <w:pPr>
        <w:keepLines/>
      </w:pPr>
      <w:r w:rsidRPr="00F05A27">
        <w:t xml:space="preserve">These awards are not ‘set and forget’, and require ongoing monitoring, mapping and renewal as qualifications are updated. </w:t>
      </w:r>
      <w:r w:rsidR="00F4021F">
        <w:t>T</w:t>
      </w:r>
      <w:r w:rsidRPr="00F05A27">
        <w:t xml:space="preserve">raining package </w:t>
      </w:r>
      <w:r w:rsidR="00F4021F">
        <w:t>changes</w:t>
      </w:r>
      <w:r w:rsidR="00E63E8E">
        <w:t>, which update VET qualifications,</w:t>
      </w:r>
      <w:r w:rsidR="00F4021F">
        <w:t xml:space="preserve"> can nec</w:t>
      </w:r>
      <w:r w:rsidR="001B5BA5">
        <w:t xml:space="preserve">essitate </w:t>
      </w:r>
      <w:r w:rsidRPr="00F05A27">
        <w:t xml:space="preserve">new mapping for credit agreements (Ithaca Group 2018). This can impact the sustainability of integrated models – particularly the more tightly integrated ones (Hodge and Knight </w:t>
      </w:r>
      <w:r w:rsidR="00F55179" w:rsidRPr="00F05A27">
        <w:t>2021</w:t>
      </w:r>
      <w:r w:rsidR="00195A1D">
        <w:t>a</w:t>
      </w:r>
      <w:r w:rsidR="00F55179" w:rsidRPr="00F05A27">
        <w:t>)</w:t>
      </w:r>
      <w:r w:rsidR="00F55179">
        <w:t>.</w:t>
      </w:r>
      <w:r w:rsidR="00F55179" w:rsidRPr="00F05A27">
        <w:t xml:space="preserve"> Mapping</w:t>
      </w:r>
      <w:r w:rsidRPr="00F05A27">
        <w:t xml:space="preserve"> can be an ‘expensive and exhaustive process’ (Hodge and Knight 2021</w:t>
      </w:r>
      <w:r w:rsidR="004742A8">
        <w:t>a</w:t>
      </w:r>
      <w:r w:rsidRPr="00F05A27">
        <w:t xml:space="preserve">), and providers </w:t>
      </w:r>
      <w:r w:rsidR="00F67A17">
        <w:t xml:space="preserve">may lack </w:t>
      </w:r>
      <w:r w:rsidRPr="00F05A27">
        <w:t xml:space="preserve">the capacity to maintain the cooperative work </w:t>
      </w:r>
      <w:r w:rsidR="00FA052F">
        <w:t xml:space="preserve">required </w:t>
      </w:r>
      <w:r w:rsidRPr="00F05A27">
        <w:t>(Whannel</w:t>
      </w:r>
      <w:r w:rsidR="002D45C1">
        <w:t>l</w:t>
      </w:r>
      <w:r w:rsidRPr="00F05A27">
        <w:t xml:space="preserve"> et al. 2015). </w:t>
      </w:r>
    </w:p>
    <w:p w14:paraId="647588DB" w14:textId="6EF861AA" w:rsidR="001C2B6E" w:rsidRPr="00F05A27" w:rsidRDefault="00FE665C" w:rsidP="00E61C29">
      <w:pPr>
        <w:keepLines/>
      </w:pPr>
      <w:r>
        <w:t xml:space="preserve">Pressure on staff time and resources has also been identified as an obstacle </w:t>
      </w:r>
      <w:r w:rsidR="00077B54">
        <w:t xml:space="preserve">to the development of </w:t>
      </w:r>
      <w:r w:rsidR="00603104">
        <w:t xml:space="preserve">these dual awards </w:t>
      </w:r>
      <w:r>
        <w:t xml:space="preserve">(Gander and Bouvet 2023). </w:t>
      </w:r>
      <w:r w:rsidR="00C709B3">
        <w:t>Staff note there is great work in developing these awards and other articulation agreements</w:t>
      </w:r>
      <w:r w:rsidR="00BE31BD">
        <w:t>, with extensive negotiation, monitoring and mapping (Ithaca Group 2018)</w:t>
      </w:r>
      <w:r w:rsidR="00C47BD6">
        <w:t>.</w:t>
      </w:r>
      <w:r w:rsidR="00375311">
        <w:t xml:space="preserve"> Staff </w:t>
      </w:r>
      <w:r>
        <w:t xml:space="preserve">involved </w:t>
      </w:r>
      <w:r w:rsidR="00375311">
        <w:t>need to have a strong understanding of both the VET and higher education sectors to help support the development, delivery and maintenance of dual awards</w:t>
      </w:r>
      <w:r w:rsidR="000E3E35">
        <w:t xml:space="preserve"> (Hodge and Knight 2021</w:t>
      </w:r>
      <w:r w:rsidR="005F6613">
        <w:t>a</w:t>
      </w:r>
      <w:r w:rsidR="000E3E35">
        <w:t>).</w:t>
      </w:r>
      <w:r w:rsidR="00C47BD6">
        <w:t xml:space="preserve"> </w:t>
      </w:r>
      <w:r w:rsidR="00C3778F">
        <w:t xml:space="preserve">Ensuring appropriate resources and support for staff engaged in this work is important in enabling success. </w:t>
      </w:r>
    </w:p>
    <w:p w14:paraId="6FD17F1A" w14:textId="77777777" w:rsidR="00F05A27" w:rsidRPr="00F05A27" w:rsidRDefault="00F05A27" w:rsidP="000C160A">
      <w:pPr>
        <w:pStyle w:val="Heading4"/>
      </w:pPr>
      <w:r w:rsidRPr="00F05A27">
        <w:t>Maintaining long-term relationships between providers</w:t>
      </w:r>
    </w:p>
    <w:p w14:paraId="530602BA" w14:textId="53F92578" w:rsidR="00F05A27" w:rsidRPr="00F05A27" w:rsidRDefault="00BC286F" w:rsidP="00F05A27">
      <w:pPr>
        <w:rPr>
          <w:color w:val="FF0000"/>
        </w:rPr>
      </w:pPr>
      <w:r>
        <w:rPr>
          <w:color w:val="auto"/>
        </w:rPr>
        <w:t>Strong, enduring r</w:t>
      </w:r>
      <w:r w:rsidR="00F05A27" w:rsidRPr="00F05A27">
        <w:rPr>
          <w:color w:val="auto"/>
        </w:rPr>
        <w:t xml:space="preserve">elationships between providers are also fundamental to the development of partnerships, with longer term sustainability limited by staff turnover, as trust and collaboration </w:t>
      </w:r>
      <w:r w:rsidR="00216043">
        <w:rPr>
          <w:color w:val="auto"/>
        </w:rPr>
        <w:t xml:space="preserve">are </w:t>
      </w:r>
      <w:r w:rsidR="00F05A27" w:rsidRPr="00F05A27">
        <w:rPr>
          <w:color w:val="auto"/>
        </w:rPr>
        <w:t>important</w:t>
      </w:r>
      <w:r w:rsidR="008E6EA3">
        <w:rPr>
          <w:color w:val="auto"/>
        </w:rPr>
        <w:t xml:space="preserve"> (Hodge and Knight 2021a)</w:t>
      </w:r>
      <w:r w:rsidR="00F05A27" w:rsidRPr="00F05A27">
        <w:rPr>
          <w:color w:val="auto"/>
        </w:rPr>
        <w:t xml:space="preserve">. </w:t>
      </w:r>
      <w:r w:rsidR="00F05A27" w:rsidRPr="00F05A27">
        <w:t xml:space="preserve">The most sustainable models </w:t>
      </w:r>
      <w:r w:rsidR="00E200C3">
        <w:t xml:space="preserve">are underpinned by </w:t>
      </w:r>
      <w:r w:rsidR="008E6EA3">
        <w:t xml:space="preserve">strong, </w:t>
      </w:r>
      <w:r w:rsidR="00FA40E4">
        <w:t>long-standing partnerships</w:t>
      </w:r>
      <w:r w:rsidR="00F05A27" w:rsidRPr="00F05A27">
        <w:t xml:space="preserve"> built on mutual respect and support (Ithaca Report 2018; Hodge and Knight 2021</w:t>
      </w:r>
      <w:r w:rsidR="004742A8">
        <w:t>a</w:t>
      </w:r>
      <w:r w:rsidR="00F05A27" w:rsidRPr="00F05A27">
        <w:t xml:space="preserve">). </w:t>
      </w:r>
    </w:p>
    <w:p w14:paraId="28A38432" w14:textId="25660E05" w:rsidR="00F05A27" w:rsidRDefault="00FA40E4" w:rsidP="00F05A27">
      <w:r>
        <w:t>A l</w:t>
      </w:r>
      <w:r w:rsidR="00F05A27" w:rsidRPr="00F05A27">
        <w:t xml:space="preserve">ack of institutional support </w:t>
      </w:r>
      <w:r>
        <w:t xml:space="preserve">can also pose challenges, </w:t>
      </w:r>
      <w:r w:rsidR="003176C3">
        <w:t xml:space="preserve">particularly when staff not directly </w:t>
      </w:r>
      <w:r w:rsidR="00FD4B0C">
        <w:t>involved in the collaboration</w:t>
      </w:r>
      <w:r w:rsidR="00F05A27" w:rsidRPr="00F05A27">
        <w:t xml:space="preserve"> hold negative views of the other sector – particularly noted amongst those working for higher education providers (Hodge and Knight 2021</w:t>
      </w:r>
      <w:r w:rsidR="004742A8">
        <w:t>a</w:t>
      </w:r>
      <w:r w:rsidR="00F05A27" w:rsidRPr="00F05A27">
        <w:t xml:space="preserve">). </w:t>
      </w:r>
    </w:p>
    <w:p w14:paraId="2A906ACE" w14:textId="5FE6F2D9" w:rsidR="00C47BD6" w:rsidRPr="00F05A27" w:rsidRDefault="003073C1" w:rsidP="00F05A27">
      <w:r>
        <w:t>Individual staff are important in the maintenance of relationships between providers. However, there may not</w:t>
      </w:r>
      <w:r w:rsidR="00E52EBE">
        <w:t xml:space="preserve"> be dedicated staff available to maintain the pathway, with many </w:t>
      </w:r>
      <w:r w:rsidR="004D7BBB">
        <w:t xml:space="preserve">staff </w:t>
      </w:r>
      <w:r w:rsidR="00E52EBE">
        <w:t>working on top of their existing duties</w:t>
      </w:r>
      <w:r w:rsidR="00973D0D">
        <w:t xml:space="preserve"> </w:t>
      </w:r>
      <w:r w:rsidR="004D7BBB">
        <w:t xml:space="preserve">to maintain partnerships </w:t>
      </w:r>
      <w:r w:rsidR="00973D0D">
        <w:t>(Hodge and Knight 2021a).</w:t>
      </w:r>
      <w:r w:rsidR="005F6613" w:rsidRPr="005F6613">
        <w:t xml:space="preserve"> </w:t>
      </w:r>
      <w:r w:rsidR="005F6613">
        <w:t>Shortages in the VET workforce are well-recognised, with RTOs competing with industry for their workforces as demand for VET teachers grows (JSA 2024d). As such, these additional pressures to support mapping and collaboration may be heavily felt by staff in an already constrained VET workforce.</w:t>
      </w:r>
    </w:p>
    <w:p w14:paraId="241337D9" w14:textId="77777777" w:rsidR="00F05A27" w:rsidRPr="00F05A27" w:rsidRDefault="00F05A27" w:rsidP="002320D2">
      <w:pPr>
        <w:pStyle w:val="Heading4"/>
      </w:pPr>
      <w:r w:rsidRPr="00F05A27">
        <w:t>Learner understanding and engagement</w:t>
      </w:r>
    </w:p>
    <w:p w14:paraId="3A0B8DD1" w14:textId="55487516" w:rsidR="002D1476" w:rsidRDefault="00F05A27" w:rsidP="00F05A27">
      <w:r w:rsidRPr="00F05A27">
        <w:t>Learner</w:t>
      </w:r>
      <w:r w:rsidR="003317D3">
        <w:t xml:space="preserve"> </w:t>
      </w:r>
      <w:r w:rsidRPr="00F05A27">
        <w:t xml:space="preserve">understanding of emerging qualification models may be quite limited as well, particularly for high-integration </w:t>
      </w:r>
      <w:r w:rsidR="003317D3">
        <w:t>models.</w:t>
      </w:r>
      <w:r w:rsidRPr="00F05A27">
        <w:t xml:space="preserve"> </w:t>
      </w:r>
      <w:r w:rsidR="004C03C3">
        <w:t>The lack of p</w:t>
      </w:r>
      <w:r w:rsidRPr="00F05A27">
        <w:t xml:space="preserve">arity of esteem between VET and higher education </w:t>
      </w:r>
      <w:r w:rsidR="006633A2">
        <w:t xml:space="preserve">remains an underlying </w:t>
      </w:r>
      <w:r w:rsidRPr="00F05A27">
        <w:t xml:space="preserve">challenge. As noted in section </w:t>
      </w:r>
      <w:r w:rsidR="00DB6D5B">
        <w:t>5</w:t>
      </w:r>
      <w:r w:rsidRPr="00F05A27">
        <w:t>.1, learner</w:t>
      </w:r>
      <w:r w:rsidR="005B174D">
        <w:t>s’</w:t>
      </w:r>
      <w:r w:rsidRPr="00F05A27">
        <w:t xml:space="preserve"> understanding of the VET sector is relatively limited, </w:t>
      </w:r>
      <w:r w:rsidR="000F1319">
        <w:t xml:space="preserve">while </w:t>
      </w:r>
      <w:r w:rsidRPr="00F05A27">
        <w:t>higher education is often viewed as the preferred pathway due to negative cultural perceptions of VET</w:t>
      </w:r>
      <w:r w:rsidR="007C68DC">
        <w:t xml:space="preserve"> (Parliament of Australia 2024)</w:t>
      </w:r>
      <w:r w:rsidRPr="00F05A27">
        <w:t xml:space="preserve">. </w:t>
      </w:r>
      <w:r w:rsidR="00B07A7C">
        <w:t xml:space="preserve">As a result, </w:t>
      </w:r>
      <w:r w:rsidR="00A007D6">
        <w:t xml:space="preserve">learners attracted to </w:t>
      </w:r>
      <w:r w:rsidRPr="00F05A27">
        <w:t xml:space="preserve">higher education may not perceive the benefits </w:t>
      </w:r>
      <w:r w:rsidR="002B6780">
        <w:t xml:space="preserve">of </w:t>
      </w:r>
      <w:r w:rsidR="003078BB">
        <w:t>dual awards or higher-level apprenticeships</w:t>
      </w:r>
      <w:r w:rsidR="003317D3">
        <w:t xml:space="preserve"> </w:t>
      </w:r>
      <w:r w:rsidRPr="00F05A27">
        <w:t>in the context of these cultural influences (NCVER 2019).</w:t>
      </w:r>
      <w:r w:rsidR="004C03C3">
        <w:t xml:space="preserve"> </w:t>
      </w:r>
    </w:p>
    <w:p w14:paraId="7EC0E14E" w14:textId="340C7E39" w:rsidR="00C3778F" w:rsidRPr="00F05A27" w:rsidRDefault="00494F6C" w:rsidP="00F05A27">
      <w:r>
        <w:t xml:space="preserve">The VET and higher education sectors </w:t>
      </w:r>
      <w:r w:rsidR="00881439">
        <w:t>function as</w:t>
      </w:r>
      <w:r>
        <w:t xml:space="preserve"> distinct markets, making it difficult to determine which </w:t>
      </w:r>
      <w:r w:rsidR="00F252A1">
        <w:t xml:space="preserve">market </w:t>
      </w:r>
      <w:r w:rsidR="00B82115">
        <w:t xml:space="preserve">to target these </w:t>
      </w:r>
      <w:r w:rsidR="005C5A77">
        <w:t xml:space="preserve">dual sector </w:t>
      </w:r>
      <w:r w:rsidR="00B82115">
        <w:t xml:space="preserve">qualifications towards (Hodge and Knight 2021b). </w:t>
      </w:r>
      <w:r w:rsidR="00775C26">
        <w:t xml:space="preserve">More broadly, learners – particularly young people with limited industry experience – </w:t>
      </w:r>
      <w:r w:rsidR="004307D4">
        <w:t xml:space="preserve">will not necessarily understand the benefits of </w:t>
      </w:r>
      <w:r w:rsidR="0034754F">
        <w:t xml:space="preserve">undertaking </w:t>
      </w:r>
      <w:r w:rsidR="004307D4">
        <w:t xml:space="preserve">a dual award in comparison to a more </w:t>
      </w:r>
      <w:r w:rsidR="0093053F">
        <w:t>well-known</w:t>
      </w:r>
      <w:r w:rsidR="004307D4">
        <w:t xml:space="preserve"> qualification. </w:t>
      </w:r>
    </w:p>
    <w:p w14:paraId="41D9B212" w14:textId="66C44D93" w:rsidR="00F05A27" w:rsidRPr="00F05A27" w:rsidRDefault="00F05A27" w:rsidP="00F05A27">
      <w:pPr>
        <w:rPr>
          <w:color w:val="F0404F" w:themeColor="accent6"/>
        </w:rPr>
      </w:pPr>
      <w:r w:rsidRPr="00F05A27">
        <w:t xml:space="preserve">More sustainable models recognise the need to scaffold learners </w:t>
      </w:r>
      <w:r w:rsidR="00334C58">
        <w:t xml:space="preserve">as they transition between the </w:t>
      </w:r>
      <w:r w:rsidRPr="00F05A27">
        <w:t>sectors</w:t>
      </w:r>
      <w:r w:rsidR="000217AC">
        <w:t>,</w:t>
      </w:r>
      <w:r w:rsidR="002B5D3E">
        <w:t xml:space="preserve"> </w:t>
      </w:r>
      <w:r w:rsidRPr="00F05A27">
        <w:t>for instance, by providing supporting resources for learners moving from VET to higher education (Hodge and Knight 2021</w:t>
      </w:r>
      <w:r w:rsidR="004742A8">
        <w:t>a</w:t>
      </w:r>
      <w:r w:rsidRPr="00F05A27">
        <w:t xml:space="preserve">). Learners </w:t>
      </w:r>
      <w:r w:rsidR="00F05E92">
        <w:t xml:space="preserve">who </w:t>
      </w:r>
      <w:r w:rsidRPr="00F05A27">
        <w:t xml:space="preserve">enter higher education in the second year when receiving a year of credit for a VET diploma </w:t>
      </w:r>
      <w:r w:rsidR="004464D7">
        <w:t xml:space="preserve">may </w:t>
      </w:r>
      <w:r w:rsidRPr="00F05A27">
        <w:t xml:space="preserve">miss out on the support </w:t>
      </w:r>
      <w:r w:rsidR="00AF685C">
        <w:t>typically provided to first-year learners</w:t>
      </w:r>
      <w:r w:rsidR="006B071D">
        <w:t xml:space="preserve"> by the institution</w:t>
      </w:r>
      <w:r w:rsidRPr="00F05A27">
        <w:t>, such</w:t>
      </w:r>
      <w:r w:rsidR="00833F8A">
        <w:t xml:space="preserve"> as</w:t>
      </w:r>
      <w:r w:rsidR="00CD1FE1">
        <w:t xml:space="preserve"> </w:t>
      </w:r>
      <w:r w:rsidR="00833F8A">
        <w:t>academic skills</w:t>
      </w:r>
      <w:r w:rsidR="00C97F6F">
        <w:t xml:space="preserve"> development</w:t>
      </w:r>
      <w:r w:rsidR="002B5D3E">
        <w:t xml:space="preserve"> for </w:t>
      </w:r>
      <w:r w:rsidR="00833F8A">
        <w:t>research and referencing,</w:t>
      </w:r>
      <w:r w:rsidR="00C1709D">
        <w:t xml:space="preserve"> and introductions to online systems </w:t>
      </w:r>
      <w:r w:rsidRPr="00F05A27">
        <w:t xml:space="preserve">(Ambrose et al. 2013). </w:t>
      </w:r>
    </w:p>
    <w:p w14:paraId="4543C019" w14:textId="4E36A49F" w:rsidR="00F05A27" w:rsidRPr="00F05A27" w:rsidRDefault="00F05A27" w:rsidP="00B53EB7">
      <w:pPr>
        <w:pStyle w:val="Heading4"/>
        <w:tabs>
          <w:tab w:val="left" w:pos="6379"/>
        </w:tabs>
      </w:pPr>
      <w:r w:rsidRPr="00F05A27">
        <w:t>Need for significant engagement from industry and employers</w:t>
      </w:r>
    </w:p>
    <w:p w14:paraId="65DFE8FE" w14:textId="19BC503C" w:rsidR="008F30E3" w:rsidRDefault="00F05A27" w:rsidP="00F05A27">
      <w:r w:rsidRPr="00F05A27">
        <w:t>Depending on the industry, collaborative models have different viability. Dual sector qualifications are likely to be the most sustainable where both VET and higher</w:t>
      </w:r>
      <w:r w:rsidR="00C73B18">
        <w:t xml:space="preserve"> education</w:t>
      </w:r>
      <w:r w:rsidRPr="00F05A27">
        <w:t xml:space="preserve"> </w:t>
      </w:r>
      <w:r w:rsidR="002E4D22">
        <w:t xml:space="preserve">provide </w:t>
      </w:r>
      <w:r w:rsidRPr="00F05A27">
        <w:t>pathway</w:t>
      </w:r>
      <w:r w:rsidR="00D818F8">
        <w:t xml:space="preserve">s into an occupation </w:t>
      </w:r>
      <w:r w:rsidR="00F55179">
        <w:t xml:space="preserve">and </w:t>
      </w:r>
      <w:r w:rsidR="00F55179" w:rsidRPr="00F05A27">
        <w:t>or</w:t>
      </w:r>
      <w:r w:rsidRPr="00F05A27">
        <w:t xml:space="preserve"> industry, and </w:t>
      </w:r>
      <w:r w:rsidR="002116DE">
        <w:t>where</w:t>
      </w:r>
      <w:r w:rsidRPr="00F05A27">
        <w:t xml:space="preserve"> strong </w:t>
      </w:r>
      <w:r w:rsidR="00970085">
        <w:t xml:space="preserve">cross-sector </w:t>
      </w:r>
      <w:r w:rsidRPr="00F05A27">
        <w:t xml:space="preserve">connections </w:t>
      </w:r>
      <w:r w:rsidR="00894627">
        <w:t xml:space="preserve">already exist </w:t>
      </w:r>
      <w:r w:rsidRPr="00F05A27">
        <w:t xml:space="preserve">(Wheelahan </w:t>
      </w:r>
      <w:r w:rsidR="00F34281">
        <w:t>et al.</w:t>
      </w:r>
      <w:r w:rsidRPr="00F05A27">
        <w:t xml:space="preserve"> 2015). Where there are existing pathways between sectors</w:t>
      </w:r>
      <w:r w:rsidR="006B5F7F">
        <w:t>,</w:t>
      </w:r>
      <w:r w:rsidRPr="00F05A27">
        <w:t xml:space="preserve"> collaborative models may work well (Wheelahan</w:t>
      </w:r>
      <w:r w:rsidR="00F34281">
        <w:t xml:space="preserve"> et al.</w:t>
      </w:r>
      <w:r w:rsidRPr="00F05A27">
        <w:t xml:space="preserve"> 2015). In comparison, industries where there are more limited pathways between sectors</w:t>
      </w:r>
      <w:r w:rsidR="00CB794B">
        <w:t>,</w:t>
      </w:r>
      <w:r w:rsidRPr="00F05A27">
        <w:t xml:space="preserve"> such as </w:t>
      </w:r>
      <w:r w:rsidR="00F54608">
        <w:t>in electrical engineering, serviced by VET-trained electricians and higher education-trained engineers</w:t>
      </w:r>
      <w:r w:rsidR="00CB794B">
        <w:t>,</w:t>
      </w:r>
      <w:r w:rsidR="00F54608">
        <w:t xml:space="preserve"> </w:t>
      </w:r>
      <w:r w:rsidR="006B5F7F">
        <w:t>there are</w:t>
      </w:r>
      <w:r w:rsidR="00EA78B8">
        <w:t xml:space="preserve"> fewer opportunities</w:t>
      </w:r>
      <w:r w:rsidRPr="00F05A27">
        <w:t xml:space="preserve"> for </w:t>
      </w:r>
      <w:r w:rsidR="00253367">
        <w:t xml:space="preserve">sustainable </w:t>
      </w:r>
      <w:r w:rsidRPr="00F05A27">
        <w:t xml:space="preserve">collaborative models. </w:t>
      </w:r>
      <w:r w:rsidR="00414274">
        <w:t>Sustainability is also more likely</w:t>
      </w:r>
      <w:r w:rsidRPr="00F05A27">
        <w:t xml:space="preserve"> where both qualifications </w:t>
      </w:r>
      <w:r w:rsidR="00414274">
        <w:t xml:space="preserve">are </w:t>
      </w:r>
      <w:r w:rsidRPr="00F05A27">
        <w:t>well</w:t>
      </w:r>
      <w:r w:rsidR="00414274">
        <w:t xml:space="preserve"> </w:t>
      </w:r>
      <w:r w:rsidRPr="00F05A27">
        <w:t xml:space="preserve">recognised </w:t>
      </w:r>
      <w:r w:rsidR="00414274">
        <w:t xml:space="preserve">and valued </w:t>
      </w:r>
      <w:r w:rsidRPr="00F05A27">
        <w:t>by industry (Hodge and Knight 2021</w:t>
      </w:r>
      <w:r w:rsidR="004742A8">
        <w:t>a</w:t>
      </w:r>
      <w:r w:rsidRPr="00F05A27">
        <w:t xml:space="preserve">). </w:t>
      </w:r>
      <w:r w:rsidR="00FB154E">
        <w:t xml:space="preserve"> </w:t>
      </w:r>
    </w:p>
    <w:p w14:paraId="42F65604" w14:textId="77777777" w:rsidR="00C3778F" w:rsidRDefault="00B10C9A" w:rsidP="00F05A27">
      <w:r w:rsidRPr="00C55EC9">
        <w:t xml:space="preserve">Work-integrated learning – including through apprenticeships – requires capacity and willingness from employers to offer placements and host learners. </w:t>
      </w:r>
      <w:r>
        <w:t>A</w:t>
      </w:r>
      <w:r w:rsidRPr="00C55EC9">
        <w:t>lthough the demand for students to undertake WIL has increased over recent years, the number of</w:t>
      </w:r>
      <w:r w:rsidR="000E5A9C">
        <w:t xml:space="preserve"> quality</w:t>
      </w:r>
      <w:r w:rsidRPr="00C55EC9">
        <w:t xml:space="preserve"> placements on offer has not grown to meet this demand </w:t>
      </w:r>
      <w:r>
        <w:t>(Jackson</w:t>
      </w:r>
      <w:r w:rsidR="000E5A9C">
        <w:t xml:space="preserve"> 202</w:t>
      </w:r>
      <w:r w:rsidR="008A469A">
        <w:t>4</w:t>
      </w:r>
      <w:r w:rsidRPr="00C55EC9">
        <w:t>)</w:t>
      </w:r>
      <w:r w:rsidR="008F48DE" w:rsidRPr="00B10C9A">
        <w:t>.</w:t>
      </w:r>
      <w:r w:rsidR="008F48DE">
        <w:t xml:space="preserve"> </w:t>
      </w:r>
      <w:r>
        <w:t xml:space="preserve">The burden on professional and academic staff in matching students to the few available </w:t>
      </w:r>
      <w:r w:rsidR="004D7BBB">
        <w:t>placements and</w:t>
      </w:r>
      <w:r>
        <w:t xml:space="preserve"> e</w:t>
      </w:r>
      <w:r w:rsidR="004409EA">
        <w:t xml:space="preserve">nsuring that students </w:t>
      </w:r>
      <w:r w:rsidR="00B1790E">
        <w:t>are prepared for placements</w:t>
      </w:r>
      <w:r>
        <w:t xml:space="preserve"> -</w:t>
      </w:r>
      <w:r w:rsidR="00B1790E">
        <w:t xml:space="preserve"> often in addition to other work can make the workload significant on staff involved in work-integrated learning</w:t>
      </w:r>
      <w:r w:rsidR="00224C1F">
        <w:t xml:space="preserve"> (</w:t>
      </w:r>
      <w:r w:rsidR="000F6541">
        <w:t>Wheeldon et al. 2023</w:t>
      </w:r>
      <w:r w:rsidR="00224C1F">
        <w:t>).</w:t>
      </w:r>
      <w:r w:rsidR="00104E1E">
        <w:t xml:space="preserve"> These issues can lead to staff burnout</w:t>
      </w:r>
      <w:r w:rsidR="00701602">
        <w:t xml:space="preserve">, particularly where competition for placements </w:t>
      </w:r>
      <w:r w:rsidR="004D7BBB">
        <w:t>is</w:t>
      </w:r>
      <w:r w:rsidR="00701602">
        <w:t xml:space="preserve"> high (Wheeldon et al. 2023). </w:t>
      </w:r>
    </w:p>
    <w:p w14:paraId="7C3B823C" w14:textId="2FC47A9B" w:rsidR="004409EA" w:rsidRPr="00F05A27" w:rsidRDefault="009926C8" w:rsidP="00F05A27">
      <w:r>
        <w:t>Work-integrated learning is just one such example, though</w:t>
      </w:r>
      <w:r w:rsidR="0097695B">
        <w:t xml:space="preserve"> similar concerns are likely to apply to</w:t>
      </w:r>
      <w:r>
        <w:t xml:space="preserve"> </w:t>
      </w:r>
      <w:r w:rsidR="00104E1E">
        <w:t xml:space="preserve">the </w:t>
      </w:r>
      <w:r>
        <w:t>additional burden on professional and academic staff</w:t>
      </w:r>
      <w:r w:rsidR="0097695B">
        <w:t xml:space="preserve"> involved in developing and maintaining</w:t>
      </w:r>
      <w:r>
        <w:t xml:space="preserve"> innovative qualification models</w:t>
      </w:r>
      <w:r w:rsidR="0097695B">
        <w:t xml:space="preserve"> where additional resources are not given. Employers interested in the benefits of work-integrated learning and other collaborative mode</w:t>
      </w:r>
      <w:r w:rsidR="00ED6209">
        <w:t xml:space="preserve">ls need to be engaged in offering placements and working with providers, otherwise scaling is not possible. </w:t>
      </w:r>
      <w:r w:rsidR="00792B4C">
        <w:t>It is important to acknowledge</w:t>
      </w:r>
      <w:r w:rsidR="007F2557">
        <w:t xml:space="preserve"> the high prevalence of</w:t>
      </w:r>
      <w:r w:rsidR="00792B4C">
        <w:t xml:space="preserve"> small to medium</w:t>
      </w:r>
      <w:r w:rsidR="007F2557">
        <w:t>-</w:t>
      </w:r>
      <w:r w:rsidR="00792B4C">
        <w:t>size</w:t>
      </w:r>
      <w:r w:rsidR="007F2557">
        <w:t>d</w:t>
      </w:r>
      <w:r w:rsidR="00792B4C">
        <w:t xml:space="preserve"> enterprises </w:t>
      </w:r>
      <w:r w:rsidR="007F2557">
        <w:t xml:space="preserve">in Australia, which have less capacity for </w:t>
      </w:r>
      <w:r w:rsidR="00D607F5">
        <w:t>engagement</w:t>
      </w:r>
      <w:r w:rsidR="007F2557">
        <w:t xml:space="preserve"> (Jackson 202</w:t>
      </w:r>
      <w:r w:rsidR="009E0D29">
        <w:t>4</w:t>
      </w:r>
      <w:r w:rsidR="007F2557">
        <w:t>).</w:t>
      </w:r>
      <w:r w:rsidR="00542F3D">
        <w:t xml:space="preserve"> As such, this may further constrain the ability of industry-linked models to be sustained and scaled,</w:t>
      </w:r>
      <w:r w:rsidR="00095154">
        <w:t xml:space="preserve"> meaning that </w:t>
      </w:r>
      <w:r w:rsidR="00AF6A8B">
        <w:t xml:space="preserve">new models may remain relatively niche. </w:t>
      </w:r>
    </w:p>
    <w:p w14:paraId="46505B54" w14:textId="77777777" w:rsidR="00F05A27" w:rsidRPr="00F05A27" w:rsidRDefault="00F05A27" w:rsidP="00B53611">
      <w:pPr>
        <w:pStyle w:val="Heading3"/>
      </w:pPr>
      <w:bookmarkStart w:id="55" w:name="_Toc229643981"/>
      <w:r w:rsidRPr="00F05A27">
        <w:t>Beyond qualifications: other dual sector models</w:t>
      </w:r>
      <w:bookmarkEnd w:id="55"/>
    </w:p>
    <w:p w14:paraId="13CC7D7C" w14:textId="287E0B86" w:rsidR="00F05A27" w:rsidRPr="00F05A27" w:rsidRDefault="00F05A27" w:rsidP="00F05A27">
      <w:pPr>
        <w:rPr>
          <w:color w:val="F0404F" w:themeColor="accent6"/>
        </w:rPr>
      </w:pPr>
      <w:r>
        <w:t>Qualifications are not the only kind of dual sector model. Dual sector providers a</w:t>
      </w:r>
      <w:r w:rsidR="2FBC88D6">
        <w:t>s well as</w:t>
      </w:r>
      <w:r w:rsidDel="00F05A27">
        <w:t xml:space="preserve"> </w:t>
      </w:r>
      <w:r>
        <w:t xml:space="preserve">co-location and shared facilities are other mechanisms to build on the strengths of both sectors. </w:t>
      </w:r>
      <w:r w:rsidRPr="3A7ED23E">
        <w:rPr>
          <w:color w:val="auto"/>
        </w:rPr>
        <w:t>These models can also help overcome some of the barriers to developing collaborative</w:t>
      </w:r>
      <w:r w:rsidR="00B8701D" w:rsidRPr="3A7ED23E">
        <w:rPr>
          <w:color w:val="auto"/>
        </w:rPr>
        <w:t xml:space="preserve"> or </w:t>
      </w:r>
      <w:r w:rsidRPr="3A7ED23E">
        <w:rPr>
          <w:color w:val="auto"/>
        </w:rPr>
        <w:t>dual sector qualifications</w:t>
      </w:r>
      <w:r w:rsidR="00B8701D" w:rsidRPr="3A7ED23E">
        <w:rPr>
          <w:color w:val="auto"/>
        </w:rPr>
        <w:t>.</w:t>
      </w:r>
      <w:r w:rsidRPr="3A7ED23E">
        <w:rPr>
          <w:color w:val="auto"/>
        </w:rPr>
        <w:t xml:space="preserve"> </w:t>
      </w:r>
      <w:r w:rsidR="00B8701D" w:rsidRPr="3A7ED23E">
        <w:rPr>
          <w:color w:val="auto"/>
        </w:rPr>
        <w:t>So</w:t>
      </w:r>
      <w:r w:rsidRPr="3A7ED23E">
        <w:rPr>
          <w:color w:val="auto"/>
        </w:rPr>
        <w:t xml:space="preserve">me of the more sustainable </w:t>
      </w:r>
      <w:r w:rsidR="00B8701D" w:rsidRPr="3A7ED23E">
        <w:rPr>
          <w:color w:val="auto"/>
        </w:rPr>
        <w:t>dual sector qualifications are</w:t>
      </w:r>
      <w:r w:rsidRPr="3A7ED23E">
        <w:rPr>
          <w:color w:val="auto"/>
        </w:rPr>
        <w:t xml:space="preserve"> associated with co-located campuses; </w:t>
      </w:r>
      <w:r w:rsidR="00241395" w:rsidRPr="3A7ED23E">
        <w:rPr>
          <w:color w:val="auto"/>
        </w:rPr>
        <w:t xml:space="preserve">where </w:t>
      </w:r>
      <w:r w:rsidR="00B03B31" w:rsidRPr="3A7ED23E">
        <w:rPr>
          <w:color w:val="auto"/>
        </w:rPr>
        <w:t xml:space="preserve">it may be easier for dual sector providers to develop and sustain </w:t>
      </w:r>
      <w:r w:rsidR="00A161C3" w:rsidRPr="3A7ED23E">
        <w:rPr>
          <w:color w:val="auto"/>
        </w:rPr>
        <w:t>these models</w:t>
      </w:r>
      <w:r w:rsidR="00CF3156" w:rsidRPr="3A7ED23E">
        <w:rPr>
          <w:color w:val="auto"/>
        </w:rPr>
        <w:t xml:space="preserve"> as they </w:t>
      </w:r>
      <w:r w:rsidR="00D3120F" w:rsidRPr="3A7ED23E">
        <w:rPr>
          <w:color w:val="auto"/>
        </w:rPr>
        <w:t xml:space="preserve">do not need to </w:t>
      </w:r>
      <w:r w:rsidR="00241395" w:rsidRPr="3A7ED23E">
        <w:rPr>
          <w:color w:val="auto"/>
        </w:rPr>
        <w:t xml:space="preserve">negotiate </w:t>
      </w:r>
      <w:r w:rsidR="00D3120F" w:rsidRPr="3A7ED23E">
        <w:rPr>
          <w:color w:val="auto"/>
        </w:rPr>
        <w:t>with another institution</w:t>
      </w:r>
      <w:r w:rsidRPr="3A7ED23E">
        <w:rPr>
          <w:color w:val="auto"/>
        </w:rPr>
        <w:t>.</w:t>
      </w:r>
    </w:p>
    <w:p w14:paraId="26F6BAF7" w14:textId="77777777" w:rsidR="00F05A27" w:rsidRPr="00F05A27" w:rsidRDefault="00F05A27" w:rsidP="002320D2">
      <w:pPr>
        <w:pStyle w:val="Heading4"/>
      </w:pPr>
      <w:r w:rsidRPr="00F05A27">
        <w:t>Dual sector providers</w:t>
      </w:r>
      <w:r w:rsidRPr="00F05A27">
        <w:tab/>
      </w:r>
    </w:p>
    <w:p w14:paraId="626F630E" w14:textId="272E0AED" w:rsidR="00F05A27" w:rsidRPr="00F05A27" w:rsidRDefault="00AF6A8B" w:rsidP="00F05A27">
      <w:pPr>
        <w:rPr>
          <w:rFonts w:eastAsiaTheme="majorEastAsia"/>
        </w:rPr>
      </w:pPr>
      <w:r>
        <w:rPr>
          <w:rFonts w:eastAsiaTheme="majorEastAsia"/>
        </w:rPr>
        <w:t>Dual sector</w:t>
      </w:r>
      <w:r w:rsidR="00F05A27" w:rsidRPr="00F05A27">
        <w:rPr>
          <w:rFonts w:eastAsiaTheme="majorEastAsia"/>
        </w:rPr>
        <w:t xml:space="preserve"> providers</w:t>
      </w:r>
      <w:r>
        <w:rPr>
          <w:rFonts w:eastAsiaTheme="majorEastAsia"/>
        </w:rPr>
        <w:t xml:space="preserve"> are those</w:t>
      </w:r>
      <w:r w:rsidR="00F05A27" w:rsidRPr="00F05A27">
        <w:rPr>
          <w:rFonts w:eastAsiaTheme="majorEastAsia"/>
        </w:rPr>
        <w:t xml:space="preserve"> registered in both the VET and higher education sector</w:t>
      </w:r>
      <w:r w:rsidR="007354F5">
        <w:rPr>
          <w:rFonts w:eastAsiaTheme="majorEastAsia"/>
        </w:rPr>
        <w:t>s</w:t>
      </w:r>
      <w:r w:rsidR="00F05A27" w:rsidRPr="00F05A27">
        <w:rPr>
          <w:rFonts w:eastAsiaTheme="majorEastAsia"/>
        </w:rPr>
        <w:t xml:space="preserve">. Six universities are considered dual sector universities as they have substantial load in both the VET and higher education sectors. </w:t>
      </w:r>
      <w:r w:rsidR="00F05A27" w:rsidRPr="00D353D1">
        <w:rPr>
          <w:rFonts w:eastAsiaTheme="majorEastAsia"/>
        </w:rPr>
        <w:t>Th</w:t>
      </w:r>
      <w:r w:rsidR="00465185" w:rsidRPr="00D353D1">
        <w:rPr>
          <w:rFonts w:eastAsiaTheme="majorEastAsia"/>
        </w:rPr>
        <w:t>ese</w:t>
      </w:r>
      <w:r w:rsidR="00465185">
        <w:rPr>
          <w:rFonts w:eastAsiaTheme="majorEastAsia"/>
        </w:rPr>
        <w:t xml:space="preserve"> are</w:t>
      </w:r>
      <w:r w:rsidR="00F05A27" w:rsidRPr="00F05A27">
        <w:rPr>
          <w:rFonts w:eastAsiaTheme="majorEastAsia"/>
        </w:rPr>
        <w:t xml:space="preserve"> Charles Darwin University and </w:t>
      </w:r>
      <w:r w:rsidR="00F05A27" w:rsidRPr="00D353D1">
        <w:rPr>
          <w:rFonts w:eastAsiaTheme="majorEastAsia"/>
        </w:rPr>
        <w:t>C</w:t>
      </w:r>
      <w:r w:rsidR="3B546E5D" w:rsidRPr="00D353D1">
        <w:rPr>
          <w:rFonts w:eastAsiaTheme="majorEastAsia"/>
        </w:rPr>
        <w:t xml:space="preserve">entral </w:t>
      </w:r>
      <w:r w:rsidR="00F05A27" w:rsidRPr="00D353D1">
        <w:rPr>
          <w:rFonts w:eastAsiaTheme="majorEastAsia"/>
        </w:rPr>
        <w:t>Q</w:t>
      </w:r>
      <w:r w:rsidR="2FFADF30" w:rsidRPr="00D353D1">
        <w:rPr>
          <w:rFonts w:eastAsiaTheme="majorEastAsia"/>
        </w:rPr>
        <w:t xml:space="preserve">ueensland </w:t>
      </w:r>
      <w:r w:rsidR="00F05A27" w:rsidRPr="00D353D1">
        <w:rPr>
          <w:rFonts w:eastAsiaTheme="majorEastAsia"/>
        </w:rPr>
        <w:t>University</w:t>
      </w:r>
      <w:r w:rsidR="00F05A27" w:rsidRPr="00F05A27">
        <w:rPr>
          <w:rFonts w:eastAsiaTheme="majorEastAsia"/>
        </w:rPr>
        <w:t>, and four Victorian dual sector</w:t>
      </w:r>
      <w:r w:rsidR="00DC6769">
        <w:rPr>
          <w:rFonts w:eastAsiaTheme="majorEastAsia"/>
        </w:rPr>
        <w:t xml:space="preserve"> universities</w:t>
      </w:r>
      <w:r w:rsidR="00F05A27" w:rsidRPr="00F05A27">
        <w:rPr>
          <w:rFonts w:eastAsiaTheme="majorEastAsia"/>
        </w:rPr>
        <w:t xml:space="preserve"> </w:t>
      </w:r>
      <w:r w:rsidR="00DC6769">
        <w:rPr>
          <w:rFonts w:eastAsiaTheme="majorEastAsia"/>
        </w:rPr>
        <w:t xml:space="preserve">that are </w:t>
      </w:r>
      <w:r w:rsidR="00F05A27" w:rsidRPr="00F05A27">
        <w:rPr>
          <w:rFonts w:eastAsiaTheme="majorEastAsia"/>
        </w:rPr>
        <w:t xml:space="preserve">also considered TAFEs: Federation University, RMIT University, Swinburne University of Technology, and Victoria University. Four of these </w:t>
      </w:r>
      <w:r w:rsidR="00DA5D5C">
        <w:rPr>
          <w:rFonts w:eastAsiaTheme="majorEastAsia"/>
        </w:rPr>
        <w:t xml:space="preserve">originated as </w:t>
      </w:r>
      <w:r w:rsidR="00F05A27" w:rsidRPr="00F05A27">
        <w:rPr>
          <w:rFonts w:eastAsiaTheme="majorEastAsia"/>
        </w:rPr>
        <w:t xml:space="preserve">vocational education institutions and retained their VET programs, unlike some </w:t>
      </w:r>
      <w:r w:rsidR="00A60DDC">
        <w:rPr>
          <w:rFonts w:eastAsiaTheme="majorEastAsia"/>
        </w:rPr>
        <w:t xml:space="preserve">institutions that </w:t>
      </w:r>
      <w:r w:rsidR="00F05A27" w:rsidRPr="00F05A27">
        <w:rPr>
          <w:rFonts w:eastAsiaTheme="majorEastAsia"/>
        </w:rPr>
        <w:t xml:space="preserve">also developed from vocational institutions </w:t>
      </w:r>
      <w:r w:rsidR="00572E02">
        <w:rPr>
          <w:rFonts w:eastAsiaTheme="majorEastAsia"/>
        </w:rPr>
        <w:t>and</w:t>
      </w:r>
      <w:r w:rsidR="00572E02" w:rsidRPr="00F05A27">
        <w:rPr>
          <w:rFonts w:eastAsiaTheme="majorEastAsia"/>
        </w:rPr>
        <w:t xml:space="preserve"> </w:t>
      </w:r>
      <w:r w:rsidR="008B4770">
        <w:rPr>
          <w:rFonts w:eastAsiaTheme="majorEastAsia"/>
        </w:rPr>
        <w:t xml:space="preserve">transitioned into </w:t>
      </w:r>
      <w:r w:rsidR="00F05A27" w:rsidRPr="00F05A27">
        <w:rPr>
          <w:rFonts w:eastAsiaTheme="majorEastAsia"/>
        </w:rPr>
        <w:t>single sector higher education providers (Moodie 2008).</w:t>
      </w:r>
    </w:p>
    <w:p w14:paraId="6637FB4E" w14:textId="5986B995" w:rsidR="00F05A27" w:rsidRPr="00F05A27" w:rsidRDefault="00E42009" w:rsidP="007319DC">
      <w:pPr>
        <w:keepLines/>
        <w:rPr>
          <w:rFonts w:eastAsiaTheme="majorEastAsia"/>
        </w:rPr>
      </w:pPr>
      <w:r>
        <w:rPr>
          <w:rFonts w:eastAsiaTheme="majorEastAsia"/>
        </w:rPr>
        <w:t>A further e</w:t>
      </w:r>
      <w:r w:rsidR="00F05A27" w:rsidRPr="00F05A27">
        <w:rPr>
          <w:rFonts w:eastAsiaTheme="majorEastAsia"/>
        </w:rPr>
        <w:t>ight universities are also registered in the VET sector, though are not considered dual sector universities due to the limited scope of their VET offerings. Many TAFEs and private providers are also registered in both sectors, with some holding limited self-accrediting authority to develop and accredit higher education qualifications (</w:t>
      </w:r>
      <w:r w:rsidR="00460C0D">
        <w:rPr>
          <w:rFonts w:eastAsiaTheme="majorEastAsia"/>
        </w:rPr>
        <w:t xml:space="preserve">ASQA and </w:t>
      </w:r>
      <w:r w:rsidR="00F05A27" w:rsidRPr="00F05A27">
        <w:rPr>
          <w:rFonts w:eastAsiaTheme="majorEastAsia"/>
        </w:rPr>
        <w:t xml:space="preserve">TEQSA 2025). Some universities also have associated colleges which offer VET courses, such as </w:t>
      </w:r>
      <w:r w:rsidR="005A17F9">
        <w:rPr>
          <w:rFonts w:eastAsiaTheme="majorEastAsia"/>
        </w:rPr>
        <w:t>T</w:t>
      </w:r>
      <w:r w:rsidR="00F05A27" w:rsidRPr="00F05A27">
        <w:rPr>
          <w:rFonts w:eastAsiaTheme="majorEastAsia"/>
        </w:rPr>
        <w:t xml:space="preserve">he College at Western associated with Western Sydney University (Western </w:t>
      </w:r>
      <w:r w:rsidR="000914D8">
        <w:rPr>
          <w:rFonts w:eastAsiaTheme="majorEastAsia"/>
        </w:rPr>
        <w:t>Sydney University</w:t>
      </w:r>
      <w:r w:rsidR="00F05A27" w:rsidRPr="00F05A27">
        <w:rPr>
          <w:rFonts w:eastAsiaTheme="majorEastAsia"/>
        </w:rPr>
        <w:t xml:space="preserve"> 2025).</w:t>
      </w:r>
    </w:p>
    <w:p w14:paraId="0CB0DCC5" w14:textId="5CAE932C" w:rsidR="00F05A27" w:rsidRPr="00F05A27" w:rsidRDefault="00F05A27" w:rsidP="00F05A27">
      <w:r w:rsidRPr="00F05A27">
        <w:t xml:space="preserve">Dual sector providers are </w:t>
      </w:r>
      <w:r w:rsidR="00324729" w:rsidRPr="00D353D1">
        <w:t>well</w:t>
      </w:r>
      <w:r w:rsidR="00324729">
        <w:t>-positioned</w:t>
      </w:r>
      <w:r w:rsidRPr="00F05A27">
        <w:t xml:space="preserve"> to develop dual sector qualifications and pathways, </w:t>
      </w:r>
      <w:r w:rsidR="000A071F">
        <w:t>as</w:t>
      </w:r>
      <w:r w:rsidR="000A071F" w:rsidRPr="00F05A27">
        <w:t xml:space="preserve"> </w:t>
      </w:r>
      <w:r w:rsidR="0098006F">
        <w:t xml:space="preserve">these </w:t>
      </w:r>
      <w:r w:rsidR="000A071F">
        <w:t>can be</w:t>
      </w:r>
      <w:r w:rsidRPr="00F05A27">
        <w:t xml:space="preserve"> </w:t>
      </w:r>
      <w:r w:rsidR="0098006F">
        <w:t xml:space="preserve">designed internally </w:t>
      </w:r>
      <w:r w:rsidR="000A071F">
        <w:t xml:space="preserve">without </w:t>
      </w:r>
      <w:r w:rsidR="00F5772A">
        <w:t>reliance</w:t>
      </w:r>
      <w:r w:rsidRPr="00F05A27">
        <w:t xml:space="preserve"> on cross-provider relationships. </w:t>
      </w:r>
      <w:r w:rsidR="00AD42B3">
        <w:t>While strong r</w:t>
      </w:r>
      <w:r w:rsidRPr="00F05A27">
        <w:t>elationship</w:t>
      </w:r>
      <w:r w:rsidR="00AD42B3">
        <w:t>s</w:t>
      </w:r>
      <w:r w:rsidR="00CF7807">
        <w:t xml:space="preserve"> </w:t>
      </w:r>
      <w:r w:rsidR="007B63B5">
        <w:t>across teams remain</w:t>
      </w:r>
      <w:r w:rsidRPr="00F05A27">
        <w:t xml:space="preserve"> important</w:t>
      </w:r>
      <w:r w:rsidR="000E72B5">
        <w:t>,</w:t>
      </w:r>
      <w:r w:rsidRPr="00F05A27">
        <w:t xml:space="preserve"> operating </w:t>
      </w:r>
      <w:r w:rsidR="000E72B5">
        <w:t xml:space="preserve">within one institution </w:t>
      </w:r>
      <w:r w:rsidR="00FF611A">
        <w:t xml:space="preserve">can reduce </w:t>
      </w:r>
      <w:r w:rsidR="00017CA1">
        <w:t>financial competition compared to</w:t>
      </w:r>
      <w:r w:rsidRPr="00F05A27">
        <w:t xml:space="preserve"> </w:t>
      </w:r>
      <w:r w:rsidR="00172823">
        <w:t xml:space="preserve">partnerships with another </w:t>
      </w:r>
      <w:r w:rsidR="00B561BD">
        <w:t>institution</w:t>
      </w:r>
      <w:r w:rsidRPr="00F05A27">
        <w:t xml:space="preserve">. </w:t>
      </w:r>
      <w:r w:rsidR="00323621">
        <w:t>Dual sector providers</w:t>
      </w:r>
      <w:r w:rsidR="004918C7">
        <w:t xml:space="preserve"> may</w:t>
      </w:r>
      <w:r w:rsidR="00323621">
        <w:t xml:space="preserve"> also</w:t>
      </w:r>
      <w:r w:rsidR="00BD3CF9">
        <w:t xml:space="preserve"> benefit from having knowledge of both sectors within a single</w:t>
      </w:r>
      <w:r w:rsidR="00D356A5">
        <w:t xml:space="preserve"> institution</w:t>
      </w:r>
      <w:r w:rsidR="00BD3CF9">
        <w:t xml:space="preserve"> </w:t>
      </w:r>
      <w:r w:rsidR="00992A22">
        <w:t xml:space="preserve">though ensuring this </w:t>
      </w:r>
      <w:r w:rsidR="00326537">
        <w:t xml:space="preserve">expertise </w:t>
      </w:r>
      <w:r w:rsidR="00992A22">
        <w:t xml:space="preserve">is shared </w:t>
      </w:r>
      <w:r w:rsidR="00485C9B">
        <w:t xml:space="preserve">across </w:t>
      </w:r>
      <w:r w:rsidR="00CA42BB">
        <w:t xml:space="preserve">VET and higher education </w:t>
      </w:r>
      <w:r w:rsidR="00D02C63">
        <w:t xml:space="preserve">divisions </w:t>
      </w:r>
      <w:r w:rsidR="00992A22">
        <w:t>is important,</w:t>
      </w:r>
      <w:r w:rsidR="00BD3CF9">
        <w:t xml:space="preserve"> as providers </w:t>
      </w:r>
      <w:r w:rsidR="00E056A5">
        <w:t xml:space="preserve">and staff that </w:t>
      </w:r>
      <w:r w:rsidR="00B53EB7">
        <w:t>focus on</w:t>
      </w:r>
      <w:r w:rsidR="00D02C63">
        <w:t xml:space="preserve"> each sector often have limited understanding of </w:t>
      </w:r>
      <w:r w:rsidR="00BD3CF9">
        <w:t>the other secto</w:t>
      </w:r>
      <w:r w:rsidR="00992A22">
        <w:t xml:space="preserve">r. </w:t>
      </w:r>
    </w:p>
    <w:p w14:paraId="78122796" w14:textId="0DACFE16" w:rsidR="00F05A27" w:rsidRPr="00F05A27" w:rsidRDefault="00F05A27" w:rsidP="00F05A27">
      <w:r w:rsidRPr="00F05A27">
        <w:t xml:space="preserve">ASQA and TEQSA recently released their Dual Sector Regulatory Strategy, which identifies </w:t>
      </w:r>
      <w:r w:rsidR="00D02C63">
        <w:t xml:space="preserve">opportunities </w:t>
      </w:r>
      <w:r w:rsidRPr="00F05A27">
        <w:t>to reduce duplication and streamline regulation for providers registered in both sectors, with implementation underway (</w:t>
      </w:r>
      <w:r w:rsidR="00C90FDF">
        <w:t xml:space="preserve">ASQA and </w:t>
      </w:r>
      <w:r w:rsidRPr="00F05A27">
        <w:t>TEQSA 2025). This includes improving information sharing and collaboration between the agencies; optimising the alignment of regulatory processes and evidence requirements where practical; and supporting providers to strengthen governance and responsiveness to industry needs (</w:t>
      </w:r>
      <w:r w:rsidR="00C90FDF">
        <w:t xml:space="preserve">ASQA and </w:t>
      </w:r>
      <w:r w:rsidRPr="00F05A27">
        <w:t xml:space="preserve">TEQSA 2025). </w:t>
      </w:r>
    </w:p>
    <w:p w14:paraId="57AC33C8" w14:textId="77777777" w:rsidR="00F05A27" w:rsidRPr="00F05A27" w:rsidRDefault="00F05A27" w:rsidP="002320D2">
      <w:pPr>
        <w:pStyle w:val="Heading4"/>
        <w:rPr>
          <w:color w:val="F0404F" w:themeColor="accent6"/>
        </w:rPr>
      </w:pPr>
      <w:r w:rsidRPr="00F05A27">
        <w:t xml:space="preserve">Co-location and shared facilities </w:t>
      </w:r>
    </w:p>
    <w:p w14:paraId="558A751F" w14:textId="79518DEC" w:rsidR="00247EA8" w:rsidRDefault="00F05A27" w:rsidP="00F22DD0">
      <w:r w:rsidRPr="00F05A27">
        <w:rPr>
          <w:bCs/>
        </w:rPr>
        <w:t>Another method of cross-sector collaboration is in the co-location of campuses and shared facilities</w:t>
      </w:r>
      <w:r w:rsidR="00AF3A36">
        <w:t xml:space="preserve">. </w:t>
      </w:r>
      <w:r w:rsidR="0049557C">
        <w:t xml:space="preserve">These arrangements enable </w:t>
      </w:r>
      <w:r w:rsidR="00AF3A36" w:rsidRPr="00F05A27">
        <w:t xml:space="preserve">higher education and VET </w:t>
      </w:r>
      <w:r w:rsidR="0049557C">
        <w:t xml:space="preserve">providers to </w:t>
      </w:r>
      <w:r w:rsidR="00AF3A36" w:rsidRPr="00F05A27">
        <w:t>share facilities</w:t>
      </w:r>
      <w:r w:rsidR="0049557C">
        <w:t>,</w:t>
      </w:r>
      <w:r w:rsidR="00AF3A36" w:rsidRPr="00F05A27">
        <w:t xml:space="preserve"> resources </w:t>
      </w:r>
      <w:r w:rsidR="00BB5279">
        <w:t xml:space="preserve">and specialist infrastructure, supporting </w:t>
      </w:r>
      <w:r w:rsidR="00AF3A36" w:rsidRPr="00F05A27">
        <w:t xml:space="preserve">innovative approaches to teaching and learning. Co-located institutions </w:t>
      </w:r>
      <w:r w:rsidR="00CD092C" w:rsidRPr="00F05A27">
        <w:t>can</w:t>
      </w:r>
      <w:r w:rsidR="00AF3A36" w:rsidRPr="00F05A27">
        <w:t xml:space="preserve"> </w:t>
      </w:r>
      <w:r w:rsidR="002934ED">
        <w:t xml:space="preserve">also </w:t>
      </w:r>
      <w:r w:rsidR="00AF3A36" w:rsidRPr="00F05A27">
        <w:t xml:space="preserve">foster collaboration between </w:t>
      </w:r>
      <w:r w:rsidR="00A354E9">
        <w:t>learners</w:t>
      </w:r>
      <w:r w:rsidR="00AF3A36" w:rsidRPr="00F05A27">
        <w:t>, educators, and industry partners</w:t>
      </w:r>
      <w:r w:rsidR="00A354E9">
        <w:t xml:space="preserve">, and support </w:t>
      </w:r>
      <w:r w:rsidR="00AF3A36" w:rsidRPr="00F05A27">
        <w:t>continuous learning and career development through co-located services.</w:t>
      </w:r>
    </w:p>
    <w:p w14:paraId="1171A622" w14:textId="09066984" w:rsidR="00AF3A36" w:rsidRDefault="00247EA8" w:rsidP="00F22DD0">
      <w:pPr>
        <w:rPr>
          <w:bCs/>
        </w:rPr>
      </w:pPr>
      <w:r>
        <w:rPr>
          <w:bCs/>
        </w:rPr>
        <w:t>I</w:t>
      </w:r>
      <w:r w:rsidR="00576A00" w:rsidRPr="00F05A27">
        <w:rPr>
          <w:bCs/>
        </w:rPr>
        <w:t>n regional areas</w:t>
      </w:r>
      <w:r>
        <w:rPr>
          <w:bCs/>
        </w:rPr>
        <w:t>, co-location can create</w:t>
      </w:r>
      <w:r w:rsidR="00576A00" w:rsidRPr="00F05A27">
        <w:rPr>
          <w:bCs/>
        </w:rPr>
        <w:t xml:space="preserve"> focal point</w:t>
      </w:r>
      <w:r>
        <w:rPr>
          <w:bCs/>
        </w:rPr>
        <w:t>s</w:t>
      </w:r>
      <w:r w:rsidR="00576A00" w:rsidRPr="00F05A27">
        <w:rPr>
          <w:bCs/>
        </w:rPr>
        <w:t xml:space="preserve"> for local industry, </w:t>
      </w:r>
      <w:r>
        <w:rPr>
          <w:bCs/>
        </w:rPr>
        <w:t xml:space="preserve">contributing to the </w:t>
      </w:r>
      <w:r w:rsidR="00576A00" w:rsidRPr="00F05A27">
        <w:rPr>
          <w:bCs/>
        </w:rPr>
        <w:t>economic base</w:t>
      </w:r>
      <w:r w:rsidR="00576A00" w:rsidRPr="00F05A27">
        <w:t xml:space="preserve"> </w:t>
      </w:r>
      <w:r>
        <w:t xml:space="preserve">of </w:t>
      </w:r>
      <w:r w:rsidR="00576A00" w:rsidRPr="00F05A27">
        <w:rPr>
          <w:bCs/>
        </w:rPr>
        <w:t>regional communities</w:t>
      </w:r>
      <w:r w:rsidR="00576A00">
        <w:rPr>
          <w:bCs/>
        </w:rPr>
        <w:t xml:space="preserve"> (Victorian TAFE Association 2019)</w:t>
      </w:r>
      <w:r w:rsidR="00576A00" w:rsidRPr="00F05A27">
        <w:rPr>
          <w:bCs/>
        </w:rPr>
        <w:t>.</w:t>
      </w:r>
      <w:r w:rsidR="002C2703">
        <w:rPr>
          <w:bCs/>
        </w:rPr>
        <w:t xml:space="preserve"> Regional and Suburban University Study Hubs </w:t>
      </w:r>
      <w:r>
        <w:rPr>
          <w:bCs/>
        </w:rPr>
        <w:t xml:space="preserve">also </w:t>
      </w:r>
      <w:r w:rsidR="002C2703">
        <w:rPr>
          <w:bCs/>
        </w:rPr>
        <w:t xml:space="preserve">support both VET and higher education </w:t>
      </w:r>
      <w:r>
        <w:rPr>
          <w:bCs/>
        </w:rPr>
        <w:t xml:space="preserve">learners </w:t>
      </w:r>
      <w:r w:rsidR="004B03D8">
        <w:rPr>
          <w:bCs/>
        </w:rPr>
        <w:t xml:space="preserve">by </w:t>
      </w:r>
      <w:r w:rsidR="00D155F3">
        <w:rPr>
          <w:bCs/>
        </w:rPr>
        <w:t>provid</w:t>
      </w:r>
      <w:r w:rsidR="004B03D8">
        <w:rPr>
          <w:bCs/>
        </w:rPr>
        <w:t>ing</w:t>
      </w:r>
      <w:r w:rsidR="00D155F3">
        <w:rPr>
          <w:bCs/>
        </w:rPr>
        <w:t xml:space="preserve"> shared learning space</w:t>
      </w:r>
      <w:r w:rsidR="00BD5E83">
        <w:rPr>
          <w:bCs/>
        </w:rPr>
        <w:t>s</w:t>
      </w:r>
      <w:r w:rsidR="00D155F3">
        <w:rPr>
          <w:bCs/>
        </w:rPr>
        <w:t xml:space="preserve"> and </w:t>
      </w:r>
      <w:r w:rsidR="00BD5E83">
        <w:rPr>
          <w:bCs/>
        </w:rPr>
        <w:t xml:space="preserve">on-site </w:t>
      </w:r>
      <w:r w:rsidR="00D155F3">
        <w:rPr>
          <w:bCs/>
        </w:rPr>
        <w:t>advisors (DoE 2025a)</w:t>
      </w:r>
      <w:r w:rsidR="00BD5E83">
        <w:rPr>
          <w:bCs/>
        </w:rPr>
        <w:t xml:space="preserve">. These hubs present </w:t>
      </w:r>
      <w:r w:rsidR="00E474BD">
        <w:rPr>
          <w:bCs/>
        </w:rPr>
        <w:t>opportunit</w:t>
      </w:r>
      <w:r w:rsidR="00BD5E83">
        <w:rPr>
          <w:bCs/>
        </w:rPr>
        <w:t>ies</w:t>
      </w:r>
      <w:r w:rsidR="00E474BD">
        <w:rPr>
          <w:bCs/>
        </w:rPr>
        <w:t xml:space="preserve"> to </w:t>
      </w:r>
      <w:r w:rsidR="00BD5E83">
        <w:rPr>
          <w:bCs/>
        </w:rPr>
        <w:t xml:space="preserve">further </w:t>
      </w:r>
      <w:r w:rsidR="00E474BD">
        <w:rPr>
          <w:bCs/>
        </w:rPr>
        <w:t xml:space="preserve">promote </w:t>
      </w:r>
      <w:r w:rsidR="00E825C2">
        <w:rPr>
          <w:bCs/>
        </w:rPr>
        <w:t>cross-sector collaboration</w:t>
      </w:r>
      <w:r w:rsidR="00BD5E83">
        <w:rPr>
          <w:bCs/>
        </w:rPr>
        <w:t xml:space="preserve"> at the local level</w:t>
      </w:r>
      <w:r w:rsidR="00D155F3">
        <w:rPr>
          <w:bCs/>
        </w:rPr>
        <w:t>.</w:t>
      </w:r>
      <w:r w:rsidR="002C2703">
        <w:rPr>
          <w:bCs/>
        </w:rPr>
        <w:t xml:space="preserve"> </w:t>
      </w:r>
      <w:r w:rsidR="00576A00">
        <w:rPr>
          <w:bCs/>
        </w:rPr>
        <w:t xml:space="preserve"> </w:t>
      </w:r>
    </w:p>
    <w:p w14:paraId="626012AB" w14:textId="77777777" w:rsidR="007F0CFE" w:rsidRDefault="007F0CFE" w:rsidP="00F22DD0">
      <w:pPr>
        <w:rPr>
          <w:bCs/>
        </w:rPr>
      </w:pPr>
    </w:p>
    <w:tbl>
      <w:tblPr>
        <w:tblStyle w:val="TableGrid10"/>
        <w:tblW w:w="0" w:type="auto"/>
        <w:shd w:val="clear" w:color="auto" w:fill="DBF5F2" w:themeFill="accent1" w:themeFillTint="1A"/>
        <w:tblLook w:val="04A0" w:firstRow="1" w:lastRow="0" w:firstColumn="1" w:lastColumn="0" w:noHBand="0" w:noVBand="1"/>
      </w:tblPr>
      <w:tblGrid>
        <w:gridCol w:w="567"/>
        <w:gridCol w:w="9072"/>
      </w:tblGrid>
      <w:tr w:rsidR="00E72E59" w:rsidRPr="00D571EC" w14:paraId="0D15E8EA" w14:textId="77777777">
        <w:trPr>
          <w:cnfStyle w:val="100000000000" w:firstRow="1" w:lastRow="0" w:firstColumn="0" w:lastColumn="0" w:oddVBand="0" w:evenVBand="0" w:oddHBand="0" w:evenHBand="0" w:firstRowFirstColumn="0" w:firstRowLastColumn="0" w:lastRowFirstColumn="0" w:lastRowLastColumn="0"/>
          <w:trHeight w:val="329"/>
        </w:trPr>
        <w:tc>
          <w:tcPr>
            <w:tcW w:w="567" w:type="dxa"/>
            <w:shd w:val="clear" w:color="auto" w:fill="D0DEFF" w:themeFill="text2" w:themeFillTint="1A"/>
          </w:tcPr>
          <w:p w14:paraId="7C6F63C4" w14:textId="3EBF57EF" w:rsidR="00785601" w:rsidRPr="00E225EB" w:rsidRDefault="00785601" w:rsidP="00785601">
            <w:pPr>
              <w:rPr>
                <w:rFonts w:eastAsiaTheme="minorEastAsia" w:cstheme="minorBidi"/>
                <w:color w:val="001032" w:themeColor="text2"/>
                <w:kern w:val="2"/>
                <w:sz w:val="22"/>
                <w:szCs w:val="22"/>
                <w:lang w:eastAsia="en-US"/>
                <w14:ligatures w14:val="standardContextual"/>
              </w:rPr>
            </w:pPr>
            <w:r w:rsidRPr="00E225EB">
              <w:rPr>
                <w:rFonts w:eastAsiaTheme="minorEastAsia" w:cstheme="minorBidi"/>
                <w:color w:val="001032" w:themeColor="text2"/>
                <w:kern w:val="2"/>
                <w:sz w:val="22"/>
                <w:szCs w:val="22"/>
                <w:lang w:eastAsia="en-US"/>
                <w14:ligatures w14:val="standardContextual"/>
              </w:rPr>
              <w:t>Q</w:t>
            </w:r>
            <w:r w:rsidRPr="00785601">
              <w:rPr>
                <w:rFonts w:eastAsiaTheme="minorEastAsia" w:cstheme="minorBidi"/>
                <w:color w:val="001032" w:themeColor="text2"/>
                <w:kern w:val="2"/>
                <w:sz w:val="22"/>
                <w:szCs w:val="22"/>
                <w:lang w:eastAsia="en-US"/>
                <w14:ligatures w14:val="standardContextual"/>
              </w:rPr>
              <w:t>8</w:t>
            </w:r>
          </w:p>
        </w:tc>
        <w:tc>
          <w:tcPr>
            <w:tcW w:w="9072" w:type="dxa"/>
            <w:shd w:val="clear" w:color="auto" w:fill="D0DEFF" w:themeFill="text2" w:themeFillTint="1A"/>
          </w:tcPr>
          <w:p w14:paraId="585341F3" w14:textId="2CAEFF41" w:rsidR="00785601" w:rsidRPr="00E225EB" w:rsidRDefault="005B6F50" w:rsidP="00785601">
            <w:pPr>
              <w:rPr>
                <w:color w:val="001032" w:themeColor="text2"/>
                <w:sz w:val="22"/>
                <w:szCs w:val="22"/>
                <w:lang w:eastAsia="en-US"/>
              </w:rPr>
            </w:pPr>
            <w:r w:rsidRPr="005B6F50">
              <w:rPr>
                <w:rFonts w:eastAsiaTheme="minorHAnsi" w:cstheme="minorBidi"/>
                <w:color w:val="auto"/>
                <w:kern w:val="2"/>
                <w:sz w:val="22"/>
                <w:szCs w:val="22"/>
                <w:lang w:eastAsia="en-US"/>
                <w14:ligatures w14:val="standardContextual"/>
              </w:rPr>
              <w:t>What are the challenges in developing and sustaining innovative qualifications, pathways and practices that span across the VET and higher education sectors? What does each sector need from government(s) to support their development and sustainability?</w:t>
            </w:r>
          </w:p>
        </w:tc>
      </w:tr>
      <w:tr w:rsidR="00E72E59" w:rsidRPr="00D571EC" w14:paraId="5FC7A5F0" w14:textId="77777777">
        <w:trPr>
          <w:trHeight w:val="329"/>
        </w:trPr>
        <w:tc>
          <w:tcPr>
            <w:tcW w:w="567" w:type="dxa"/>
            <w:shd w:val="clear" w:color="auto" w:fill="D0DEFF" w:themeFill="text2" w:themeFillTint="1A"/>
          </w:tcPr>
          <w:p w14:paraId="6C3E1E50" w14:textId="1FDD47CE" w:rsidR="00785601" w:rsidRPr="00E225EB" w:rsidRDefault="00785601" w:rsidP="00785601">
            <w:pPr>
              <w:rPr>
                <w:rFonts w:eastAsiaTheme="minorEastAsia" w:cstheme="minorBidi"/>
                <w:b/>
                <w:color w:val="001032" w:themeColor="text2"/>
                <w:kern w:val="2"/>
                <w:sz w:val="22"/>
                <w:szCs w:val="22"/>
                <w:lang w:eastAsia="en-US"/>
                <w14:ligatures w14:val="standardContextual"/>
              </w:rPr>
            </w:pPr>
            <w:r w:rsidRPr="00E225EB">
              <w:rPr>
                <w:rFonts w:eastAsiaTheme="minorEastAsia" w:cstheme="minorBidi"/>
                <w:b/>
                <w:color w:val="001032" w:themeColor="text2"/>
                <w:kern w:val="2"/>
                <w:sz w:val="22"/>
                <w:szCs w:val="22"/>
                <w:lang w:eastAsia="en-US"/>
                <w14:ligatures w14:val="standardContextual"/>
              </w:rPr>
              <w:t>Q</w:t>
            </w:r>
            <w:r w:rsidRPr="00785601">
              <w:rPr>
                <w:rFonts w:eastAsiaTheme="minorEastAsia" w:cstheme="minorBidi"/>
                <w:b/>
                <w:color w:val="001032" w:themeColor="text2"/>
                <w:kern w:val="2"/>
                <w:sz w:val="22"/>
                <w:szCs w:val="22"/>
                <w:lang w:eastAsia="en-US"/>
                <w14:ligatures w14:val="standardContextual"/>
              </w:rPr>
              <w:t>9</w:t>
            </w:r>
          </w:p>
        </w:tc>
        <w:tc>
          <w:tcPr>
            <w:tcW w:w="9072" w:type="dxa"/>
            <w:shd w:val="clear" w:color="auto" w:fill="D0DEFF" w:themeFill="text2" w:themeFillTint="1A"/>
          </w:tcPr>
          <w:p w14:paraId="261DC97E" w14:textId="064F6541" w:rsidR="00785601" w:rsidRPr="00E225EB" w:rsidRDefault="00785601" w:rsidP="00785601">
            <w:pPr>
              <w:rPr>
                <w:b/>
                <w:color w:val="001032" w:themeColor="text2"/>
                <w:sz w:val="22"/>
                <w:szCs w:val="22"/>
                <w:lang w:eastAsia="en-US"/>
              </w:rPr>
            </w:pPr>
            <w:r w:rsidRPr="00E225EB">
              <w:rPr>
                <w:rFonts w:eastAsia="Arial"/>
                <w:b/>
                <w:sz w:val="22"/>
                <w:szCs w:val="22"/>
              </w:rPr>
              <w:t>In which geographical locations, fields of education, industries or occupations would dual sector models be best suited?</w:t>
            </w:r>
            <w:r w:rsidR="00945644" w:rsidRPr="00945644">
              <w:rPr>
                <w:rFonts w:eastAsia="Arial"/>
                <w:b/>
                <w:sz w:val="22"/>
                <w:szCs w:val="22"/>
              </w:rPr>
              <w:t xml:space="preserve"> What are examples of work underway?</w:t>
            </w:r>
          </w:p>
        </w:tc>
      </w:tr>
    </w:tbl>
    <w:p w14:paraId="1FA9A2EC" w14:textId="76B4D7A8" w:rsidR="00AC1A82" w:rsidRPr="00F05A27" w:rsidRDefault="00AC1A82" w:rsidP="00F55179">
      <w:pPr>
        <w:spacing w:before="0"/>
        <w:contextualSpacing/>
        <w:rPr>
          <w:rFonts w:eastAsiaTheme="minorHAnsi" w:cstheme="minorBidi"/>
          <w:color w:val="auto"/>
          <w:kern w:val="2"/>
          <w:sz w:val="22"/>
          <w:szCs w:val="22"/>
          <w:lang w:eastAsia="en-US"/>
          <w14:ligatures w14:val="standardContextual"/>
        </w:rPr>
        <w:sectPr w:rsidR="00AC1A82" w:rsidRPr="00F05A27" w:rsidSect="00F05A27">
          <w:pgSz w:w="11907" w:h="16839" w:code="9"/>
          <w:pgMar w:top="1077" w:right="1134" w:bottom="1134" w:left="1134" w:header="567" w:footer="805" w:gutter="0"/>
          <w:cols w:space="708"/>
          <w:docGrid w:linePitch="360"/>
        </w:sectPr>
      </w:pPr>
    </w:p>
    <w:p w14:paraId="01E065ED" w14:textId="7BC43AB8" w:rsidR="588D6655" w:rsidRPr="00D353D1" w:rsidRDefault="60A3761D" w:rsidP="00AC7E45">
      <w:pPr>
        <w:pStyle w:val="Heading1"/>
        <w:numPr>
          <w:ilvl w:val="0"/>
          <w:numId w:val="14"/>
        </w:numPr>
        <w:spacing w:before="160" w:after="80" w:line="259" w:lineRule="auto"/>
      </w:pPr>
      <w:bookmarkStart w:id="56" w:name="_Toc214882484"/>
      <w:bookmarkStart w:id="57" w:name="_Toc229643982"/>
      <w:r w:rsidRPr="00BB59B4">
        <w:t>Next steps</w:t>
      </w:r>
      <w:bookmarkEnd w:id="56"/>
      <w:bookmarkEnd w:id="57"/>
    </w:p>
    <w:p w14:paraId="163FA0BB" w14:textId="1EFB3346" w:rsidR="60A3761D" w:rsidRPr="00BB59B4" w:rsidRDefault="60A3761D" w:rsidP="00AC7E45">
      <w:pPr>
        <w:pStyle w:val="Heading2"/>
        <w:numPr>
          <w:ilvl w:val="1"/>
          <w:numId w:val="14"/>
        </w:numPr>
        <w:spacing w:before="160" w:after="80" w:line="259" w:lineRule="auto"/>
        <w:ind w:left="851" w:hanging="851"/>
      </w:pPr>
      <w:bookmarkStart w:id="58" w:name="_Toc229643983"/>
      <w:r w:rsidRPr="00BB59B4">
        <w:t>Towards a Tertiary Roadmap</w:t>
      </w:r>
      <w:bookmarkEnd w:id="58"/>
    </w:p>
    <w:p w14:paraId="11BC3525" w14:textId="2C53F517" w:rsidR="60A3761D" w:rsidRDefault="60A3761D" w:rsidP="588D6655">
      <w:pPr>
        <w:spacing w:before="0"/>
        <w:rPr>
          <w:rFonts w:ascii="Arial" w:eastAsia="Arial" w:hAnsi="Arial" w:cs="Arial"/>
        </w:rPr>
      </w:pPr>
      <w:r w:rsidRPr="588D6655">
        <w:rPr>
          <w:rFonts w:ascii="Arial" w:eastAsia="Arial" w:hAnsi="Arial" w:cs="Arial"/>
        </w:rPr>
        <w:t xml:space="preserve">The Tertiary Roadmap is intended to set out an ambitious but achievable shared agenda to realise a more </w:t>
      </w:r>
      <w:r w:rsidRPr="588D6655" w:rsidDel="00395319">
        <w:rPr>
          <w:rFonts w:ascii="Arial" w:eastAsia="Arial" w:hAnsi="Arial" w:cs="Arial"/>
        </w:rPr>
        <w:t>joined</w:t>
      </w:r>
      <w:r w:rsidR="00395319">
        <w:rPr>
          <w:rFonts w:ascii="Arial" w:eastAsia="Arial" w:hAnsi="Arial" w:cs="Arial"/>
        </w:rPr>
        <w:t>-</w:t>
      </w:r>
      <w:r w:rsidRPr="588D6655">
        <w:rPr>
          <w:rFonts w:ascii="Arial" w:eastAsia="Arial" w:hAnsi="Arial" w:cs="Arial"/>
        </w:rPr>
        <w:t xml:space="preserve">up tertiary education system. It is only through a shared agenda between the ‘system actors’ </w:t>
      </w:r>
      <w:r w:rsidR="00654D67" w:rsidRPr="00D353D1">
        <w:rPr>
          <w:rFonts w:ascii="Arial" w:eastAsia="Arial" w:hAnsi="Arial" w:cs="Arial"/>
        </w:rPr>
        <w:t>–</w:t>
      </w:r>
      <w:r w:rsidRPr="588D6655">
        <w:rPr>
          <w:rFonts w:ascii="Arial" w:eastAsia="Arial" w:hAnsi="Arial" w:cs="Arial"/>
        </w:rPr>
        <w:t xml:space="preserve">Commonwealth, State and Territory governments, tertiary education providers, unions, employers, </w:t>
      </w:r>
      <w:r w:rsidR="005A0A9D">
        <w:rPr>
          <w:rFonts w:ascii="Arial" w:eastAsia="Arial" w:hAnsi="Arial" w:cs="Arial"/>
        </w:rPr>
        <w:t>business</w:t>
      </w:r>
      <w:r w:rsidRPr="588D6655">
        <w:rPr>
          <w:rFonts w:ascii="Arial" w:eastAsia="Arial" w:hAnsi="Arial" w:cs="Arial"/>
        </w:rPr>
        <w:t xml:space="preserve"> groups</w:t>
      </w:r>
      <w:r w:rsidR="005A0A9D">
        <w:rPr>
          <w:rFonts w:ascii="Arial" w:eastAsia="Arial" w:hAnsi="Arial" w:cs="Arial"/>
        </w:rPr>
        <w:t>, jobs and skills councils</w:t>
      </w:r>
      <w:r w:rsidRPr="588D6655">
        <w:rPr>
          <w:rFonts w:ascii="Arial" w:eastAsia="Arial" w:hAnsi="Arial" w:cs="Arial"/>
        </w:rPr>
        <w:t xml:space="preserve"> and accrediting bodies </w:t>
      </w:r>
      <w:r w:rsidR="00654D67" w:rsidRPr="00D353D1">
        <w:rPr>
          <w:rFonts w:ascii="Arial" w:eastAsia="Arial" w:hAnsi="Arial" w:cs="Arial"/>
        </w:rPr>
        <w:t>–</w:t>
      </w:r>
      <w:r w:rsidRPr="00D353D1">
        <w:rPr>
          <w:rFonts w:ascii="Arial" w:eastAsia="Arial" w:hAnsi="Arial" w:cs="Arial"/>
        </w:rPr>
        <w:t xml:space="preserve"> </w:t>
      </w:r>
      <w:r w:rsidR="1DA6BA43" w:rsidRPr="00D353D1">
        <w:rPr>
          <w:rFonts w:ascii="Arial" w:eastAsia="Arial" w:hAnsi="Arial" w:cs="Arial"/>
        </w:rPr>
        <w:t>that</w:t>
      </w:r>
      <w:r w:rsidRPr="588D6655">
        <w:rPr>
          <w:rFonts w:ascii="Arial" w:eastAsia="Arial" w:hAnsi="Arial" w:cs="Arial"/>
        </w:rPr>
        <w:t xml:space="preserve"> the benefits of the strategic alignment of VET and higher education be achieved. </w:t>
      </w:r>
    </w:p>
    <w:p w14:paraId="4E58A0B3" w14:textId="07CE4109" w:rsidR="00647CF5" w:rsidRDefault="00BB6332" w:rsidP="588D6655">
      <w:pPr>
        <w:spacing w:before="0"/>
        <w:rPr>
          <w:rFonts w:ascii="Arial" w:eastAsia="Arial" w:hAnsi="Arial" w:cs="Arial"/>
        </w:rPr>
      </w:pPr>
      <w:r w:rsidRPr="3A7ED23E">
        <w:rPr>
          <w:rFonts w:ascii="Arial" w:eastAsia="Arial" w:hAnsi="Arial" w:cs="Arial"/>
        </w:rPr>
        <w:t>D</w:t>
      </w:r>
      <w:r w:rsidR="60A3761D" w:rsidRPr="3A7ED23E">
        <w:rPr>
          <w:rFonts w:ascii="Arial" w:eastAsia="Arial" w:hAnsi="Arial" w:cs="Arial"/>
        </w:rPr>
        <w:t xml:space="preserve">evelopment of the Roadmap will be </w:t>
      </w:r>
      <w:r w:rsidR="00BA6457" w:rsidRPr="3A7ED23E">
        <w:rPr>
          <w:rFonts w:ascii="Arial" w:eastAsia="Arial" w:hAnsi="Arial" w:cs="Arial"/>
        </w:rPr>
        <w:t>guided</w:t>
      </w:r>
      <w:r w:rsidR="60A3761D" w:rsidRPr="3A7ED23E">
        <w:rPr>
          <w:rFonts w:ascii="Arial" w:eastAsia="Arial" w:hAnsi="Arial" w:cs="Arial"/>
        </w:rPr>
        <w:t xml:space="preserve"> by </w:t>
      </w:r>
      <w:r w:rsidR="00DA4FF7" w:rsidRPr="3A7ED23E">
        <w:rPr>
          <w:rFonts w:ascii="Arial" w:eastAsia="Arial" w:hAnsi="Arial" w:cs="Arial"/>
        </w:rPr>
        <w:t>a</w:t>
      </w:r>
      <w:r w:rsidR="60A3761D" w:rsidRPr="3A7ED23E">
        <w:rPr>
          <w:rFonts w:ascii="Arial" w:eastAsia="Arial" w:hAnsi="Arial" w:cs="Arial"/>
        </w:rPr>
        <w:t xml:space="preserve"> Tertiary System Advisory Council</w:t>
      </w:r>
      <w:r w:rsidR="00593D6F" w:rsidRPr="3A7ED23E">
        <w:rPr>
          <w:rFonts w:ascii="Arial" w:eastAsia="Arial" w:hAnsi="Arial" w:cs="Arial"/>
        </w:rPr>
        <w:t xml:space="preserve"> (</w:t>
      </w:r>
      <w:r w:rsidR="005F6E46" w:rsidRPr="3A7ED23E">
        <w:rPr>
          <w:rFonts w:ascii="Arial" w:eastAsia="Arial" w:hAnsi="Arial" w:cs="Arial"/>
        </w:rPr>
        <w:t>the Council</w:t>
      </w:r>
      <w:r w:rsidR="00593D6F" w:rsidRPr="3A7ED23E">
        <w:rPr>
          <w:rFonts w:ascii="Arial" w:eastAsia="Arial" w:hAnsi="Arial" w:cs="Arial"/>
        </w:rPr>
        <w:t>)</w:t>
      </w:r>
      <w:r w:rsidR="60A3761D" w:rsidRPr="3A7ED23E">
        <w:rPr>
          <w:rFonts w:ascii="Arial" w:eastAsia="Arial" w:hAnsi="Arial" w:cs="Arial"/>
        </w:rPr>
        <w:t>, announced by Minister</w:t>
      </w:r>
      <w:r w:rsidR="00803BCE" w:rsidRPr="3A7ED23E">
        <w:rPr>
          <w:rFonts w:ascii="Arial" w:eastAsia="Arial" w:hAnsi="Arial" w:cs="Arial"/>
        </w:rPr>
        <w:t>s the Hon</w:t>
      </w:r>
      <w:r w:rsidR="00AA6CA8" w:rsidRPr="3A7ED23E">
        <w:rPr>
          <w:rFonts w:ascii="Arial" w:eastAsia="Arial" w:hAnsi="Arial" w:cs="Arial"/>
        </w:rPr>
        <w:t xml:space="preserve"> </w:t>
      </w:r>
      <w:r w:rsidR="00803BCE" w:rsidRPr="3A7ED23E">
        <w:rPr>
          <w:rFonts w:ascii="Arial" w:eastAsia="Arial" w:hAnsi="Arial" w:cs="Arial"/>
        </w:rPr>
        <w:t>Jason</w:t>
      </w:r>
      <w:r w:rsidR="60A3761D" w:rsidRPr="3A7ED23E">
        <w:rPr>
          <w:rFonts w:ascii="Arial" w:eastAsia="Arial" w:hAnsi="Arial" w:cs="Arial"/>
        </w:rPr>
        <w:t xml:space="preserve"> Clare </w:t>
      </w:r>
      <w:r w:rsidR="008F6914" w:rsidRPr="3A7ED23E">
        <w:rPr>
          <w:rFonts w:ascii="Arial" w:eastAsia="Arial" w:hAnsi="Arial" w:cs="Arial"/>
        </w:rPr>
        <w:t xml:space="preserve">MP </w:t>
      </w:r>
      <w:r w:rsidR="60A3761D" w:rsidRPr="3A7ED23E">
        <w:rPr>
          <w:rFonts w:ascii="Arial" w:eastAsia="Arial" w:hAnsi="Arial" w:cs="Arial"/>
        </w:rPr>
        <w:t>and</w:t>
      </w:r>
      <w:r w:rsidR="00803BCE" w:rsidRPr="3A7ED23E">
        <w:rPr>
          <w:rFonts w:ascii="Arial" w:eastAsia="Arial" w:hAnsi="Arial" w:cs="Arial"/>
        </w:rPr>
        <w:t xml:space="preserve"> the Hon</w:t>
      </w:r>
      <w:r w:rsidR="00AA6CA8" w:rsidRPr="3A7ED23E">
        <w:rPr>
          <w:rFonts w:ascii="Arial" w:eastAsia="Arial" w:hAnsi="Arial" w:cs="Arial"/>
        </w:rPr>
        <w:t xml:space="preserve"> </w:t>
      </w:r>
      <w:r w:rsidR="00803BCE" w:rsidRPr="3A7ED23E">
        <w:rPr>
          <w:rFonts w:ascii="Arial" w:eastAsia="Arial" w:hAnsi="Arial" w:cs="Arial"/>
        </w:rPr>
        <w:t>Aman</w:t>
      </w:r>
      <w:r w:rsidR="008F6914" w:rsidRPr="3A7ED23E">
        <w:rPr>
          <w:rFonts w:ascii="Arial" w:eastAsia="Arial" w:hAnsi="Arial" w:cs="Arial"/>
        </w:rPr>
        <w:t>da</w:t>
      </w:r>
      <w:r w:rsidR="60A3761D" w:rsidRPr="3A7ED23E">
        <w:rPr>
          <w:rFonts w:ascii="Arial" w:eastAsia="Arial" w:hAnsi="Arial" w:cs="Arial"/>
        </w:rPr>
        <w:t xml:space="preserve"> Rishworth </w:t>
      </w:r>
      <w:r w:rsidR="00C80F0E" w:rsidRPr="3A7ED23E">
        <w:rPr>
          <w:rFonts w:ascii="Arial" w:eastAsia="Arial" w:hAnsi="Arial" w:cs="Arial"/>
        </w:rPr>
        <w:t xml:space="preserve">MP </w:t>
      </w:r>
      <w:r w:rsidR="60A3761D" w:rsidRPr="3A7ED23E">
        <w:rPr>
          <w:rFonts w:ascii="Arial" w:eastAsia="Arial" w:hAnsi="Arial" w:cs="Arial"/>
        </w:rPr>
        <w:t>on 19 August 2025. The Council</w:t>
      </w:r>
      <w:r w:rsidR="00631CBC" w:rsidRPr="3A7ED23E">
        <w:rPr>
          <w:rFonts w:ascii="Arial" w:eastAsia="Arial" w:hAnsi="Arial" w:cs="Arial"/>
        </w:rPr>
        <w:t xml:space="preserve"> </w:t>
      </w:r>
      <w:r w:rsidR="7F01D3C8" w:rsidRPr="3A7ED23E">
        <w:rPr>
          <w:rFonts w:ascii="Arial" w:eastAsia="Arial" w:hAnsi="Arial" w:cs="Arial"/>
        </w:rPr>
        <w:t>is</w:t>
      </w:r>
      <w:r w:rsidRPr="3A7ED23E" w:rsidDel="00602432">
        <w:rPr>
          <w:rFonts w:ascii="Arial" w:eastAsia="Arial" w:hAnsi="Arial" w:cs="Arial"/>
        </w:rPr>
        <w:t xml:space="preserve"> </w:t>
      </w:r>
      <w:r w:rsidR="00D061FF" w:rsidRPr="3A7ED23E">
        <w:rPr>
          <w:rFonts w:ascii="Arial" w:eastAsia="Arial" w:hAnsi="Arial" w:cs="Arial"/>
        </w:rPr>
        <w:t>comprise</w:t>
      </w:r>
      <w:r w:rsidR="00602432" w:rsidRPr="3A7ED23E">
        <w:rPr>
          <w:rFonts w:ascii="Arial" w:eastAsia="Arial" w:hAnsi="Arial" w:cs="Arial"/>
        </w:rPr>
        <w:t>d of</w:t>
      </w:r>
      <w:r w:rsidR="00D061FF" w:rsidRPr="3A7ED23E">
        <w:rPr>
          <w:rFonts w:ascii="Arial" w:eastAsia="Arial" w:hAnsi="Arial" w:cs="Arial"/>
        </w:rPr>
        <w:t xml:space="preserve"> </w:t>
      </w:r>
      <w:r w:rsidR="60A3761D" w:rsidRPr="3A7ED23E">
        <w:rPr>
          <w:rFonts w:ascii="Arial" w:eastAsia="Arial" w:hAnsi="Arial" w:cs="Arial"/>
        </w:rPr>
        <w:t xml:space="preserve">representatives from the Commonwealth, states and territories, </w:t>
      </w:r>
      <w:r w:rsidR="005725BB">
        <w:rPr>
          <w:rFonts w:ascii="Arial" w:eastAsia="Arial" w:hAnsi="Arial" w:cs="Arial"/>
        </w:rPr>
        <w:t>business</w:t>
      </w:r>
      <w:r w:rsidR="60A3761D" w:rsidRPr="3A7ED23E">
        <w:rPr>
          <w:rFonts w:ascii="Arial" w:eastAsia="Arial" w:hAnsi="Arial" w:cs="Arial"/>
        </w:rPr>
        <w:t>, unions, and the VET and higher education sectors</w:t>
      </w:r>
      <w:r w:rsidR="00B03EBA" w:rsidRPr="3A7ED23E">
        <w:rPr>
          <w:rFonts w:ascii="Arial" w:eastAsia="Arial" w:hAnsi="Arial" w:cs="Arial"/>
        </w:rPr>
        <w:t xml:space="preserve">. </w:t>
      </w:r>
    </w:p>
    <w:p w14:paraId="6E2686DA" w14:textId="563EFF4F" w:rsidR="60A3761D" w:rsidRDefault="003A5EC2" w:rsidP="588D6655">
      <w:pPr>
        <w:spacing w:before="0"/>
        <w:rPr>
          <w:rFonts w:ascii="Arial" w:eastAsia="Arial" w:hAnsi="Arial" w:cs="Arial"/>
        </w:rPr>
      </w:pPr>
      <w:r>
        <w:rPr>
          <w:rFonts w:ascii="Arial" w:eastAsia="Arial" w:hAnsi="Arial" w:cs="Arial"/>
        </w:rPr>
        <w:t>T</w:t>
      </w:r>
      <w:r w:rsidR="004E15A4">
        <w:rPr>
          <w:rFonts w:ascii="Arial" w:eastAsia="Arial" w:hAnsi="Arial" w:cs="Arial"/>
        </w:rPr>
        <w:t>hrough the Roadmap</w:t>
      </w:r>
      <w:r w:rsidR="60A3761D" w:rsidRPr="588D6655">
        <w:rPr>
          <w:rFonts w:ascii="Arial" w:eastAsia="Arial" w:hAnsi="Arial" w:cs="Arial"/>
        </w:rPr>
        <w:t>,</w:t>
      </w:r>
      <w:r>
        <w:rPr>
          <w:rFonts w:ascii="Arial" w:eastAsia="Arial" w:hAnsi="Arial" w:cs="Arial"/>
        </w:rPr>
        <w:t xml:space="preserve"> </w:t>
      </w:r>
      <w:r w:rsidR="00602432">
        <w:rPr>
          <w:rFonts w:ascii="Arial" w:eastAsia="Arial" w:hAnsi="Arial" w:cs="Arial"/>
        </w:rPr>
        <w:t xml:space="preserve">the </w:t>
      </w:r>
      <w:r>
        <w:rPr>
          <w:rFonts w:ascii="Arial" w:eastAsia="Arial" w:hAnsi="Arial" w:cs="Arial"/>
        </w:rPr>
        <w:t xml:space="preserve">ATEC </w:t>
      </w:r>
      <w:r w:rsidR="60A3761D" w:rsidRPr="588D6655">
        <w:rPr>
          <w:rFonts w:ascii="Arial" w:eastAsia="Arial" w:hAnsi="Arial" w:cs="Arial"/>
        </w:rPr>
        <w:t xml:space="preserve">will identify the next steps </w:t>
      </w:r>
      <w:r>
        <w:rPr>
          <w:rFonts w:ascii="Arial" w:eastAsia="Arial" w:hAnsi="Arial" w:cs="Arial"/>
        </w:rPr>
        <w:t>to</w:t>
      </w:r>
      <w:r w:rsidR="60A3761D" w:rsidRPr="588D6655">
        <w:rPr>
          <w:rFonts w:ascii="Arial" w:eastAsia="Arial" w:hAnsi="Arial" w:cs="Arial"/>
        </w:rPr>
        <w:t xml:space="preserve"> better support</w:t>
      </w:r>
      <w:r w:rsidR="008A0233">
        <w:rPr>
          <w:rFonts w:ascii="Arial" w:eastAsia="Arial" w:hAnsi="Arial" w:cs="Arial"/>
        </w:rPr>
        <w:t xml:space="preserve"> </w:t>
      </w:r>
      <w:r w:rsidR="60A3761D" w:rsidRPr="588D6655">
        <w:rPr>
          <w:rFonts w:ascii="Arial" w:eastAsia="Arial" w:hAnsi="Arial" w:cs="Arial"/>
        </w:rPr>
        <w:t>students to move into and between the VET and higher education sectors</w:t>
      </w:r>
      <w:r w:rsidR="00481C58">
        <w:rPr>
          <w:rFonts w:ascii="Arial" w:eastAsia="Arial" w:hAnsi="Arial" w:cs="Arial"/>
        </w:rPr>
        <w:t>,</w:t>
      </w:r>
      <w:r w:rsidR="60A3761D" w:rsidRPr="588D6655">
        <w:rPr>
          <w:rFonts w:ascii="Arial" w:eastAsia="Arial" w:hAnsi="Arial" w:cs="Arial"/>
        </w:rPr>
        <w:t xml:space="preserve"> </w:t>
      </w:r>
      <w:r w:rsidR="008A0233">
        <w:rPr>
          <w:rFonts w:ascii="Arial" w:eastAsia="Arial" w:hAnsi="Arial" w:cs="Arial"/>
        </w:rPr>
        <w:t xml:space="preserve">and </w:t>
      </w:r>
      <w:r w:rsidR="60A3761D" w:rsidRPr="588D6655">
        <w:rPr>
          <w:rFonts w:ascii="Arial" w:eastAsia="Arial" w:hAnsi="Arial" w:cs="Arial"/>
        </w:rPr>
        <w:t xml:space="preserve">ensure the tertiary system is set up to help </w:t>
      </w:r>
      <w:r w:rsidR="00B35516">
        <w:rPr>
          <w:rFonts w:ascii="Arial" w:eastAsia="Arial" w:hAnsi="Arial" w:cs="Arial"/>
        </w:rPr>
        <w:t>learners</w:t>
      </w:r>
      <w:r w:rsidR="60A3761D" w:rsidRPr="588D6655">
        <w:rPr>
          <w:rFonts w:ascii="Arial" w:eastAsia="Arial" w:hAnsi="Arial" w:cs="Arial"/>
        </w:rPr>
        <w:t xml:space="preserve"> gain </w:t>
      </w:r>
      <w:r w:rsidR="005725BB">
        <w:rPr>
          <w:rFonts w:ascii="Arial" w:eastAsia="Arial" w:hAnsi="Arial" w:cs="Arial"/>
        </w:rPr>
        <w:t xml:space="preserve">the skills and </w:t>
      </w:r>
      <w:r w:rsidR="60A3761D" w:rsidRPr="588D6655">
        <w:rPr>
          <w:rFonts w:ascii="Arial" w:eastAsia="Arial" w:hAnsi="Arial" w:cs="Arial"/>
        </w:rPr>
        <w:t xml:space="preserve">qualifications </w:t>
      </w:r>
      <w:r w:rsidR="00B35516">
        <w:rPr>
          <w:rFonts w:ascii="Arial" w:eastAsia="Arial" w:hAnsi="Arial" w:cs="Arial"/>
        </w:rPr>
        <w:t xml:space="preserve">that </w:t>
      </w:r>
      <w:r w:rsidR="60A3761D" w:rsidRPr="588D6655">
        <w:rPr>
          <w:rFonts w:ascii="Arial" w:eastAsia="Arial" w:hAnsi="Arial" w:cs="Arial"/>
        </w:rPr>
        <w:t xml:space="preserve">match current and future workforce needs. </w:t>
      </w:r>
    </w:p>
    <w:p w14:paraId="242989A7" w14:textId="60E0E05F" w:rsidR="60A3761D" w:rsidRDefault="60A3761D" w:rsidP="588D6655">
      <w:pPr>
        <w:spacing w:before="0"/>
        <w:rPr>
          <w:rFonts w:ascii="Arial" w:eastAsia="Arial" w:hAnsi="Arial" w:cs="Arial"/>
        </w:rPr>
      </w:pPr>
      <w:r w:rsidRPr="588D6655">
        <w:rPr>
          <w:rFonts w:ascii="Arial" w:eastAsia="Arial" w:hAnsi="Arial" w:cs="Arial"/>
        </w:rPr>
        <w:t xml:space="preserve">The Roadmap is intended to build on the work already underway across the Commonwealth, </w:t>
      </w:r>
      <w:r w:rsidR="003C186D">
        <w:rPr>
          <w:rFonts w:ascii="Arial" w:eastAsia="Arial" w:hAnsi="Arial" w:cs="Arial"/>
        </w:rPr>
        <w:t>s</w:t>
      </w:r>
      <w:r w:rsidRPr="588D6655">
        <w:rPr>
          <w:rFonts w:ascii="Arial" w:eastAsia="Arial" w:hAnsi="Arial" w:cs="Arial"/>
        </w:rPr>
        <w:t xml:space="preserve">tate and </w:t>
      </w:r>
      <w:r w:rsidR="00D94589">
        <w:rPr>
          <w:rFonts w:ascii="Arial" w:eastAsia="Arial" w:hAnsi="Arial" w:cs="Arial"/>
        </w:rPr>
        <w:t>t</w:t>
      </w:r>
      <w:r w:rsidRPr="588D6655">
        <w:rPr>
          <w:rFonts w:ascii="Arial" w:eastAsia="Arial" w:hAnsi="Arial" w:cs="Arial"/>
        </w:rPr>
        <w:t>erritor</w:t>
      </w:r>
      <w:r w:rsidR="00D94589">
        <w:rPr>
          <w:rFonts w:ascii="Arial" w:eastAsia="Arial" w:hAnsi="Arial" w:cs="Arial"/>
        </w:rPr>
        <w:t>y governments</w:t>
      </w:r>
      <w:r w:rsidRPr="588D6655">
        <w:rPr>
          <w:rFonts w:ascii="Arial" w:eastAsia="Arial" w:hAnsi="Arial" w:cs="Arial"/>
        </w:rPr>
        <w:t xml:space="preserve">, tertiary providers and industry </w:t>
      </w:r>
      <w:r w:rsidR="00E817FC">
        <w:rPr>
          <w:rFonts w:ascii="Arial" w:eastAsia="Arial" w:hAnsi="Arial" w:cs="Arial"/>
        </w:rPr>
        <w:t xml:space="preserve">which is </w:t>
      </w:r>
      <w:r w:rsidRPr="588D6655">
        <w:rPr>
          <w:rFonts w:ascii="Arial" w:eastAsia="Arial" w:hAnsi="Arial" w:cs="Arial"/>
        </w:rPr>
        <w:t xml:space="preserve">addressing moves towards a more </w:t>
      </w:r>
      <w:r w:rsidR="005A4B7C">
        <w:rPr>
          <w:rFonts w:ascii="Arial" w:eastAsia="Arial" w:hAnsi="Arial" w:cs="Arial"/>
        </w:rPr>
        <w:t>joined-up</w:t>
      </w:r>
      <w:r w:rsidRPr="588D6655">
        <w:rPr>
          <w:rFonts w:ascii="Arial" w:eastAsia="Arial" w:hAnsi="Arial" w:cs="Arial"/>
        </w:rPr>
        <w:t xml:space="preserve"> </w:t>
      </w:r>
      <w:r w:rsidR="00B167F6">
        <w:rPr>
          <w:rFonts w:ascii="Arial" w:eastAsia="Arial" w:hAnsi="Arial" w:cs="Arial"/>
        </w:rPr>
        <w:t xml:space="preserve">tertiary </w:t>
      </w:r>
      <w:r w:rsidRPr="588D6655">
        <w:rPr>
          <w:rFonts w:ascii="Arial" w:eastAsia="Arial" w:hAnsi="Arial" w:cs="Arial"/>
        </w:rPr>
        <w:t>system</w:t>
      </w:r>
      <w:r w:rsidR="00A627AC">
        <w:rPr>
          <w:rFonts w:ascii="Arial" w:eastAsia="Arial" w:hAnsi="Arial" w:cs="Arial"/>
        </w:rPr>
        <w:t xml:space="preserve"> –</w:t>
      </w:r>
      <w:r w:rsidRPr="588D6655">
        <w:rPr>
          <w:rFonts w:ascii="Arial" w:eastAsia="Arial" w:hAnsi="Arial" w:cs="Arial"/>
        </w:rPr>
        <w:t xml:space="preserve"> </w:t>
      </w:r>
      <w:r w:rsidR="00A627AC">
        <w:rPr>
          <w:rFonts w:ascii="Arial" w:eastAsia="Arial" w:hAnsi="Arial" w:cs="Arial"/>
        </w:rPr>
        <w:t>o</w:t>
      </w:r>
      <w:r w:rsidRPr="588D6655">
        <w:rPr>
          <w:rFonts w:ascii="Arial" w:eastAsia="Arial" w:hAnsi="Arial" w:cs="Arial"/>
        </w:rPr>
        <w:t xml:space="preserve">ne </w:t>
      </w:r>
      <w:r w:rsidR="00D27004">
        <w:rPr>
          <w:rFonts w:ascii="Arial" w:eastAsia="Arial" w:hAnsi="Arial" w:cs="Arial"/>
        </w:rPr>
        <w:t>that</w:t>
      </w:r>
      <w:r w:rsidRPr="588D6655">
        <w:rPr>
          <w:rFonts w:ascii="Arial" w:eastAsia="Arial" w:hAnsi="Arial" w:cs="Arial"/>
        </w:rPr>
        <w:t xml:space="preserve"> recognises </w:t>
      </w:r>
      <w:r w:rsidR="00D27004">
        <w:rPr>
          <w:rFonts w:ascii="Arial" w:eastAsia="Arial" w:hAnsi="Arial" w:cs="Arial"/>
        </w:rPr>
        <w:t xml:space="preserve">the distinct </w:t>
      </w:r>
      <w:r w:rsidRPr="588D6655">
        <w:rPr>
          <w:rFonts w:ascii="Arial" w:eastAsia="Arial" w:hAnsi="Arial" w:cs="Arial"/>
        </w:rPr>
        <w:t xml:space="preserve">strengths of both the VET and higher education sectors and fosters greater collaboration. In developing the Roadmap, </w:t>
      </w:r>
      <w:r w:rsidR="004631DD">
        <w:rPr>
          <w:rFonts w:ascii="Arial" w:eastAsia="Arial" w:hAnsi="Arial" w:cs="Arial"/>
        </w:rPr>
        <w:t>ATEC</w:t>
      </w:r>
      <w:r w:rsidR="004631DD" w:rsidRPr="588D6655">
        <w:rPr>
          <w:rFonts w:ascii="Arial" w:eastAsia="Arial" w:hAnsi="Arial" w:cs="Arial"/>
        </w:rPr>
        <w:t xml:space="preserve"> </w:t>
      </w:r>
      <w:r w:rsidRPr="588D6655">
        <w:rPr>
          <w:rFonts w:ascii="Arial" w:eastAsia="Arial" w:hAnsi="Arial" w:cs="Arial"/>
        </w:rPr>
        <w:t xml:space="preserve">will map out clear and practical actions over the short, medium and longer term and identify the system actors responsible for </w:t>
      </w:r>
      <w:r w:rsidR="006D6AA3">
        <w:rPr>
          <w:rFonts w:ascii="Arial" w:eastAsia="Arial" w:hAnsi="Arial" w:cs="Arial"/>
        </w:rPr>
        <w:t xml:space="preserve">delivering </w:t>
      </w:r>
      <w:r w:rsidRPr="588D6655">
        <w:rPr>
          <w:rFonts w:ascii="Arial" w:eastAsia="Arial" w:hAnsi="Arial" w:cs="Arial"/>
        </w:rPr>
        <w:t>the</w:t>
      </w:r>
      <w:r w:rsidR="006F5CC5">
        <w:rPr>
          <w:rFonts w:ascii="Arial" w:eastAsia="Arial" w:hAnsi="Arial" w:cs="Arial"/>
        </w:rPr>
        <w:t>m.</w:t>
      </w:r>
    </w:p>
    <w:p w14:paraId="31031842" w14:textId="14DABCDD" w:rsidR="60A3761D" w:rsidRDefault="60A3761D" w:rsidP="588D6655">
      <w:pPr>
        <w:spacing w:before="0"/>
        <w:rPr>
          <w:rFonts w:ascii="Arial" w:eastAsia="Arial" w:hAnsi="Arial" w:cs="Arial"/>
        </w:rPr>
      </w:pPr>
      <w:r w:rsidRPr="3A7ED23E">
        <w:rPr>
          <w:rFonts w:ascii="Arial" w:eastAsia="Arial" w:hAnsi="Arial" w:cs="Arial"/>
        </w:rPr>
        <w:t xml:space="preserve">Possible early priorities of the Roadmap have already been outlined in JSA’s report </w:t>
      </w:r>
      <w:r w:rsidRPr="3A7ED23E">
        <w:rPr>
          <w:rFonts w:ascii="Arial" w:eastAsia="Arial" w:hAnsi="Arial" w:cs="Arial"/>
          <w:i/>
          <w:iCs/>
        </w:rPr>
        <w:t xml:space="preserve">Opportunity and Productivity: Towards a Tertiary Harmonisation Roadmap. </w:t>
      </w:r>
      <w:r w:rsidRPr="3A7ED23E">
        <w:rPr>
          <w:rFonts w:ascii="Arial" w:eastAsia="Arial" w:hAnsi="Arial" w:cs="Arial"/>
        </w:rPr>
        <w:t>These</w:t>
      </w:r>
      <w:r w:rsidRPr="3A7ED23E" w:rsidDel="60A3761D">
        <w:rPr>
          <w:rFonts w:ascii="Arial" w:eastAsia="Arial" w:hAnsi="Arial" w:cs="Arial"/>
        </w:rPr>
        <w:t xml:space="preserve"> </w:t>
      </w:r>
      <w:r w:rsidR="00F55179" w:rsidRPr="3A7ED23E">
        <w:rPr>
          <w:rFonts w:ascii="Arial" w:eastAsia="Arial" w:hAnsi="Arial" w:cs="Arial"/>
        </w:rPr>
        <w:t>include</w:t>
      </w:r>
      <w:r w:rsidRPr="3A7ED23E">
        <w:rPr>
          <w:rFonts w:ascii="Arial" w:eastAsia="Arial" w:hAnsi="Arial" w:cs="Arial"/>
        </w:rPr>
        <w:t xml:space="preserve"> current and future work on a national credit transfer system</w:t>
      </w:r>
      <w:r w:rsidR="00AE6200" w:rsidRPr="3A7ED23E">
        <w:rPr>
          <w:rFonts w:ascii="Arial" w:eastAsia="Arial" w:hAnsi="Arial" w:cs="Arial"/>
        </w:rPr>
        <w:t>;</w:t>
      </w:r>
      <w:r w:rsidRPr="3A7ED23E">
        <w:rPr>
          <w:rFonts w:ascii="Arial" w:eastAsia="Arial" w:hAnsi="Arial" w:cs="Arial"/>
        </w:rPr>
        <w:t xml:space="preserve"> guidelines on nested and hybrid qualifications</w:t>
      </w:r>
      <w:r w:rsidR="00B1710A" w:rsidRPr="3A7ED23E">
        <w:rPr>
          <w:rFonts w:ascii="Arial" w:eastAsia="Arial" w:hAnsi="Arial" w:cs="Arial"/>
        </w:rPr>
        <w:t>; and establishing</w:t>
      </w:r>
      <w:r w:rsidRPr="3A7ED23E">
        <w:rPr>
          <w:rFonts w:ascii="Arial" w:eastAsia="Arial" w:hAnsi="Arial" w:cs="Arial"/>
        </w:rPr>
        <w:t xml:space="preserve"> an innovation fund. Medium</w:t>
      </w:r>
      <w:r w:rsidR="00B1710A" w:rsidRPr="3A7ED23E">
        <w:rPr>
          <w:rFonts w:ascii="Arial" w:eastAsia="Arial" w:hAnsi="Arial" w:cs="Arial"/>
        </w:rPr>
        <w:t>-</w:t>
      </w:r>
      <w:r w:rsidRPr="3A7ED23E">
        <w:rPr>
          <w:rFonts w:ascii="Arial" w:eastAsia="Arial" w:hAnsi="Arial" w:cs="Arial"/>
        </w:rPr>
        <w:t xml:space="preserve"> and longer-term priorities m</w:t>
      </w:r>
      <w:r w:rsidR="00297D9B" w:rsidRPr="3A7ED23E">
        <w:rPr>
          <w:rFonts w:ascii="Arial" w:eastAsia="Arial" w:hAnsi="Arial" w:cs="Arial"/>
        </w:rPr>
        <w:t>a</w:t>
      </w:r>
      <w:r w:rsidRPr="3A7ED23E">
        <w:rPr>
          <w:rFonts w:ascii="Arial" w:eastAsia="Arial" w:hAnsi="Arial" w:cs="Arial"/>
        </w:rPr>
        <w:t>y include reform to the AQF</w:t>
      </w:r>
      <w:r w:rsidR="00B1710A" w:rsidRPr="3A7ED23E">
        <w:rPr>
          <w:rFonts w:ascii="Arial" w:eastAsia="Arial" w:hAnsi="Arial" w:cs="Arial"/>
        </w:rPr>
        <w:t>,</w:t>
      </w:r>
      <w:r w:rsidRPr="3A7ED23E">
        <w:rPr>
          <w:rFonts w:ascii="Arial" w:eastAsia="Arial" w:hAnsi="Arial" w:cs="Arial"/>
        </w:rPr>
        <w:t xml:space="preserve"> creation of a national data asset</w:t>
      </w:r>
      <w:r w:rsidR="006C36CB" w:rsidRPr="3A7ED23E">
        <w:rPr>
          <w:rFonts w:ascii="Arial" w:eastAsia="Arial" w:hAnsi="Arial" w:cs="Arial"/>
        </w:rPr>
        <w:t>,</w:t>
      </w:r>
      <w:r w:rsidRPr="3A7ED23E">
        <w:rPr>
          <w:rFonts w:ascii="Arial" w:eastAsia="Arial" w:hAnsi="Arial" w:cs="Arial"/>
        </w:rPr>
        <w:t xml:space="preserve"> and establishing principles for tertiary education funding. </w:t>
      </w:r>
    </w:p>
    <w:p w14:paraId="3B12DB2E" w14:textId="50A1DC17" w:rsidR="000907F5" w:rsidRDefault="00B1710A" w:rsidP="00264216">
      <w:pPr>
        <w:spacing w:before="0"/>
        <w:rPr>
          <w:rFonts w:ascii="Arial" w:eastAsia="Arial" w:hAnsi="Arial" w:cs="Arial"/>
        </w:rPr>
      </w:pPr>
      <w:r>
        <w:rPr>
          <w:rFonts w:ascii="Arial" w:eastAsia="Arial" w:hAnsi="Arial" w:cs="Arial"/>
        </w:rPr>
        <w:t xml:space="preserve">Alongside engagement with the Council, </w:t>
      </w:r>
      <w:r w:rsidR="463D3C90" w:rsidRPr="6D76A63C">
        <w:rPr>
          <w:rFonts w:ascii="Arial" w:eastAsia="Arial" w:hAnsi="Arial" w:cs="Arial"/>
        </w:rPr>
        <w:t xml:space="preserve">ATEC will also undertake </w:t>
      </w:r>
      <w:r>
        <w:rPr>
          <w:rFonts w:ascii="Arial" w:eastAsia="Arial" w:hAnsi="Arial" w:cs="Arial"/>
        </w:rPr>
        <w:t xml:space="preserve">broader </w:t>
      </w:r>
      <w:r w:rsidR="463D3C90" w:rsidRPr="6D76A63C">
        <w:rPr>
          <w:rFonts w:ascii="Arial" w:eastAsia="Arial" w:hAnsi="Arial" w:cs="Arial"/>
        </w:rPr>
        <w:t>consultation process with stakeholder</w:t>
      </w:r>
      <w:r w:rsidR="1C911225" w:rsidRPr="6D76A63C">
        <w:rPr>
          <w:rFonts w:ascii="Arial" w:eastAsia="Arial" w:hAnsi="Arial" w:cs="Arial"/>
        </w:rPr>
        <w:t>s</w:t>
      </w:r>
      <w:r w:rsidR="463D3C90" w:rsidRPr="6D76A63C">
        <w:rPr>
          <w:rFonts w:ascii="Arial" w:eastAsia="Arial" w:hAnsi="Arial" w:cs="Arial"/>
        </w:rPr>
        <w:t xml:space="preserve"> to inform development of the Tertiary Roadmap, including seeking public submissions on the issues raised in this </w:t>
      </w:r>
      <w:r w:rsidR="00F419F2">
        <w:rPr>
          <w:rFonts w:ascii="Arial" w:eastAsia="Arial" w:hAnsi="Arial" w:cs="Arial"/>
        </w:rPr>
        <w:t>discussion paper</w:t>
      </w:r>
      <w:r w:rsidR="463D3C90" w:rsidRPr="6D76A63C">
        <w:rPr>
          <w:rFonts w:ascii="Arial" w:eastAsia="Arial" w:hAnsi="Arial" w:cs="Arial"/>
        </w:rPr>
        <w:t xml:space="preserve">. </w:t>
      </w:r>
      <w:r>
        <w:rPr>
          <w:rFonts w:ascii="Arial" w:eastAsia="Arial" w:hAnsi="Arial" w:cs="Arial"/>
        </w:rPr>
        <w:t>A</w:t>
      </w:r>
      <w:r w:rsidR="463D3C90" w:rsidRPr="6D76A63C">
        <w:rPr>
          <w:rFonts w:ascii="Arial" w:eastAsia="Arial" w:hAnsi="Arial" w:cs="Arial"/>
        </w:rPr>
        <w:t xml:space="preserve"> final Roadmap </w:t>
      </w:r>
      <w:r>
        <w:rPr>
          <w:rFonts w:ascii="Arial" w:eastAsia="Arial" w:hAnsi="Arial" w:cs="Arial"/>
        </w:rPr>
        <w:t xml:space="preserve">is expected to be </w:t>
      </w:r>
      <w:r w:rsidR="463D3C90" w:rsidRPr="6D76A63C">
        <w:rPr>
          <w:rFonts w:ascii="Arial" w:eastAsia="Arial" w:hAnsi="Arial" w:cs="Arial"/>
        </w:rPr>
        <w:t xml:space="preserve">prepared </w:t>
      </w:r>
      <w:r w:rsidR="00631E75">
        <w:rPr>
          <w:rFonts w:ascii="Arial" w:eastAsia="Arial" w:hAnsi="Arial" w:cs="Arial"/>
        </w:rPr>
        <w:t xml:space="preserve">in </w:t>
      </w:r>
      <w:r w:rsidR="00B543F0">
        <w:rPr>
          <w:rFonts w:ascii="Arial" w:eastAsia="Arial" w:hAnsi="Arial" w:cs="Arial"/>
        </w:rPr>
        <w:t>2026</w:t>
      </w:r>
      <w:r w:rsidR="463D3C90" w:rsidRPr="6D76A63C">
        <w:rPr>
          <w:rFonts w:ascii="Arial" w:eastAsia="Arial" w:hAnsi="Arial" w:cs="Arial"/>
        </w:rPr>
        <w:t xml:space="preserve"> </w:t>
      </w:r>
      <w:r w:rsidR="00F21202">
        <w:rPr>
          <w:rFonts w:ascii="Arial" w:eastAsia="Arial" w:hAnsi="Arial" w:cs="Arial"/>
        </w:rPr>
        <w:t xml:space="preserve">for </w:t>
      </w:r>
      <w:r w:rsidR="001A5B61">
        <w:rPr>
          <w:rFonts w:ascii="Arial" w:eastAsia="Arial" w:hAnsi="Arial" w:cs="Arial"/>
        </w:rPr>
        <w:t>g</w:t>
      </w:r>
      <w:r w:rsidR="00F21202">
        <w:rPr>
          <w:rFonts w:ascii="Arial" w:eastAsia="Arial" w:hAnsi="Arial" w:cs="Arial"/>
        </w:rPr>
        <w:t xml:space="preserve">overnment consideration. </w:t>
      </w:r>
    </w:p>
    <w:p w14:paraId="4F50963F" w14:textId="614E9697" w:rsidR="00264216" w:rsidRPr="00264216" w:rsidRDefault="00264216" w:rsidP="00264216">
      <w:pPr>
        <w:pStyle w:val="Heading2"/>
        <w:numPr>
          <w:ilvl w:val="1"/>
          <w:numId w:val="14"/>
        </w:numPr>
        <w:spacing w:before="160" w:after="80" w:line="259" w:lineRule="auto"/>
        <w:ind w:left="851" w:hanging="851"/>
      </w:pPr>
      <w:bookmarkStart w:id="59" w:name="_Toc229643984"/>
      <w:r>
        <w:t>Potential Reform Opportunities</w:t>
      </w:r>
      <w:bookmarkEnd w:id="59"/>
    </w:p>
    <w:p w14:paraId="09AF4857" w14:textId="60B7CA38" w:rsidR="003A2E73" w:rsidRDefault="003A2E73" w:rsidP="003A2E73">
      <w:pPr>
        <w:tabs>
          <w:tab w:val="left" w:pos="3969"/>
        </w:tabs>
      </w:pPr>
      <w:r>
        <w:t>The importance of a more joined</w:t>
      </w:r>
      <w:r w:rsidR="00801E1B">
        <w:t>-</w:t>
      </w:r>
      <w:r>
        <w:t xml:space="preserve">up tertiary system has increasingly been identified in the findings of recent reports and reviews. This includes JSA’s report </w:t>
      </w:r>
      <w:r w:rsidRPr="12E5500D">
        <w:rPr>
          <w:i/>
          <w:iCs/>
        </w:rPr>
        <w:t xml:space="preserve">Towards a Tertiary Harmonisation Roadmap, </w:t>
      </w:r>
      <w:r>
        <w:t xml:space="preserve">the </w:t>
      </w:r>
      <w:r w:rsidRPr="12E5500D">
        <w:rPr>
          <w:i/>
          <w:iCs/>
        </w:rPr>
        <w:t xml:space="preserve">Australian Universities Accord, </w:t>
      </w:r>
      <w:r>
        <w:t xml:space="preserve">the House of Representatives Inquiry into the Perceptions and Status of VET and the Productivity Commission’s </w:t>
      </w:r>
      <w:r w:rsidR="00FA14BB">
        <w:t xml:space="preserve">final </w:t>
      </w:r>
      <w:r>
        <w:t xml:space="preserve">report for its inquiry </w:t>
      </w:r>
      <w:r w:rsidRPr="12E5500D">
        <w:rPr>
          <w:i/>
          <w:iCs/>
        </w:rPr>
        <w:t xml:space="preserve">Building a Skilled and Adaptable Workforce, </w:t>
      </w:r>
      <w:r>
        <w:t xml:space="preserve">among others. Together, they call for a more </w:t>
      </w:r>
      <w:r w:rsidR="005A4B7C">
        <w:t>joined-up</w:t>
      </w:r>
      <w:r>
        <w:t xml:space="preserve"> tertiary system, setting out potential opportunities for reform which build upon the foundations set by work already underway. </w:t>
      </w:r>
    </w:p>
    <w:p w14:paraId="2476E828" w14:textId="3444FDC2" w:rsidR="003A2E73" w:rsidRPr="00CD05D2" w:rsidRDefault="00FE0A44" w:rsidP="003A2E73">
      <w:pPr>
        <w:tabs>
          <w:tab w:val="left" w:pos="3969"/>
        </w:tabs>
      </w:pPr>
      <w:r>
        <w:t>The p</w:t>
      </w:r>
      <w:r w:rsidR="003A2E73">
        <w:t xml:space="preserve">otential reform opportunities </w:t>
      </w:r>
      <w:r>
        <w:t xml:space="preserve">outlined below </w:t>
      </w:r>
      <w:r w:rsidR="003A2E73">
        <w:t xml:space="preserve">are being explored for inclusion in the Tertiary </w:t>
      </w:r>
      <w:r w:rsidR="00F55179">
        <w:t>Roadmap.</w:t>
      </w:r>
      <w:r w:rsidR="003A2E73">
        <w:t xml:space="preserve"> These are </w:t>
      </w:r>
      <w:r w:rsidR="00F55179" w:rsidRPr="00F6716F">
        <w:t xml:space="preserve">examples </w:t>
      </w:r>
      <w:r w:rsidR="00F55179">
        <w:t>provided</w:t>
      </w:r>
      <w:r w:rsidR="003A2E73">
        <w:t xml:space="preserve"> for discussion and this list is not intended to be exhaustive. </w:t>
      </w:r>
    </w:p>
    <w:p w14:paraId="529039A7" w14:textId="77777777" w:rsidR="00981EAA" w:rsidRPr="00656347" w:rsidRDefault="00981EAA" w:rsidP="00F6716F">
      <w:pPr>
        <w:pStyle w:val="Heading4"/>
      </w:pPr>
      <w:r w:rsidRPr="00656347">
        <w:t>Entering the tertiary system </w:t>
      </w:r>
    </w:p>
    <w:p w14:paraId="02008B05" w14:textId="79C03A78" w:rsidR="00981EAA" w:rsidRPr="00BC3C7E" w:rsidRDefault="00981EAA" w:rsidP="00981EAA">
      <w:pPr>
        <w:pStyle w:val="ListBullet"/>
        <w:numPr>
          <w:ilvl w:val="0"/>
          <w:numId w:val="73"/>
        </w:numPr>
        <w:ind w:left="397" w:hanging="397"/>
        <w:rPr>
          <w:rFonts w:eastAsia="Arial"/>
        </w:rPr>
      </w:pPr>
      <w:r w:rsidRPr="00BC3C7E">
        <w:rPr>
          <w:rFonts w:eastAsia="Arial"/>
        </w:rPr>
        <w:t xml:space="preserve">Build on existing digital resources and guidance centres to help learners and their supporters to better understand and engage with offerings across the whole tertiary system, rather than </w:t>
      </w:r>
      <w:r w:rsidR="00AC3279">
        <w:rPr>
          <w:rFonts w:eastAsia="Arial"/>
        </w:rPr>
        <w:t>a single</w:t>
      </w:r>
      <w:r w:rsidRPr="00BC3C7E">
        <w:rPr>
          <w:rFonts w:eastAsia="Arial"/>
        </w:rPr>
        <w:t xml:space="preserve"> sector.</w:t>
      </w:r>
    </w:p>
    <w:p w14:paraId="69E20000" w14:textId="5E8FF751" w:rsidR="00981EAA" w:rsidRPr="00BC3C7E" w:rsidRDefault="00981EAA" w:rsidP="00981EAA">
      <w:pPr>
        <w:pStyle w:val="ListBullet"/>
        <w:numPr>
          <w:ilvl w:val="0"/>
          <w:numId w:val="73"/>
        </w:numPr>
        <w:ind w:left="397" w:hanging="397"/>
        <w:rPr>
          <w:rFonts w:eastAsia="Arial"/>
        </w:rPr>
      </w:pPr>
      <w:r w:rsidRPr="00BC3C7E">
        <w:rPr>
          <w:rFonts w:eastAsia="Arial"/>
        </w:rPr>
        <w:t xml:space="preserve">Support learners to access tertiary education by addressing barriers such as </w:t>
      </w:r>
      <w:r w:rsidR="00AC3279">
        <w:rPr>
          <w:rFonts w:eastAsia="Arial"/>
        </w:rPr>
        <w:t xml:space="preserve">the </w:t>
      </w:r>
      <w:r w:rsidRPr="00BC3C7E">
        <w:rPr>
          <w:rFonts w:eastAsia="Arial"/>
        </w:rPr>
        <w:t>cost and location of study</w:t>
      </w:r>
      <w:r w:rsidR="00AC3279">
        <w:rPr>
          <w:rFonts w:eastAsia="Arial"/>
        </w:rPr>
        <w:t>,</w:t>
      </w:r>
      <w:r w:rsidRPr="00BC3C7E">
        <w:rPr>
          <w:rFonts w:eastAsia="Arial"/>
        </w:rPr>
        <w:t xml:space="preserve"> and </w:t>
      </w:r>
      <w:r w:rsidR="00AC3279">
        <w:rPr>
          <w:rFonts w:eastAsia="Arial"/>
        </w:rPr>
        <w:t xml:space="preserve">by expanding </w:t>
      </w:r>
      <w:r w:rsidRPr="00BC3C7E">
        <w:rPr>
          <w:rFonts w:eastAsia="Arial"/>
        </w:rPr>
        <w:t>support services and preparatory programs for underrepresented cohorts.</w:t>
      </w:r>
    </w:p>
    <w:p w14:paraId="1E270142" w14:textId="77777777" w:rsidR="00981EAA" w:rsidRPr="00EE3997" w:rsidRDefault="00981EAA" w:rsidP="00F6716F">
      <w:pPr>
        <w:pStyle w:val="Heading4"/>
        <w:rPr>
          <w:lang w:eastAsia="en-US"/>
        </w:rPr>
      </w:pPr>
      <w:r w:rsidRPr="00EE3997">
        <w:rPr>
          <w:lang w:eastAsia="en-US"/>
        </w:rPr>
        <w:t xml:space="preserve">Transitioning </w:t>
      </w:r>
      <w:r>
        <w:rPr>
          <w:lang w:eastAsia="en-US"/>
        </w:rPr>
        <w:t>b</w:t>
      </w:r>
      <w:r w:rsidRPr="00EE3997">
        <w:rPr>
          <w:lang w:eastAsia="en-US"/>
        </w:rPr>
        <w:t>etween VET and higher education</w:t>
      </w:r>
    </w:p>
    <w:p w14:paraId="5967F1C1" w14:textId="77777777" w:rsidR="00981EAA" w:rsidRPr="00BC3C7E" w:rsidRDefault="00981EAA" w:rsidP="00981EAA">
      <w:pPr>
        <w:pStyle w:val="ListBullet"/>
        <w:numPr>
          <w:ilvl w:val="0"/>
          <w:numId w:val="73"/>
        </w:numPr>
        <w:ind w:left="397" w:hanging="397"/>
        <w:rPr>
          <w:rFonts w:eastAsia="Arial"/>
        </w:rPr>
      </w:pPr>
      <w:r w:rsidRPr="00BC3C7E">
        <w:rPr>
          <w:rFonts w:eastAsia="Arial"/>
        </w:rPr>
        <w:t>Explore options to make credit recognition arrangements and reporting more consistent and transparent.</w:t>
      </w:r>
    </w:p>
    <w:p w14:paraId="03B25C79" w14:textId="540FC3A7" w:rsidR="00981EAA" w:rsidRPr="00BC3C7E" w:rsidRDefault="00981EAA" w:rsidP="00981EAA">
      <w:pPr>
        <w:pStyle w:val="ListBullet"/>
        <w:numPr>
          <w:ilvl w:val="0"/>
          <w:numId w:val="73"/>
        </w:numPr>
        <w:ind w:left="397" w:hanging="397"/>
        <w:rPr>
          <w:rFonts w:eastAsia="Arial"/>
        </w:rPr>
      </w:pPr>
      <w:r w:rsidRPr="00BC3C7E">
        <w:rPr>
          <w:rFonts w:eastAsia="Arial"/>
        </w:rPr>
        <w:t xml:space="preserve">Work to enhance the accessibility, quality and efficiency of credit transfer and RPL assessments by supporting providers </w:t>
      </w:r>
      <w:r w:rsidR="00D16AFC">
        <w:rPr>
          <w:rFonts w:eastAsia="Arial"/>
        </w:rPr>
        <w:t>implement</w:t>
      </w:r>
      <w:r w:rsidRPr="00BC3C7E">
        <w:rPr>
          <w:rFonts w:eastAsia="Arial"/>
        </w:rPr>
        <w:t xml:space="preserve"> best-practice processes.</w:t>
      </w:r>
    </w:p>
    <w:p w14:paraId="6C923BE3" w14:textId="77777777" w:rsidR="00981EAA" w:rsidRPr="00F6716F" w:rsidRDefault="00981EAA" w:rsidP="00F6716F">
      <w:pPr>
        <w:pStyle w:val="Heading4"/>
      </w:pPr>
      <w:bookmarkStart w:id="60" w:name="_Hlk216708469"/>
      <w:r w:rsidRPr="00F6716F">
        <w:t>Drawing on the strengths of both sectors to enhance learner experience</w:t>
      </w:r>
    </w:p>
    <w:bookmarkEnd w:id="60"/>
    <w:p w14:paraId="41105A91" w14:textId="4EFF98A1" w:rsidR="00981EAA" w:rsidRPr="00BC3C7E" w:rsidRDefault="00981EAA" w:rsidP="00981EAA">
      <w:pPr>
        <w:pStyle w:val="ListBullet"/>
        <w:numPr>
          <w:ilvl w:val="0"/>
          <w:numId w:val="73"/>
        </w:numPr>
        <w:ind w:left="397" w:hanging="397"/>
        <w:rPr>
          <w:rFonts w:eastAsia="Arial"/>
        </w:rPr>
      </w:pPr>
      <w:r w:rsidRPr="00BC3C7E">
        <w:rPr>
          <w:rFonts w:eastAsia="Arial"/>
        </w:rPr>
        <w:t xml:space="preserve">Encourage the development and scaling of dual sector models and collaborative projects to </w:t>
      </w:r>
      <w:r w:rsidR="00EE3143">
        <w:rPr>
          <w:rFonts w:eastAsia="Arial"/>
        </w:rPr>
        <w:t xml:space="preserve">improve learner experience and </w:t>
      </w:r>
      <w:r w:rsidRPr="00BC3C7E">
        <w:rPr>
          <w:rFonts w:eastAsia="Arial"/>
        </w:rPr>
        <w:t>outcomes.</w:t>
      </w:r>
    </w:p>
    <w:p w14:paraId="2B6F441E" w14:textId="77777777" w:rsidR="00981EAA" w:rsidRPr="00BC3C7E" w:rsidRDefault="00981EAA" w:rsidP="00981EAA">
      <w:pPr>
        <w:pStyle w:val="ListBullet"/>
        <w:numPr>
          <w:ilvl w:val="0"/>
          <w:numId w:val="73"/>
        </w:numPr>
        <w:ind w:left="397" w:hanging="397"/>
        <w:rPr>
          <w:rFonts w:eastAsia="Arial"/>
        </w:rPr>
      </w:pPr>
      <w:r w:rsidRPr="00BC3C7E">
        <w:rPr>
          <w:rFonts w:eastAsia="Arial"/>
        </w:rPr>
        <w:t>Embed tertiary harmonisation within system architecture to better enable innovation and collaboration.</w:t>
      </w:r>
    </w:p>
    <w:p w14:paraId="66950BC3" w14:textId="39C14DA5" w:rsidR="00981EAA" w:rsidRPr="00BC3C7E" w:rsidRDefault="00981EAA" w:rsidP="00981EAA">
      <w:pPr>
        <w:pStyle w:val="ListBullet"/>
        <w:numPr>
          <w:ilvl w:val="0"/>
          <w:numId w:val="73"/>
        </w:numPr>
        <w:ind w:left="397" w:hanging="397"/>
        <w:rPr>
          <w:rFonts w:eastAsia="Arial"/>
        </w:rPr>
      </w:pPr>
      <w:r w:rsidRPr="00BC3C7E">
        <w:rPr>
          <w:rFonts w:eastAsia="Arial"/>
        </w:rPr>
        <w:t>Develop innovative offerings that respond to the needs of different local areas and industries, and that</w:t>
      </w:r>
      <w:r w:rsidR="009A3DDE">
        <w:rPr>
          <w:rFonts w:eastAsia="Arial"/>
        </w:rPr>
        <w:t xml:space="preserve"> </w:t>
      </w:r>
      <w:r w:rsidR="005D2503">
        <w:rPr>
          <w:rFonts w:eastAsia="Arial"/>
        </w:rPr>
        <w:t>support strong cross-sector</w:t>
      </w:r>
      <w:r w:rsidRPr="00BC3C7E">
        <w:rPr>
          <w:rFonts w:eastAsia="Arial"/>
        </w:rPr>
        <w:t xml:space="preserve"> partnerships and investment.</w:t>
      </w:r>
    </w:p>
    <w:p w14:paraId="1FB40817" w14:textId="7A697F49" w:rsidR="00D773A3" w:rsidRDefault="00981EAA" w:rsidP="00981EAA">
      <w:pPr>
        <w:pStyle w:val="ListBullet"/>
        <w:numPr>
          <w:ilvl w:val="0"/>
          <w:numId w:val="73"/>
        </w:numPr>
        <w:ind w:left="397" w:hanging="397"/>
        <w:rPr>
          <w:rFonts w:eastAsia="Arial"/>
        </w:rPr>
      </w:pPr>
      <w:r w:rsidRPr="00BC3C7E">
        <w:rPr>
          <w:rFonts w:eastAsia="Arial"/>
        </w:rPr>
        <w:t xml:space="preserve">Support learners in transitioning from tertiary education into work, </w:t>
      </w:r>
      <w:r w:rsidR="00B10BA4">
        <w:rPr>
          <w:rFonts w:eastAsia="Arial"/>
        </w:rPr>
        <w:t xml:space="preserve">including through improved </w:t>
      </w:r>
      <w:r w:rsidRPr="00BC3C7E">
        <w:rPr>
          <w:rFonts w:eastAsia="Arial"/>
        </w:rPr>
        <w:t>work experience and skills development</w:t>
      </w:r>
      <w:r w:rsidR="00B10BA4">
        <w:rPr>
          <w:rFonts w:eastAsia="Arial"/>
        </w:rPr>
        <w:t xml:space="preserve"> opportunities</w:t>
      </w:r>
      <w:r w:rsidRPr="00BC3C7E">
        <w:rPr>
          <w:rFonts w:eastAsia="Arial"/>
        </w:rPr>
        <w:t>.</w:t>
      </w:r>
    </w:p>
    <w:p w14:paraId="03B2B5B2" w14:textId="24E558B8" w:rsidR="00981EAA" w:rsidRDefault="00D773A3" w:rsidP="00D773A3">
      <w:pPr>
        <w:pStyle w:val="Heading2"/>
        <w:numPr>
          <w:ilvl w:val="1"/>
          <w:numId w:val="14"/>
        </w:numPr>
      </w:pPr>
      <w:bookmarkStart w:id="61" w:name="_Toc229643985"/>
      <w:r>
        <w:t>List of discussion questions</w:t>
      </w:r>
      <w:bookmarkEnd w:id="61"/>
      <w:r>
        <w:t xml:space="preserve"> </w:t>
      </w:r>
    </w:p>
    <w:p w14:paraId="3FF51EDE" w14:textId="37ED1D46" w:rsidR="0826B72F" w:rsidRDefault="0826B72F" w:rsidP="5727BEA9">
      <w:pPr>
        <w:rPr>
          <w:color w:val="auto"/>
        </w:rPr>
      </w:pPr>
      <w:r w:rsidRPr="5727BEA9">
        <w:rPr>
          <w:color w:val="auto"/>
        </w:rPr>
        <w:t>Stakeholders are invited to respond to the discussion questions and provide feedback on these reform opportunities. This includes considering whether there are any gaps or additional reform op</w:t>
      </w:r>
      <w:r w:rsidR="145D2BFA" w:rsidRPr="5727BEA9">
        <w:rPr>
          <w:color w:val="auto"/>
        </w:rPr>
        <w:t xml:space="preserve">tions, focusing on the feasible opportunities that can make the highest impact. </w:t>
      </w:r>
    </w:p>
    <w:p w14:paraId="188B728A" w14:textId="57B8EED8" w:rsidR="0090597A" w:rsidRPr="009F61EC" w:rsidRDefault="00656347" w:rsidP="009F61EC">
      <w:pPr>
        <w:pStyle w:val="Heading4"/>
        <w:rPr>
          <w:kern w:val="2"/>
          <w:lang w:eastAsia="en-US"/>
          <w14:ligatures w14:val="standardContextual"/>
        </w:rPr>
      </w:pPr>
      <w:r w:rsidRPr="0064067D">
        <w:t>Entering the tertiary system</w:t>
      </w:r>
    </w:p>
    <w:tbl>
      <w:tblPr>
        <w:tblStyle w:val="TableGrid10"/>
        <w:tblW w:w="0" w:type="auto"/>
        <w:tblLook w:val="04A0" w:firstRow="1" w:lastRow="0" w:firstColumn="1" w:lastColumn="0" w:noHBand="0" w:noVBand="1"/>
      </w:tblPr>
      <w:tblGrid>
        <w:gridCol w:w="567"/>
        <w:gridCol w:w="9072"/>
      </w:tblGrid>
      <w:tr w:rsidR="00E72E59" w:rsidRPr="00785601" w14:paraId="7F9228D1" w14:textId="77777777" w:rsidTr="5727BEA9">
        <w:trPr>
          <w:cnfStyle w:val="100000000000" w:firstRow="1" w:lastRow="0" w:firstColumn="0" w:lastColumn="0" w:oddVBand="0" w:evenVBand="0" w:oddHBand="0" w:evenHBand="0" w:firstRowFirstColumn="0" w:firstRowLastColumn="0" w:lastRowFirstColumn="0" w:lastRowLastColumn="0"/>
        </w:trPr>
        <w:tc>
          <w:tcPr>
            <w:tcW w:w="567" w:type="dxa"/>
          </w:tcPr>
          <w:p w14:paraId="702E2997" w14:textId="77777777" w:rsidR="00785601" w:rsidRPr="009F61EC" w:rsidRDefault="00785601">
            <w:pPr>
              <w:rPr>
                <w:rFonts w:eastAsiaTheme="minorEastAsia" w:cstheme="minorBidi"/>
                <w:color w:val="001032" w:themeColor="text2"/>
                <w:kern w:val="2"/>
                <w:sz w:val="22"/>
                <w:szCs w:val="22"/>
                <w:lang w:eastAsia="en-US"/>
                <w14:ligatures w14:val="standardContextual"/>
              </w:rPr>
            </w:pPr>
            <w:r w:rsidRPr="00785601">
              <w:rPr>
                <w:rFonts w:eastAsiaTheme="minorEastAsia" w:cstheme="minorBidi"/>
                <w:color w:val="001032" w:themeColor="text2"/>
                <w:kern w:val="2"/>
                <w:sz w:val="22"/>
                <w:szCs w:val="22"/>
                <w:lang w:eastAsia="en-US"/>
                <w14:ligatures w14:val="standardContextual"/>
              </w:rPr>
              <w:t>Q1</w:t>
            </w:r>
          </w:p>
        </w:tc>
        <w:tc>
          <w:tcPr>
            <w:tcW w:w="9072" w:type="dxa"/>
          </w:tcPr>
          <w:p w14:paraId="35FE8070" w14:textId="150680C4" w:rsidR="00785601" w:rsidRPr="00FC3E0D" w:rsidRDefault="25B0444C" w:rsidP="5727BEA9">
            <w:pPr>
              <w:rPr>
                <w:rFonts w:ascii="Arial" w:eastAsia="MS PGothic" w:hAnsi="Arial" w:cs="Arial"/>
                <w:bCs/>
                <w:color w:val="auto"/>
                <w:kern w:val="2"/>
                <w14:ligatures w14:val="standardContextual"/>
              </w:rPr>
            </w:pPr>
            <w:r w:rsidRPr="00FC3E0D">
              <w:rPr>
                <w:rFonts w:ascii="Arial" w:eastAsia="MS PGothic" w:hAnsi="Arial" w:cs="Arial"/>
                <w:b w:val="0"/>
                <w:color w:val="auto"/>
              </w:rPr>
              <w:t xml:space="preserve">What actions will be most effective for ensuring that learners are better informed of the depth and range of course offerings </w:t>
            </w:r>
            <w:r w:rsidR="006E7829" w:rsidRPr="00FC3E0D">
              <w:rPr>
                <w:rFonts w:ascii="Arial" w:eastAsia="MS PGothic" w:hAnsi="Arial" w:cs="Arial"/>
                <w:b w:val="0"/>
                <w:color w:val="auto"/>
              </w:rPr>
              <w:t xml:space="preserve">and occupations </w:t>
            </w:r>
            <w:r w:rsidRPr="00FC3E0D">
              <w:rPr>
                <w:rFonts w:ascii="Arial" w:eastAsia="MS PGothic" w:hAnsi="Arial" w:cs="Arial"/>
                <w:b w:val="0"/>
                <w:color w:val="auto"/>
              </w:rPr>
              <w:t>when deciding on career options and tertiary education pathways? </w:t>
            </w:r>
            <w:r w:rsidRPr="00FC3E0D">
              <w:rPr>
                <w:rFonts w:ascii="Arial" w:eastAsia="MS PGothic" w:hAnsi="Arial" w:cs="Arial"/>
                <w:bCs/>
                <w:color w:val="auto"/>
              </w:rPr>
              <w:t> </w:t>
            </w:r>
          </w:p>
        </w:tc>
      </w:tr>
      <w:tr w:rsidR="00E72E59" w:rsidRPr="00785601" w14:paraId="5D567102" w14:textId="77777777" w:rsidTr="5727BEA9">
        <w:tc>
          <w:tcPr>
            <w:tcW w:w="567" w:type="dxa"/>
          </w:tcPr>
          <w:p w14:paraId="2534DBDA" w14:textId="77777777" w:rsidR="00785601" w:rsidRPr="009F61EC" w:rsidRDefault="00785601">
            <w:pPr>
              <w:rPr>
                <w:rFonts w:eastAsiaTheme="minorEastAsia" w:cstheme="minorBidi"/>
                <w:b/>
                <w:color w:val="001032" w:themeColor="text2"/>
                <w:kern w:val="2"/>
                <w:sz w:val="22"/>
                <w:szCs w:val="22"/>
                <w:lang w:eastAsia="en-US"/>
                <w14:ligatures w14:val="standardContextual"/>
              </w:rPr>
            </w:pPr>
            <w:r w:rsidRPr="00785601">
              <w:rPr>
                <w:rFonts w:eastAsiaTheme="minorEastAsia" w:cstheme="minorBidi"/>
                <w:b/>
                <w:color w:val="001032" w:themeColor="text2"/>
                <w:kern w:val="2"/>
                <w:sz w:val="22"/>
                <w:szCs w:val="22"/>
                <w:lang w:eastAsia="en-US"/>
                <w14:ligatures w14:val="standardContextual"/>
              </w:rPr>
              <w:t>Q2</w:t>
            </w:r>
          </w:p>
        </w:tc>
        <w:tc>
          <w:tcPr>
            <w:tcW w:w="9072" w:type="dxa"/>
          </w:tcPr>
          <w:p w14:paraId="77E312D5" w14:textId="3B6B835A" w:rsidR="00785601" w:rsidRPr="00FC3E0D" w:rsidRDefault="00785601">
            <w:pPr>
              <w:rPr>
                <w:rFonts w:eastAsiaTheme="minorEastAsia" w:cstheme="minorBidi"/>
                <w:bCs/>
                <w:color w:val="auto"/>
                <w:kern w:val="2"/>
                <w:lang w:eastAsia="en-US"/>
                <w14:ligatures w14:val="standardContextual"/>
              </w:rPr>
            </w:pPr>
            <w:r w:rsidRPr="00FC3E0D">
              <w:rPr>
                <w:rFonts w:eastAsiaTheme="minorEastAsia" w:cstheme="minorBidi"/>
                <w:bCs/>
                <w:color w:val="auto"/>
                <w:kern w:val="2"/>
                <w:lang w:eastAsia="en-US"/>
                <w14:ligatures w14:val="standardContextual"/>
              </w:rPr>
              <w:t xml:space="preserve">What are the tangible actions </w:t>
            </w:r>
            <w:r w:rsidR="00D21596">
              <w:rPr>
                <w:rFonts w:eastAsiaTheme="minorEastAsia" w:cstheme="minorBidi"/>
                <w:bCs/>
                <w:color w:val="auto"/>
                <w:kern w:val="2"/>
                <w:lang w:eastAsia="en-US"/>
                <w14:ligatures w14:val="standardContextual"/>
              </w:rPr>
              <w:t xml:space="preserve">that </w:t>
            </w:r>
            <w:r w:rsidRPr="00FC3E0D">
              <w:rPr>
                <w:rFonts w:eastAsiaTheme="minorEastAsia" w:cstheme="minorBidi"/>
                <w:bCs/>
                <w:color w:val="auto"/>
                <w:kern w:val="2"/>
                <w:lang w:eastAsia="en-US"/>
                <w14:ligatures w14:val="standardContextual"/>
              </w:rPr>
              <w:t>can be achieved through the Roadmap to support parity of esteem between the VET and higher education sectors?</w:t>
            </w:r>
          </w:p>
        </w:tc>
      </w:tr>
      <w:tr w:rsidR="00E72E59" w:rsidRPr="00785601" w14:paraId="36069C4A" w14:textId="77777777" w:rsidTr="5727BEA9">
        <w:trPr>
          <w:trHeight w:val="414"/>
        </w:trPr>
        <w:tc>
          <w:tcPr>
            <w:tcW w:w="567" w:type="dxa"/>
          </w:tcPr>
          <w:p w14:paraId="0A53597F" w14:textId="77777777" w:rsidR="00785601" w:rsidRPr="00785601" w:rsidRDefault="00785601">
            <w:pPr>
              <w:rPr>
                <w:rFonts w:eastAsiaTheme="minorEastAsia" w:cstheme="minorBidi"/>
                <w:b/>
                <w:color w:val="auto"/>
                <w:kern w:val="2"/>
                <w:sz w:val="22"/>
                <w:szCs w:val="22"/>
                <w:lang w:eastAsia="en-US"/>
                <w14:ligatures w14:val="standardContextual"/>
              </w:rPr>
            </w:pPr>
            <w:r w:rsidRPr="009F61EC">
              <w:rPr>
                <w:rFonts w:eastAsiaTheme="minorEastAsia" w:cstheme="minorBidi"/>
                <w:b/>
                <w:color w:val="auto"/>
                <w:kern w:val="2"/>
                <w:sz w:val="22"/>
                <w:szCs w:val="22"/>
                <w:lang w:eastAsia="en-US"/>
                <w14:ligatures w14:val="standardContextual"/>
              </w:rPr>
              <w:t>Q3</w:t>
            </w:r>
          </w:p>
        </w:tc>
        <w:tc>
          <w:tcPr>
            <w:tcW w:w="9072" w:type="dxa"/>
          </w:tcPr>
          <w:p w14:paraId="3A9D1A81" w14:textId="37CBBFB0" w:rsidR="00785601" w:rsidRPr="004A183B" w:rsidRDefault="004A183B">
            <w:pPr>
              <w:rPr>
                <w:rFonts w:eastAsiaTheme="minorEastAsia" w:cstheme="minorBidi"/>
                <w:bCs/>
                <w:color w:val="auto"/>
                <w:kern w:val="2"/>
                <w:lang w:eastAsia="en-US"/>
                <w14:ligatures w14:val="standardContextual"/>
              </w:rPr>
            </w:pPr>
            <w:r w:rsidRPr="004A183B">
              <w:rPr>
                <w:rFonts w:eastAsiaTheme="minorEastAsia" w:cstheme="minorBidi"/>
                <w:bCs/>
                <w:color w:val="auto"/>
                <w:kern w:val="2"/>
                <w:lang w:eastAsia="en-US"/>
                <w14:ligatures w14:val="standardContextual"/>
              </w:rPr>
              <w:t>Noting fiscal constraints, how could existing funding settings and incentives be better aligned to support learner choice and labour market outcomes across VET and higher education?</w:t>
            </w:r>
          </w:p>
        </w:tc>
      </w:tr>
    </w:tbl>
    <w:p w14:paraId="10224CBA" w14:textId="3CF4B5A1" w:rsidR="00785601" w:rsidRPr="009F61EC" w:rsidRDefault="00656347" w:rsidP="009F61EC">
      <w:pPr>
        <w:pStyle w:val="Heading4"/>
        <w:rPr>
          <w:lang w:eastAsia="en-US"/>
        </w:rPr>
      </w:pPr>
      <w:r w:rsidRPr="00EE3997">
        <w:rPr>
          <w:lang w:eastAsia="en-US"/>
        </w:rPr>
        <w:t xml:space="preserve">Transitioning </w:t>
      </w:r>
      <w:r>
        <w:rPr>
          <w:lang w:eastAsia="en-US"/>
        </w:rPr>
        <w:t>b</w:t>
      </w:r>
      <w:r w:rsidRPr="00EE3997">
        <w:rPr>
          <w:lang w:eastAsia="en-US"/>
        </w:rPr>
        <w:t>etween VET and higher educatio</w:t>
      </w:r>
      <w:r w:rsidR="00D169AF">
        <w:rPr>
          <w:lang w:eastAsia="en-US"/>
        </w:rPr>
        <w:t>n</w:t>
      </w:r>
    </w:p>
    <w:tbl>
      <w:tblPr>
        <w:tblStyle w:val="TableGrid10"/>
        <w:tblW w:w="0" w:type="auto"/>
        <w:tblLook w:val="04A0" w:firstRow="1" w:lastRow="0" w:firstColumn="1" w:lastColumn="0" w:noHBand="0" w:noVBand="1"/>
      </w:tblPr>
      <w:tblGrid>
        <w:gridCol w:w="567"/>
        <w:gridCol w:w="9072"/>
      </w:tblGrid>
      <w:tr w:rsidR="00E72E59" w:rsidRPr="00785601" w14:paraId="13F2F2D8" w14:textId="77777777" w:rsidTr="5727BEA9">
        <w:trPr>
          <w:cnfStyle w:val="100000000000" w:firstRow="1" w:lastRow="0" w:firstColumn="0" w:lastColumn="0" w:oddVBand="0" w:evenVBand="0" w:oddHBand="0" w:evenHBand="0" w:firstRowFirstColumn="0" w:firstRowLastColumn="0" w:lastRowFirstColumn="0" w:lastRowLastColumn="0"/>
        </w:trPr>
        <w:tc>
          <w:tcPr>
            <w:tcW w:w="567" w:type="dxa"/>
          </w:tcPr>
          <w:p w14:paraId="58D6B398" w14:textId="77777777" w:rsidR="00785601" w:rsidRPr="009F61EC" w:rsidRDefault="00785601">
            <w:pPr>
              <w:rPr>
                <w:rFonts w:eastAsiaTheme="minorEastAsia" w:cstheme="minorBidi"/>
                <w:color w:val="001032" w:themeColor="text2"/>
                <w:kern w:val="2"/>
                <w:sz w:val="22"/>
                <w:szCs w:val="22"/>
                <w:lang w:eastAsia="en-US"/>
                <w14:ligatures w14:val="standardContextual"/>
              </w:rPr>
            </w:pPr>
            <w:r w:rsidRPr="00785601">
              <w:rPr>
                <w:rFonts w:eastAsiaTheme="minorEastAsia" w:cstheme="minorBidi"/>
                <w:color w:val="001032" w:themeColor="text2"/>
                <w:kern w:val="2"/>
                <w:sz w:val="22"/>
                <w:szCs w:val="22"/>
                <w:lang w:eastAsia="en-US"/>
                <w14:ligatures w14:val="standardContextual"/>
              </w:rPr>
              <w:t>Q4</w:t>
            </w:r>
          </w:p>
        </w:tc>
        <w:tc>
          <w:tcPr>
            <w:tcW w:w="9072" w:type="dxa"/>
          </w:tcPr>
          <w:p w14:paraId="3FB4BE3D" w14:textId="750F7601" w:rsidR="00AD124A" w:rsidRPr="00FC3E0D" w:rsidRDefault="2A30F1D5" w:rsidP="5727BEA9">
            <w:pPr>
              <w:spacing w:before="160"/>
              <w:rPr>
                <w:rFonts w:ascii="Arial" w:eastAsia="Arial" w:hAnsi="Arial" w:cs="Arial"/>
                <w:color w:val="auto"/>
                <w:kern w:val="2"/>
                <w14:ligatures w14:val="standardContextual"/>
              </w:rPr>
            </w:pPr>
            <w:r w:rsidRPr="00FC3E0D">
              <w:rPr>
                <w:rFonts w:ascii="Arial" w:eastAsia="Arial" w:hAnsi="Arial" w:cs="Arial"/>
                <w:b w:val="0"/>
                <w:color w:val="auto"/>
              </w:rPr>
              <w:t>What are examples of effective transitions, particularly for learners from underrepresented backgrounds? How can these be strengthened across the system?</w:t>
            </w:r>
          </w:p>
        </w:tc>
      </w:tr>
      <w:tr w:rsidR="00E72E59" w:rsidRPr="00785601" w14:paraId="622E13B2" w14:textId="77777777" w:rsidTr="5727BEA9">
        <w:trPr>
          <w:trHeight w:val="329"/>
        </w:trPr>
        <w:tc>
          <w:tcPr>
            <w:tcW w:w="567" w:type="dxa"/>
          </w:tcPr>
          <w:p w14:paraId="5825A96C" w14:textId="77777777" w:rsidR="00785601" w:rsidRPr="009F61EC" w:rsidRDefault="00785601">
            <w:pPr>
              <w:rPr>
                <w:rFonts w:eastAsiaTheme="minorEastAsia" w:cstheme="minorBidi"/>
                <w:b/>
                <w:color w:val="001032" w:themeColor="text2"/>
                <w:kern w:val="2"/>
                <w:sz w:val="22"/>
                <w:szCs w:val="22"/>
                <w:lang w:eastAsia="en-US"/>
                <w14:ligatures w14:val="standardContextual"/>
              </w:rPr>
            </w:pPr>
            <w:r w:rsidRPr="00785601">
              <w:rPr>
                <w:rFonts w:eastAsiaTheme="minorEastAsia" w:cstheme="minorBidi"/>
                <w:b/>
                <w:color w:val="001032" w:themeColor="text2"/>
                <w:kern w:val="2"/>
                <w:sz w:val="22"/>
                <w:szCs w:val="22"/>
                <w:lang w:eastAsia="en-US"/>
                <w14:ligatures w14:val="standardContextual"/>
              </w:rPr>
              <w:t>Q</w:t>
            </w:r>
            <w:r w:rsidRPr="009F61EC">
              <w:rPr>
                <w:rFonts w:eastAsiaTheme="minorEastAsia" w:cstheme="minorBidi"/>
                <w:b/>
                <w:color w:val="001032" w:themeColor="text2"/>
                <w:kern w:val="2"/>
                <w:sz w:val="22"/>
                <w:szCs w:val="22"/>
                <w:lang w:eastAsia="en-US"/>
                <w14:ligatures w14:val="standardContextual"/>
              </w:rPr>
              <w:t>5</w:t>
            </w:r>
          </w:p>
        </w:tc>
        <w:tc>
          <w:tcPr>
            <w:tcW w:w="9072" w:type="dxa"/>
          </w:tcPr>
          <w:p w14:paraId="37E18813" w14:textId="314BC2F6" w:rsidR="00785601" w:rsidRPr="00FC3E0D" w:rsidRDefault="00877863">
            <w:pPr>
              <w:rPr>
                <w:rFonts w:eastAsiaTheme="minorHAnsi" w:cstheme="minorBidi"/>
                <w:bCs/>
                <w:color w:val="auto"/>
                <w:kern w:val="2"/>
                <w:lang w:eastAsia="en-US"/>
                <w14:ligatures w14:val="standardContextual"/>
              </w:rPr>
            </w:pPr>
            <w:r w:rsidRPr="00FC3E0D">
              <w:rPr>
                <w:rFonts w:eastAsiaTheme="minorHAnsi" w:cstheme="minorBidi"/>
                <w:bCs/>
                <w:color w:val="auto"/>
                <w:kern w:val="2"/>
                <w:lang w:eastAsia="en-US"/>
                <w14:ligatures w14:val="standardContextual"/>
              </w:rPr>
              <w:t xml:space="preserve">What support arrangements are currently available for VET and higher education learners to assist with moving between the sectors and to ensure they can succeed? </w:t>
            </w:r>
          </w:p>
        </w:tc>
      </w:tr>
      <w:tr w:rsidR="00E72E59" w:rsidRPr="00785601" w14:paraId="028CBE41" w14:textId="77777777" w:rsidTr="5727BEA9">
        <w:tc>
          <w:tcPr>
            <w:tcW w:w="567" w:type="dxa"/>
          </w:tcPr>
          <w:p w14:paraId="1CB688DB" w14:textId="77777777" w:rsidR="00785601" w:rsidRPr="00785601" w:rsidRDefault="00785601">
            <w:pPr>
              <w:rPr>
                <w:rFonts w:eastAsiaTheme="minorEastAsia" w:cstheme="minorBidi"/>
                <w:b/>
                <w:color w:val="001032" w:themeColor="text2"/>
                <w:kern w:val="2"/>
                <w:sz w:val="22"/>
                <w:szCs w:val="22"/>
                <w:lang w:eastAsia="en-US"/>
                <w14:ligatures w14:val="standardContextual"/>
              </w:rPr>
            </w:pPr>
            <w:r w:rsidRPr="00785601">
              <w:rPr>
                <w:rFonts w:eastAsiaTheme="minorEastAsia" w:cstheme="minorBidi"/>
                <w:b/>
                <w:color w:val="001032" w:themeColor="text2"/>
                <w:kern w:val="2"/>
                <w:sz w:val="22"/>
                <w:szCs w:val="22"/>
                <w:lang w:eastAsia="en-US"/>
                <w14:ligatures w14:val="standardContextual"/>
              </w:rPr>
              <w:t>Q6</w:t>
            </w:r>
          </w:p>
        </w:tc>
        <w:tc>
          <w:tcPr>
            <w:tcW w:w="9072" w:type="dxa"/>
          </w:tcPr>
          <w:p w14:paraId="21ACF055" w14:textId="3EB8A7C7" w:rsidR="00785601" w:rsidRPr="00FC3E0D" w:rsidRDefault="00877863">
            <w:pPr>
              <w:rPr>
                <w:rFonts w:eastAsiaTheme="minorEastAsia" w:cstheme="minorBidi"/>
                <w:bCs/>
                <w:color w:val="auto"/>
                <w:kern w:val="2"/>
                <w:lang w:eastAsia="en-US"/>
                <w14:ligatures w14:val="standardContextual"/>
              </w:rPr>
            </w:pPr>
            <w:r w:rsidRPr="00FC3E0D">
              <w:rPr>
                <w:rFonts w:eastAsiaTheme="minorHAnsi" w:cstheme="minorBidi"/>
                <w:bCs/>
                <w:color w:val="auto"/>
                <w:kern w:val="2"/>
                <w:lang w:eastAsia="en-US"/>
                <w14:ligatures w14:val="standardContextual"/>
              </w:rPr>
              <w:t xml:space="preserve">What can </w:t>
            </w:r>
            <w:r w:rsidR="001475FA" w:rsidRPr="00FC3E0D">
              <w:rPr>
                <w:rFonts w:eastAsiaTheme="minorHAnsi" w:cstheme="minorBidi"/>
                <w:bCs/>
                <w:color w:val="auto"/>
                <w:kern w:val="2"/>
                <w:lang w:eastAsia="en-US"/>
                <w14:ligatures w14:val="standardContextual"/>
              </w:rPr>
              <w:t xml:space="preserve">VET and higher education </w:t>
            </w:r>
            <w:r w:rsidRPr="00FC3E0D">
              <w:rPr>
                <w:rFonts w:eastAsiaTheme="minorHAnsi" w:cstheme="minorBidi"/>
                <w:bCs/>
                <w:color w:val="auto"/>
                <w:kern w:val="2"/>
                <w:lang w:eastAsia="en-US"/>
                <w14:ligatures w14:val="standardContextual"/>
              </w:rPr>
              <w:t>providers do to better inform current and prospective learners of credit</w:t>
            </w:r>
            <w:r w:rsidR="00EB7E8C" w:rsidRPr="00FC3E0D">
              <w:rPr>
                <w:rFonts w:eastAsiaTheme="minorHAnsi" w:cstheme="minorBidi"/>
                <w:bCs/>
                <w:color w:val="auto"/>
                <w:kern w:val="2"/>
                <w:lang w:eastAsia="en-US"/>
                <w14:ligatures w14:val="standardContextual"/>
              </w:rPr>
              <w:t xml:space="preserve"> recognition</w:t>
            </w:r>
            <w:r w:rsidRPr="00FC3E0D">
              <w:rPr>
                <w:rFonts w:eastAsiaTheme="minorHAnsi" w:cstheme="minorBidi"/>
                <w:bCs/>
                <w:color w:val="auto"/>
                <w:kern w:val="2"/>
                <w:lang w:eastAsia="en-US"/>
                <w14:ligatures w14:val="standardContextual"/>
              </w:rPr>
              <w:t xml:space="preserve"> arrangements and pathways?</w:t>
            </w:r>
          </w:p>
        </w:tc>
      </w:tr>
    </w:tbl>
    <w:p w14:paraId="54941C31" w14:textId="4461E5B2" w:rsidR="00D773A3" w:rsidRDefault="00656347" w:rsidP="009F61EC">
      <w:pPr>
        <w:pStyle w:val="Heading4"/>
      </w:pPr>
      <w:r w:rsidRPr="00EE3997">
        <w:rPr>
          <w:lang w:eastAsia="en-US"/>
        </w:rPr>
        <w:t>Drawing on the strengths of both sectors to enhance learner experience</w:t>
      </w:r>
    </w:p>
    <w:tbl>
      <w:tblPr>
        <w:tblStyle w:val="TableGrid10"/>
        <w:tblW w:w="0" w:type="auto"/>
        <w:tblLook w:val="04A0" w:firstRow="1" w:lastRow="0" w:firstColumn="1" w:lastColumn="0" w:noHBand="0" w:noVBand="1"/>
      </w:tblPr>
      <w:tblGrid>
        <w:gridCol w:w="567"/>
        <w:gridCol w:w="9072"/>
      </w:tblGrid>
      <w:tr w:rsidR="00E72E59" w:rsidRPr="0031270F" w14:paraId="04B97D4C" w14:textId="77777777" w:rsidTr="0031270F">
        <w:trPr>
          <w:cnfStyle w:val="100000000000" w:firstRow="1" w:lastRow="0" w:firstColumn="0" w:lastColumn="0" w:oddVBand="0" w:evenVBand="0" w:oddHBand="0" w:evenHBand="0" w:firstRowFirstColumn="0" w:firstRowLastColumn="0" w:lastRowFirstColumn="0" w:lastRowLastColumn="0"/>
          <w:trHeight w:val="329"/>
        </w:trPr>
        <w:tc>
          <w:tcPr>
            <w:tcW w:w="567" w:type="dxa"/>
          </w:tcPr>
          <w:p w14:paraId="1551C2C2" w14:textId="77777777" w:rsidR="00785601" w:rsidRPr="00785601" w:rsidRDefault="00785601">
            <w:pPr>
              <w:rPr>
                <w:rFonts w:eastAsiaTheme="minorEastAsia" w:cstheme="minorBidi"/>
                <w:bCs/>
                <w:color w:val="001032" w:themeColor="text2"/>
                <w:kern w:val="2"/>
                <w:sz w:val="22"/>
                <w:szCs w:val="22"/>
                <w:lang w:eastAsia="en-US"/>
                <w14:ligatures w14:val="standardContextual"/>
              </w:rPr>
            </w:pPr>
            <w:r w:rsidRPr="00785601">
              <w:rPr>
                <w:rFonts w:eastAsiaTheme="minorEastAsia" w:cstheme="minorBidi"/>
                <w:bCs/>
                <w:color w:val="001032" w:themeColor="text2"/>
                <w:kern w:val="2"/>
                <w:sz w:val="22"/>
                <w:szCs w:val="22"/>
                <w:lang w:eastAsia="en-US"/>
                <w14:ligatures w14:val="standardContextual"/>
              </w:rPr>
              <w:t>Q7</w:t>
            </w:r>
          </w:p>
        </w:tc>
        <w:tc>
          <w:tcPr>
            <w:tcW w:w="9072" w:type="dxa"/>
          </w:tcPr>
          <w:p w14:paraId="7CA94498" w14:textId="77777777" w:rsidR="00785601" w:rsidRPr="00FC3E0D" w:rsidRDefault="00785601">
            <w:pPr>
              <w:rPr>
                <w:rFonts w:eastAsiaTheme="minorEastAsia" w:cstheme="minorBidi"/>
                <w:b w:val="0"/>
                <w:color w:val="auto"/>
                <w:kern w:val="2"/>
                <w:lang w:eastAsia="en-US"/>
                <w14:ligatures w14:val="standardContextual"/>
              </w:rPr>
            </w:pPr>
            <w:r w:rsidRPr="00FC3E0D">
              <w:rPr>
                <w:rFonts w:eastAsiaTheme="minorHAnsi" w:cstheme="minorBidi"/>
                <w:b w:val="0"/>
                <w:color w:val="auto"/>
                <w:kern w:val="2"/>
                <w:lang w:eastAsia="en-US"/>
                <w14:ligatures w14:val="standardContextual"/>
              </w:rPr>
              <w:t>What does the VET sector do well that you would like to see adopted in higher education? What does the higher education sector do well that could be applied to VET?</w:t>
            </w:r>
          </w:p>
        </w:tc>
      </w:tr>
      <w:tr w:rsidR="00E72E59" w:rsidRPr="00785601" w14:paraId="7D53AB8D" w14:textId="77777777" w:rsidTr="009F61EC">
        <w:trPr>
          <w:trHeight w:val="329"/>
        </w:trPr>
        <w:tc>
          <w:tcPr>
            <w:tcW w:w="567" w:type="dxa"/>
          </w:tcPr>
          <w:p w14:paraId="09C2FD39" w14:textId="77777777" w:rsidR="00785601" w:rsidRPr="00785601" w:rsidRDefault="00785601">
            <w:pPr>
              <w:rPr>
                <w:rFonts w:eastAsiaTheme="minorEastAsia" w:cstheme="minorBidi"/>
                <w:b/>
                <w:bCs/>
                <w:color w:val="001032" w:themeColor="text2"/>
                <w:kern w:val="2"/>
                <w:sz w:val="22"/>
                <w:szCs w:val="22"/>
                <w:lang w:eastAsia="en-US"/>
                <w14:ligatures w14:val="standardContextual"/>
              </w:rPr>
            </w:pPr>
            <w:r w:rsidRPr="00785601">
              <w:rPr>
                <w:rFonts w:eastAsiaTheme="minorEastAsia" w:cstheme="minorBidi"/>
                <w:b/>
                <w:bCs/>
                <w:color w:val="001032" w:themeColor="text2"/>
                <w:kern w:val="2"/>
                <w:sz w:val="22"/>
                <w:szCs w:val="22"/>
                <w:lang w:eastAsia="en-US"/>
                <w14:ligatures w14:val="standardContextual"/>
              </w:rPr>
              <w:t>Q8</w:t>
            </w:r>
          </w:p>
        </w:tc>
        <w:tc>
          <w:tcPr>
            <w:tcW w:w="9072" w:type="dxa"/>
          </w:tcPr>
          <w:p w14:paraId="18793785" w14:textId="4D16E48F" w:rsidR="00785601" w:rsidRPr="00FC3E0D" w:rsidRDefault="005B6F50">
            <w:pPr>
              <w:rPr>
                <w:color w:val="001032" w:themeColor="text2"/>
                <w:lang w:eastAsia="en-US"/>
              </w:rPr>
            </w:pPr>
            <w:r w:rsidRPr="00FC3E0D">
              <w:rPr>
                <w:rFonts w:eastAsiaTheme="minorHAnsi" w:cstheme="minorBidi"/>
                <w:color w:val="auto"/>
                <w:kern w:val="2"/>
                <w:lang w:eastAsia="en-US"/>
                <w14:ligatures w14:val="standardContextual"/>
              </w:rPr>
              <w:t>What are the challenges in developing and sustaining innovative qualifications, pathways and practices that span across the VET and higher education sectors? What does each sector need from government(s) to support their development and sustainability? </w:t>
            </w:r>
          </w:p>
        </w:tc>
      </w:tr>
      <w:tr w:rsidR="00E72E59" w:rsidRPr="00785601" w14:paraId="645B7B61" w14:textId="77777777" w:rsidTr="009F61EC">
        <w:trPr>
          <w:trHeight w:val="329"/>
        </w:trPr>
        <w:tc>
          <w:tcPr>
            <w:tcW w:w="567" w:type="dxa"/>
          </w:tcPr>
          <w:p w14:paraId="0DE92FF2" w14:textId="77777777" w:rsidR="00785601" w:rsidRPr="00785601" w:rsidRDefault="00785601">
            <w:pPr>
              <w:rPr>
                <w:rFonts w:eastAsiaTheme="minorEastAsia" w:cstheme="minorBidi"/>
                <w:b/>
                <w:bCs/>
                <w:color w:val="001032" w:themeColor="text2"/>
                <w:kern w:val="2"/>
                <w:sz w:val="22"/>
                <w:szCs w:val="22"/>
                <w:lang w:eastAsia="en-US"/>
                <w14:ligatures w14:val="standardContextual"/>
              </w:rPr>
            </w:pPr>
            <w:r w:rsidRPr="00785601">
              <w:rPr>
                <w:rFonts w:eastAsiaTheme="minorEastAsia" w:cstheme="minorBidi"/>
                <w:b/>
                <w:bCs/>
                <w:color w:val="001032" w:themeColor="text2"/>
                <w:kern w:val="2"/>
                <w:sz w:val="22"/>
                <w:szCs w:val="22"/>
                <w:lang w:eastAsia="en-US"/>
                <w14:ligatures w14:val="standardContextual"/>
              </w:rPr>
              <w:t>Q9</w:t>
            </w:r>
          </w:p>
        </w:tc>
        <w:tc>
          <w:tcPr>
            <w:tcW w:w="9072" w:type="dxa"/>
          </w:tcPr>
          <w:p w14:paraId="45E103CC" w14:textId="6581D63F" w:rsidR="00785601" w:rsidRPr="00FC3E0D" w:rsidRDefault="00785601">
            <w:pPr>
              <w:rPr>
                <w:color w:val="001032" w:themeColor="text2"/>
                <w:lang w:eastAsia="en-US"/>
              </w:rPr>
            </w:pPr>
            <w:r w:rsidRPr="00FC3E0D">
              <w:rPr>
                <w:rFonts w:eastAsia="Arial"/>
              </w:rPr>
              <w:t>In which geographical locations, fields of education, industries or occupations would dual sector models be best suited?</w:t>
            </w:r>
            <w:r w:rsidR="00E325A1" w:rsidRPr="00FC3E0D">
              <w:rPr>
                <w:rFonts w:eastAsia="Arial"/>
              </w:rPr>
              <w:t xml:space="preserve"> What are examples of work underway?</w:t>
            </w:r>
          </w:p>
        </w:tc>
      </w:tr>
    </w:tbl>
    <w:p w14:paraId="46841528" w14:textId="17A8CBDD" w:rsidR="58AD81A1" w:rsidRDefault="58AD81A1" w:rsidP="4AA92295">
      <w:pPr>
        <w:pStyle w:val="Heading4"/>
      </w:pPr>
      <w:r>
        <w:t>Overarching reform directions</w:t>
      </w:r>
      <w:bookmarkStart w:id="62" w:name="_Hlk216945911"/>
    </w:p>
    <w:tbl>
      <w:tblPr>
        <w:tblStyle w:val="TableGrid10"/>
        <w:tblW w:w="0" w:type="auto"/>
        <w:tblLook w:val="04A0" w:firstRow="1" w:lastRow="0" w:firstColumn="1" w:lastColumn="0" w:noHBand="0" w:noVBand="1"/>
      </w:tblPr>
      <w:tblGrid>
        <w:gridCol w:w="632"/>
        <w:gridCol w:w="9007"/>
      </w:tblGrid>
      <w:tr w:rsidR="00E72E59" w:rsidRPr="00785601" w14:paraId="4A8FD7DA" w14:textId="77777777" w:rsidTr="5727BEA9">
        <w:trPr>
          <w:cnfStyle w:val="100000000000" w:firstRow="1" w:lastRow="0" w:firstColumn="0" w:lastColumn="0" w:oddVBand="0" w:evenVBand="0" w:oddHBand="0" w:evenHBand="0" w:firstRowFirstColumn="0" w:firstRowLastColumn="0" w:lastRowFirstColumn="0" w:lastRowLastColumn="0"/>
          <w:trHeight w:val="329"/>
        </w:trPr>
        <w:tc>
          <w:tcPr>
            <w:tcW w:w="632" w:type="dxa"/>
          </w:tcPr>
          <w:p w14:paraId="56A4D1D6" w14:textId="77777777" w:rsidR="00DC45B4" w:rsidRPr="00785601" w:rsidRDefault="00DC45B4">
            <w:pPr>
              <w:rPr>
                <w:rFonts w:eastAsiaTheme="minorEastAsia" w:cstheme="minorBidi"/>
                <w:color w:val="001032" w:themeColor="text2"/>
                <w:kern w:val="2"/>
                <w:sz w:val="22"/>
                <w:szCs w:val="22"/>
                <w:lang w:eastAsia="en-US"/>
                <w14:ligatures w14:val="standardContextual"/>
              </w:rPr>
            </w:pPr>
            <w:r w:rsidRPr="00785601">
              <w:rPr>
                <w:rFonts w:eastAsiaTheme="minorEastAsia" w:cstheme="minorBidi"/>
                <w:color w:val="001032" w:themeColor="text2"/>
                <w:kern w:val="2"/>
                <w:sz w:val="22"/>
                <w:szCs w:val="22"/>
                <w:lang w:eastAsia="en-US"/>
                <w14:ligatures w14:val="standardContextual"/>
              </w:rPr>
              <w:t>Q10</w:t>
            </w:r>
          </w:p>
        </w:tc>
        <w:tc>
          <w:tcPr>
            <w:tcW w:w="9007" w:type="dxa"/>
          </w:tcPr>
          <w:p w14:paraId="0C12DC08" w14:textId="77777777" w:rsidR="00DC45B4" w:rsidRPr="00FC3E0D" w:rsidRDefault="00DC45B4">
            <w:pPr>
              <w:rPr>
                <w:b w:val="0"/>
                <w:bCs/>
                <w:color w:val="001032" w:themeColor="text2"/>
                <w:lang w:eastAsia="en-US"/>
              </w:rPr>
            </w:pPr>
            <w:r w:rsidRPr="00FC3E0D">
              <w:rPr>
                <w:rFonts w:eastAsiaTheme="minorEastAsia" w:cstheme="minorBidi"/>
                <w:b w:val="0"/>
                <w:bCs/>
                <w:color w:val="auto"/>
                <w:kern w:val="2"/>
                <w:lang w:eastAsia="en-US"/>
                <w14:ligatures w14:val="standardContextual"/>
              </w:rPr>
              <w:t>What does an ideal joined-up tertiary system look like?</w:t>
            </w:r>
          </w:p>
        </w:tc>
      </w:tr>
      <w:tr w:rsidR="00E72E59" w:rsidRPr="00785601" w14:paraId="16E1C652" w14:textId="77777777" w:rsidTr="5727BEA9">
        <w:trPr>
          <w:trHeight w:val="329"/>
        </w:trPr>
        <w:tc>
          <w:tcPr>
            <w:tcW w:w="632" w:type="dxa"/>
          </w:tcPr>
          <w:p w14:paraId="0B58A1D6" w14:textId="77777777" w:rsidR="00DC45B4" w:rsidRPr="00785601" w:rsidRDefault="00DC45B4">
            <w:pPr>
              <w:rPr>
                <w:rFonts w:eastAsiaTheme="minorEastAsia" w:cstheme="minorBidi"/>
                <w:b/>
                <w:color w:val="001032" w:themeColor="text2"/>
                <w:kern w:val="2"/>
                <w:sz w:val="22"/>
                <w:szCs w:val="22"/>
                <w:lang w:eastAsia="en-US"/>
                <w14:ligatures w14:val="standardContextual"/>
              </w:rPr>
            </w:pPr>
            <w:r w:rsidRPr="00785601">
              <w:rPr>
                <w:rFonts w:eastAsiaTheme="minorEastAsia" w:cstheme="minorBidi"/>
                <w:b/>
                <w:color w:val="001032" w:themeColor="text2"/>
                <w:kern w:val="2"/>
                <w:sz w:val="22"/>
                <w:szCs w:val="22"/>
                <w:lang w:eastAsia="en-US"/>
                <w14:ligatures w14:val="standardContextual"/>
              </w:rPr>
              <w:t>Q11</w:t>
            </w:r>
          </w:p>
        </w:tc>
        <w:tc>
          <w:tcPr>
            <w:tcW w:w="9007" w:type="dxa"/>
          </w:tcPr>
          <w:p w14:paraId="624547D6" w14:textId="3B4BB436" w:rsidR="00DC45B4" w:rsidRPr="00FC3E0D" w:rsidRDefault="473821DA" w:rsidP="5727BEA9">
            <w:pPr>
              <w:rPr>
                <w:color w:val="001032" w:themeColor="text2"/>
                <w:lang w:eastAsia="en-US"/>
              </w:rPr>
            </w:pPr>
            <w:r w:rsidRPr="00FC3E0D">
              <w:rPr>
                <w:rFonts w:eastAsiaTheme="minorEastAsia" w:cstheme="minorBidi"/>
                <w:color w:val="auto"/>
                <w:lang w:eastAsia="en-US"/>
              </w:rPr>
              <w:t xml:space="preserve">Which reform opportunities should be prioritised and why? Which ones are likely to have the </w:t>
            </w:r>
            <w:proofErr w:type="gramStart"/>
            <w:r w:rsidRPr="00FC3E0D">
              <w:rPr>
                <w:rFonts w:eastAsiaTheme="minorEastAsia" w:cstheme="minorBidi"/>
                <w:color w:val="auto"/>
                <w:lang w:eastAsia="en-US"/>
              </w:rPr>
              <w:t>highest-impact</w:t>
            </w:r>
            <w:proofErr w:type="gramEnd"/>
            <w:r w:rsidRPr="00FC3E0D">
              <w:rPr>
                <w:rFonts w:eastAsiaTheme="minorEastAsia" w:cstheme="minorBidi"/>
                <w:color w:val="auto"/>
                <w:lang w:eastAsia="en-US"/>
              </w:rPr>
              <w:t xml:space="preserve">? Are there any gaps that should be considered?   </w:t>
            </w:r>
          </w:p>
        </w:tc>
      </w:tr>
      <w:tr w:rsidR="00E37CC5" w:rsidRPr="00785601" w14:paraId="50024AA4" w14:textId="77777777" w:rsidTr="5727BEA9">
        <w:trPr>
          <w:trHeight w:val="329"/>
        </w:trPr>
        <w:tc>
          <w:tcPr>
            <w:tcW w:w="632" w:type="dxa"/>
          </w:tcPr>
          <w:p w14:paraId="46763489" w14:textId="64C002E5" w:rsidR="00E37CC5" w:rsidRPr="00785601" w:rsidRDefault="00A44936">
            <w:pPr>
              <w:rPr>
                <w:rFonts w:eastAsiaTheme="minorEastAsia" w:cstheme="minorBidi"/>
                <w:b/>
                <w:color w:val="001032" w:themeColor="text2"/>
                <w:kern w:val="2"/>
                <w:sz w:val="22"/>
                <w:szCs w:val="22"/>
                <w:lang w:eastAsia="en-US"/>
                <w14:ligatures w14:val="standardContextual"/>
              </w:rPr>
            </w:pPr>
            <w:r>
              <w:rPr>
                <w:rFonts w:eastAsiaTheme="minorEastAsia" w:cstheme="minorBidi"/>
                <w:b/>
                <w:color w:val="001032" w:themeColor="text2"/>
                <w:kern w:val="2"/>
                <w:sz w:val="22"/>
                <w:szCs w:val="22"/>
                <w:lang w:eastAsia="en-US"/>
                <w14:ligatures w14:val="standardContextual"/>
              </w:rPr>
              <w:t>Q12</w:t>
            </w:r>
          </w:p>
        </w:tc>
        <w:tc>
          <w:tcPr>
            <w:tcW w:w="9007" w:type="dxa"/>
          </w:tcPr>
          <w:p w14:paraId="3FCA53EC" w14:textId="474BC29F" w:rsidR="00E37CC5" w:rsidRPr="00FC3E0D" w:rsidRDefault="007664E3" w:rsidP="5727BEA9">
            <w:pPr>
              <w:rPr>
                <w:rFonts w:eastAsiaTheme="minorEastAsia" w:cstheme="minorBidi"/>
                <w:color w:val="auto"/>
                <w:lang w:eastAsia="en-US"/>
              </w:rPr>
            </w:pPr>
            <w:r w:rsidRPr="007664E3">
              <w:rPr>
                <w:rFonts w:eastAsiaTheme="minorEastAsia" w:cstheme="minorBidi"/>
                <w:color w:val="auto"/>
                <w:lang w:eastAsia="en-US"/>
              </w:rPr>
              <w:t>What opportunities are there to improve Australia’s data and information systems to better support learner pathways and outcome measurement across VET and higher education?</w:t>
            </w:r>
          </w:p>
        </w:tc>
      </w:tr>
    </w:tbl>
    <w:p w14:paraId="6E81E8A4" w14:textId="77777777" w:rsidR="00DC45B4" w:rsidRPr="008C4640" w:rsidRDefault="00DC45B4" w:rsidP="00DC45B4">
      <w:pPr>
        <w:tabs>
          <w:tab w:val="left" w:pos="3969"/>
        </w:tabs>
        <w:sectPr w:rsidR="00DC45B4" w:rsidRPr="008C4640" w:rsidSect="00DC45B4">
          <w:pgSz w:w="11907" w:h="16839" w:code="9"/>
          <w:pgMar w:top="1077" w:right="1134" w:bottom="1134" w:left="1134" w:header="567" w:footer="805" w:gutter="0"/>
          <w:cols w:space="708"/>
          <w:docGrid w:linePitch="360"/>
        </w:sectPr>
      </w:pPr>
    </w:p>
    <w:p w14:paraId="15B02811" w14:textId="3137A31A" w:rsidR="007C14D4" w:rsidRDefault="007C14D4" w:rsidP="007C14D4">
      <w:pPr>
        <w:pStyle w:val="Heading1"/>
      </w:pPr>
      <w:bookmarkStart w:id="63" w:name="_Toc229643986"/>
      <w:r>
        <w:t>Reference</w:t>
      </w:r>
      <w:r w:rsidR="006033F7">
        <w:t>s</w:t>
      </w:r>
      <w:bookmarkEnd w:id="63"/>
    </w:p>
    <w:bookmarkEnd w:id="62"/>
    <w:p w14:paraId="412B37B2" w14:textId="5D77AB44" w:rsidR="00460C0D" w:rsidRDefault="00460C0D" w:rsidP="00460C0D">
      <w:r w:rsidRPr="00083FEA">
        <w:t xml:space="preserve">ABS (Australian Bureau of Statistics) (2025), </w:t>
      </w:r>
      <w:hyperlink r:id="rId27" w:anchor="and-onwards-tertiary-education" w:history="1">
        <w:r w:rsidRPr="00E0586F">
          <w:rPr>
            <w:rStyle w:val="Hyperlink"/>
            <w:rFonts w:ascii="Arial" w:hAnsi="Arial"/>
            <w:i/>
            <w:iCs/>
          </w:rPr>
          <w:t>Education in Australia - from abc to A’s, B’s and C’s | Australian Bureau of Statistics</w:t>
        </w:r>
      </w:hyperlink>
      <w:r w:rsidRPr="00083FEA">
        <w:t xml:space="preserve">, ABS </w:t>
      </w:r>
      <w:r w:rsidR="006A6EC3">
        <w:t>w</w:t>
      </w:r>
      <w:r w:rsidRPr="00083FEA">
        <w:t>ebsite, accessed 1</w:t>
      </w:r>
      <w:r w:rsidR="00C82CFE">
        <w:t>0</w:t>
      </w:r>
      <w:r w:rsidRPr="00083FEA">
        <w:t xml:space="preserve"> November 2025. </w:t>
      </w:r>
    </w:p>
    <w:p w14:paraId="742BC749" w14:textId="6B505195" w:rsidR="00EC052D" w:rsidRDefault="00AE1AF7" w:rsidP="00460C0D">
      <w:r w:rsidRPr="00083FEA">
        <w:t>ABS (Australian Bureau of Statistics) (202</w:t>
      </w:r>
      <w:r>
        <w:t>5</w:t>
      </w:r>
      <w:r w:rsidRPr="00083FEA">
        <w:t xml:space="preserve">), </w:t>
      </w:r>
      <w:hyperlink r:id="rId28" w:anchor="engagement-in-work-and-or-study" w:history="1">
        <w:r w:rsidRPr="00AE1AF7">
          <w:rPr>
            <w:rStyle w:val="Hyperlink"/>
            <w:i/>
            <w:iCs/>
          </w:rPr>
          <w:t>Education and Work, Australia</w:t>
        </w:r>
      </w:hyperlink>
      <w:r w:rsidRPr="00083FEA">
        <w:t xml:space="preserve">, ABS </w:t>
      </w:r>
      <w:r>
        <w:t>w</w:t>
      </w:r>
      <w:r w:rsidRPr="00083FEA">
        <w:t xml:space="preserve">ebsite, accessed </w:t>
      </w:r>
      <w:r>
        <w:t xml:space="preserve">30 April </w:t>
      </w:r>
      <w:r w:rsidRPr="00083FEA">
        <w:t>202</w:t>
      </w:r>
      <w:r>
        <w:t>6</w:t>
      </w:r>
      <w:r w:rsidRPr="00083FEA">
        <w:t>.</w:t>
      </w:r>
    </w:p>
    <w:p w14:paraId="3DB7A47B" w14:textId="054EA717" w:rsidR="00DC45B4" w:rsidRPr="00351A78" w:rsidRDefault="00DC45B4" w:rsidP="00460C0D">
      <w:r>
        <w:t xml:space="preserve">Adelet McGowan M, and Andrews D (2017), </w:t>
      </w:r>
      <w:hyperlink r:id="rId29" w:history="1">
        <w:r w:rsidR="00351A78" w:rsidRPr="00351A78">
          <w:rPr>
            <w:rStyle w:val="Hyperlink"/>
            <w:i/>
            <w:iCs/>
          </w:rPr>
          <w:t>Skills mismatch, productivity and policies: Evidence from the second wave of PIAAC</w:t>
        </w:r>
      </w:hyperlink>
      <w:r w:rsidR="00351A78">
        <w:rPr>
          <w:i/>
          <w:iCs/>
        </w:rPr>
        <w:t xml:space="preserve">, </w:t>
      </w:r>
      <w:r w:rsidR="00351A78">
        <w:t xml:space="preserve">OECD website, accessed 30 March 2026. </w:t>
      </w:r>
    </w:p>
    <w:p w14:paraId="32047225" w14:textId="77777777" w:rsidR="00460C0D" w:rsidRPr="00083FEA" w:rsidRDefault="00460C0D" w:rsidP="00460C0D">
      <w:r w:rsidRPr="00083FEA">
        <w:t xml:space="preserve">Ambrose I, Bonne M, Chanock K, Cunnington C, Jardine S, and Muller J (2013), ‘“Like catching smoke”: Easing the transition from TAFE to university’, </w:t>
      </w:r>
      <w:r w:rsidRPr="00083FEA">
        <w:rPr>
          <w:i/>
          <w:iCs/>
        </w:rPr>
        <w:t xml:space="preserve">Journal of Academic Language and Learning, </w:t>
      </w:r>
      <w:r w:rsidRPr="00083FEA">
        <w:t xml:space="preserve">7(2): 120-131. </w:t>
      </w:r>
      <w:hyperlink r:id="rId30" w:history="1">
        <w:r w:rsidRPr="00083FEA">
          <w:rPr>
            <w:u w:val="single" w:color="009364"/>
          </w:rPr>
          <w:t>http://www.journal.aall.org.au/index.php/jall/article/viewArticle/257</w:t>
        </w:r>
      </w:hyperlink>
      <w:r w:rsidRPr="00083FEA">
        <w:t xml:space="preserve"> </w:t>
      </w:r>
    </w:p>
    <w:p w14:paraId="0A810AF3" w14:textId="77777777" w:rsidR="00DC45B4" w:rsidRDefault="00DC45B4" w:rsidP="00460C0D">
      <w:r w:rsidRPr="00083FEA">
        <w:t xml:space="preserve">ANU Centre for Social Research and Methods (2025), </w:t>
      </w:r>
      <w:hyperlink r:id="rId31" w:anchor="benchmark-report" w:history="1">
        <w:r w:rsidRPr="00E0586F">
          <w:rPr>
            <w:rStyle w:val="Hyperlink"/>
            <w:i/>
            <w:iCs/>
          </w:rPr>
          <w:t>GENERATION – What do youth think? National Report</w:t>
        </w:r>
      </w:hyperlink>
      <w:r w:rsidRPr="00083FEA">
        <w:t>, GENERATION Survey website, accessed 1</w:t>
      </w:r>
      <w:r>
        <w:t>0</w:t>
      </w:r>
      <w:r w:rsidRPr="00083FEA">
        <w:t xml:space="preserve"> November 2025. </w:t>
      </w:r>
    </w:p>
    <w:p w14:paraId="004C341D" w14:textId="375F7896" w:rsidR="00201145" w:rsidRPr="00161CB8" w:rsidRDefault="00201145" w:rsidP="00460C0D">
      <w:r w:rsidRPr="00083FEA">
        <w:t>ASQA (Australian Skills Quality Authority)</w:t>
      </w:r>
      <w:r w:rsidR="00161CB8">
        <w:t xml:space="preserve"> (2026a), </w:t>
      </w:r>
      <w:hyperlink r:id="rId32" w:history="1">
        <w:r w:rsidR="00161CB8" w:rsidRPr="00161CB8">
          <w:rPr>
            <w:rStyle w:val="Hyperlink"/>
            <w:i/>
            <w:iCs/>
          </w:rPr>
          <w:t>Credit transfer and recognition of prior learning</w:t>
        </w:r>
      </w:hyperlink>
      <w:r w:rsidR="00161CB8">
        <w:rPr>
          <w:i/>
          <w:iCs/>
        </w:rPr>
        <w:t xml:space="preserve">, </w:t>
      </w:r>
      <w:r w:rsidR="00161CB8">
        <w:t xml:space="preserve">ASQA website, accessed 1 May 2026. </w:t>
      </w:r>
    </w:p>
    <w:p w14:paraId="6E4A3CF6" w14:textId="5C7B953C" w:rsidR="00D90F6B" w:rsidRDefault="00D90F6B" w:rsidP="00460C0D">
      <w:r w:rsidRPr="00083FEA">
        <w:t>ASQA (Australian Skills Quality Authority)</w:t>
      </w:r>
      <w:r w:rsidR="004E7B6D">
        <w:t xml:space="preserve"> (2026</w:t>
      </w:r>
      <w:r w:rsidR="00201145">
        <w:t>b</w:t>
      </w:r>
      <w:r w:rsidR="004E7B6D">
        <w:t>)</w:t>
      </w:r>
      <w:r w:rsidR="000E5A21">
        <w:t xml:space="preserve">, </w:t>
      </w:r>
      <w:hyperlink r:id="rId33" w:history="1">
        <w:r w:rsidR="000E5A21" w:rsidRPr="000E5A21">
          <w:rPr>
            <w:rStyle w:val="Hyperlink"/>
            <w:i/>
            <w:iCs/>
          </w:rPr>
          <w:t>Risk priority: Recognition of prior learning</w:t>
        </w:r>
      </w:hyperlink>
      <w:r w:rsidR="000E5A21">
        <w:rPr>
          <w:i/>
          <w:iCs/>
        </w:rPr>
        <w:t xml:space="preserve">, </w:t>
      </w:r>
      <w:r w:rsidR="000E5A21">
        <w:t xml:space="preserve">ASQA website, accessed 1 May 2026. </w:t>
      </w:r>
    </w:p>
    <w:p w14:paraId="6F9BC982" w14:textId="5C7E36BC" w:rsidR="00460C0D" w:rsidRPr="00083FEA" w:rsidRDefault="00460C0D" w:rsidP="00460C0D">
      <w:r w:rsidRPr="00083FEA">
        <w:t xml:space="preserve">ASQA (Australian Skills Quality Authority) and TEQSA (Tertiary Education Quality and Standards Agency) (2025), </w:t>
      </w:r>
      <w:hyperlink r:id="rId34" w:history="1">
        <w:r w:rsidR="00B441A0" w:rsidRPr="00B441A0">
          <w:rPr>
            <w:rStyle w:val="Hyperlink"/>
            <w:i/>
            <w:iCs/>
          </w:rPr>
          <w:t>Dual Sector Regulatory Strategy</w:t>
        </w:r>
      </w:hyperlink>
      <w:r w:rsidRPr="00083FEA">
        <w:t xml:space="preserve">, TEQSA website, accessed 7 November 2025. </w:t>
      </w:r>
    </w:p>
    <w:p w14:paraId="3A40B019" w14:textId="77777777" w:rsidR="003144A3" w:rsidRPr="00083FEA" w:rsidRDefault="003144A3" w:rsidP="003144A3">
      <w:r w:rsidRPr="00083FEA">
        <w:t xml:space="preserve">AUSMASA (Mining and Automotive Skills Alliance) (2025), </w:t>
      </w:r>
      <w:hyperlink r:id="rId35" w:history="1">
        <w:r w:rsidRPr="0086467B">
          <w:rPr>
            <w:i/>
            <w:iCs/>
            <w:u w:val="single" w:color="009364"/>
          </w:rPr>
          <w:t>The Missing Middle - Investigating the Potential of Vocational Degree Models in the Mining and Automotive Sectors.pdf</w:t>
        </w:r>
      </w:hyperlink>
      <w:r w:rsidRPr="0086467B">
        <w:rPr>
          <w:i/>
          <w:iCs/>
        </w:rPr>
        <w:t>,</w:t>
      </w:r>
      <w:r w:rsidRPr="00083FEA">
        <w:t xml:space="preserve"> AUSMASA</w:t>
      </w:r>
      <w:r>
        <w:t xml:space="preserve"> website</w:t>
      </w:r>
      <w:r w:rsidRPr="00083FEA">
        <w:t>, accessed 7 November 2025.</w:t>
      </w:r>
    </w:p>
    <w:p w14:paraId="468E78C9" w14:textId="713BDADC" w:rsidR="00460C0D" w:rsidRDefault="00460C0D" w:rsidP="00460C0D">
      <w:r w:rsidRPr="00083FEA">
        <w:t xml:space="preserve">Australian Industry Group (2024), </w:t>
      </w:r>
      <w:hyperlink r:id="rId36" w:history="1">
        <w:r w:rsidRPr="004746B9">
          <w:rPr>
            <w:i/>
            <w:iCs/>
            <w:u w:val="single" w:color="009364"/>
          </w:rPr>
          <w:t>Queensland Electrical Dual Qualification - Australian Industry Group Apprentice and Trainee Centre</w:t>
        </w:r>
      </w:hyperlink>
      <w:r w:rsidRPr="00083FEA">
        <w:t>, Australian Industry Group</w:t>
      </w:r>
      <w:r w:rsidR="006A6EC3">
        <w:t xml:space="preserve"> website</w:t>
      </w:r>
      <w:r w:rsidRPr="00083FEA">
        <w:t xml:space="preserve">, accessed 8 December 2025. </w:t>
      </w:r>
    </w:p>
    <w:p w14:paraId="0D01460E" w14:textId="6628E9CB" w:rsidR="003144A3" w:rsidRPr="003144A3" w:rsidRDefault="003144A3" w:rsidP="00460C0D">
      <w:r>
        <w:t>AQF (Australian Qualifications Framework) Council (2013),</w:t>
      </w:r>
      <w:hyperlink r:id="rId37" w:history="1">
        <w:r w:rsidRPr="00424905">
          <w:rPr>
            <w:rStyle w:val="Hyperlink"/>
            <w:i/>
            <w:iCs/>
          </w:rPr>
          <w:t xml:space="preserve"> Australian Qualifications Framework</w:t>
        </w:r>
        <w:r w:rsidR="00DC2A63" w:rsidRPr="00424905">
          <w:rPr>
            <w:rStyle w:val="Hyperlink"/>
            <w:i/>
            <w:iCs/>
          </w:rPr>
          <w:t>:</w:t>
        </w:r>
        <w:r w:rsidRPr="00424905">
          <w:rPr>
            <w:rStyle w:val="Hyperlink"/>
            <w:i/>
            <w:iCs/>
          </w:rPr>
          <w:t xml:space="preserve"> </w:t>
        </w:r>
        <w:r w:rsidR="00DC2A63" w:rsidRPr="00424905">
          <w:rPr>
            <w:rStyle w:val="Hyperlink"/>
            <w:i/>
            <w:iCs/>
          </w:rPr>
          <w:t>Second</w:t>
        </w:r>
        <w:r w:rsidRPr="00424905">
          <w:rPr>
            <w:rStyle w:val="Hyperlink"/>
            <w:i/>
            <w:iCs/>
          </w:rPr>
          <w:t xml:space="preserve"> Edition</w:t>
        </w:r>
        <w:r w:rsidR="00DC2A63" w:rsidRPr="00424905">
          <w:rPr>
            <w:rStyle w:val="Hyperlink"/>
            <w:i/>
            <w:iCs/>
          </w:rPr>
          <w:t xml:space="preserve"> January 201</w:t>
        </w:r>
      </w:hyperlink>
      <w:r w:rsidR="00DC2A63">
        <w:rPr>
          <w:i/>
          <w:iCs/>
        </w:rPr>
        <w:t>3</w:t>
      </w:r>
      <w:r>
        <w:rPr>
          <w:i/>
          <w:iCs/>
        </w:rPr>
        <w:t xml:space="preserve">, </w:t>
      </w:r>
      <w:r>
        <w:t xml:space="preserve">AQF Website, accessed 30 April 2026. </w:t>
      </w:r>
    </w:p>
    <w:p w14:paraId="788F4843" w14:textId="095CCB39" w:rsidR="00460C0D" w:rsidRPr="00083FEA" w:rsidRDefault="00315A6C" w:rsidP="004058DE">
      <w:r>
        <w:t xml:space="preserve">Baker S, Blunden </w:t>
      </w:r>
      <w:r w:rsidR="00006C34">
        <w:t>H</w:t>
      </w:r>
      <w:r>
        <w:t>, Hoe</w:t>
      </w:r>
      <w:r w:rsidR="00904E4B">
        <w:t xml:space="preserve">nig </w:t>
      </w:r>
      <w:r w:rsidR="00006C34">
        <w:t>J</w:t>
      </w:r>
      <w:r w:rsidR="00904E4B">
        <w:t>,</w:t>
      </w:r>
      <w:r w:rsidR="00006C34">
        <w:t xml:space="preserve"> Ring K,</w:t>
      </w:r>
      <w:r w:rsidR="00904E4B">
        <w:t xml:space="preserve"> and Xavier A (202</w:t>
      </w:r>
      <w:r w:rsidR="008F1341">
        <w:t>5), ‘</w:t>
      </w:r>
      <w:r w:rsidR="004058DE">
        <w:t>“If we can grow them here it just makes sense”: Disrupting higher education narratives through Country University Centres in regional and rural Australia</w:t>
      </w:r>
      <w:r w:rsidR="007D6CC3">
        <w:t>’</w:t>
      </w:r>
      <w:r w:rsidR="004058DE">
        <w:t>,</w:t>
      </w:r>
      <w:r w:rsidR="007D6CC3">
        <w:t xml:space="preserve"> </w:t>
      </w:r>
      <w:r w:rsidR="004058DE" w:rsidRPr="007D6CC3">
        <w:rPr>
          <w:i/>
          <w:iCs/>
        </w:rPr>
        <w:t>International Journal of Educational Research</w:t>
      </w:r>
      <w:r w:rsidR="004058DE">
        <w:t>,</w:t>
      </w:r>
      <w:r w:rsidR="007D6CC3">
        <w:t xml:space="preserve"> </w:t>
      </w:r>
      <w:r w:rsidR="00D41973">
        <w:t>131(</w:t>
      </w:r>
      <w:r w:rsidR="006A5D2F">
        <w:t>2025)</w:t>
      </w:r>
      <w:r w:rsidR="00AB118A">
        <w:t xml:space="preserve">: 1-13. </w:t>
      </w:r>
      <w:hyperlink r:id="rId38" w:history="1">
        <w:r w:rsidR="00AB118A" w:rsidRPr="003F441E">
          <w:rPr>
            <w:rStyle w:val="Hyperlink"/>
          </w:rPr>
          <w:t>https://doi.org/10.1016/j.ijer.2025.102560</w:t>
        </w:r>
      </w:hyperlink>
      <w:r w:rsidR="00AB118A">
        <w:t xml:space="preserve">. </w:t>
      </w:r>
    </w:p>
    <w:p w14:paraId="72330B63" w14:textId="77777777" w:rsidR="0004742E" w:rsidRPr="00083FEA" w:rsidRDefault="0004742E" w:rsidP="0004742E">
      <w:r w:rsidRPr="00083FEA">
        <w:t>Billett S, Choy S, Gibbs K, Le AH, McKay L and Hay S (2024) ‘Initiating, enacting and sustaining partnerships to inform post-school pathways’, </w:t>
      </w:r>
      <w:r w:rsidRPr="00083FEA">
        <w:rPr>
          <w:i/>
          <w:iCs/>
        </w:rPr>
        <w:t>Journal of Education and Work</w:t>
      </w:r>
      <w:r w:rsidRPr="00083FEA">
        <w:t>, 37(1–4):149–164. doi:10.1080/13639080.2024.2383564.</w:t>
      </w:r>
    </w:p>
    <w:p w14:paraId="2B48D5FE" w14:textId="77777777" w:rsidR="0004742E" w:rsidRPr="00083FEA" w:rsidRDefault="0004742E" w:rsidP="0004742E">
      <w:r w:rsidRPr="00083FEA">
        <w:t xml:space="preserve">Billet S, Choy S and Hodge S, (2020), ‘Enhancing the standing of vocational education and the occupations it serves: Australia’, </w:t>
      </w:r>
      <w:r w:rsidRPr="00083FEA">
        <w:rPr>
          <w:i/>
          <w:iCs/>
        </w:rPr>
        <w:t>Journal of Vocational Education &amp; Training</w:t>
      </w:r>
      <w:r w:rsidRPr="00083FEA">
        <w:t xml:space="preserve">, 72(2):270-296, </w:t>
      </w:r>
      <w:hyperlink r:id="rId39" w:history="1">
        <w:r w:rsidRPr="00083FEA">
          <w:rPr>
            <w:u w:val="single" w:color="009364"/>
          </w:rPr>
          <w:t>https://doi.org/10.1080/13636820.2020.1751247</w:t>
        </w:r>
      </w:hyperlink>
      <w:r w:rsidRPr="00083FEA">
        <w:t xml:space="preserve"> </w:t>
      </w:r>
    </w:p>
    <w:p w14:paraId="24464306" w14:textId="77777777" w:rsidR="0004742E" w:rsidRPr="00083FEA" w:rsidRDefault="0004742E" w:rsidP="0004742E">
      <w:r w:rsidRPr="00083FEA">
        <w:t xml:space="preserve">Billet S, &amp; Le AH (2024), ‘Engaging Young People in Occupations Served by Vocational Education: Case Study from Healthcare’, </w:t>
      </w:r>
      <w:r w:rsidRPr="00083FEA">
        <w:rPr>
          <w:i/>
          <w:iCs/>
        </w:rPr>
        <w:t xml:space="preserve">International Journal for Research in Vocational Education and Training, </w:t>
      </w:r>
      <w:r w:rsidRPr="00083FEA">
        <w:t xml:space="preserve">11(2):200-222. </w:t>
      </w:r>
      <w:hyperlink r:id="rId40" w:history="1">
        <w:r w:rsidRPr="00083FEA">
          <w:rPr>
            <w:u w:val="single" w:color="009364"/>
          </w:rPr>
          <w:t>https://doi.org/10.13152/IJRVET.11.2.3</w:t>
        </w:r>
      </w:hyperlink>
      <w:r w:rsidRPr="00083FEA">
        <w:t xml:space="preserve"> </w:t>
      </w:r>
    </w:p>
    <w:p w14:paraId="2BD422F5" w14:textId="012B6992" w:rsidR="00460C0D" w:rsidRPr="00083FEA" w:rsidRDefault="00460C0D" w:rsidP="00460C0D">
      <w:r w:rsidRPr="00083FEA">
        <w:t xml:space="preserve">Bradley D, Noonan P, Nugent H and Scales B (2008), </w:t>
      </w:r>
      <w:hyperlink r:id="rId41" w:history="1">
        <w:r w:rsidRPr="00C137CA">
          <w:rPr>
            <w:rStyle w:val="Hyperlink"/>
            <w:rFonts w:ascii="Arial" w:hAnsi="Arial"/>
            <w:i/>
            <w:iCs/>
          </w:rPr>
          <w:t>Review of Higher Education: Final Report</w:t>
        </w:r>
      </w:hyperlink>
      <w:r w:rsidRPr="00083FEA">
        <w:t xml:space="preserve">, VOCED website, accessed 10 December 2025. </w:t>
      </w:r>
    </w:p>
    <w:p w14:paraId="044DEB26" w14:textId="77777777" w:rsidR="00460C0D" w:rsidRDefault="00460C0D" w:rsidP="00460C0D">
      <w:r w:rsidRPr="00083FEA">
        <w:rPr>
          <w:lang w:val="de-DE"/>
        </w:rPr>
        <w:t xml:space="preserve">Brosnan M, Bennett D, Kercher K, Wilson T, and Keogh JWL, (2023). </w:t>
      </w:r>
      <w:r w:rsidRPr="00083FEA">
        <w:t>‘A multi-institution study of the impacts of concurrent work and study among university students in Australia’, </w:t>
      </w:r>
      <w:r w:rsidRPr="00083FEA">
        <w:rPr>
          <w:i/>
          <w:iCs/>
        </w:rPr>
        <w:t>Higher Education Research &amp; Development</w:t>
      </w:r>
      <w:r w:rsidRPr="00083FEA">
        <w:t xml:space="preserve">, 43(4): 775–791. </w:t>
      </w:r>
      <w:hyperlink r:id="rId42">
        <w:r w:rsidRPr="00083FEA">
          <w:rPr>
            <w:u w:val="single" w:color="009364"/>
          </w:rPr>
          <w:t>https://doi.org/10.1080/07294360.2023.2287722</w:t>
        </w:r>
      </w:hyperlink>
      <w:r w:rsidRPr="00083FEA">
        <w:t xml:space="preserve"> </w:t>
      </w:r>
    </w:p>
    <w:p w14:paraId="602F4FB3" w14:textId="3A98BAFC" w:rsidR="0004742E" w:rsidRPr="003211A6" w:rsidRDefault="0004742E" w:rsidP="00460C0D">
      <w:r>
        <w:t>Brown J (2017)</w:t>
      </w:r>
      <w:r w:rsidR="00F2429F">
        <w:t xml:space="preserve"> </w:t>
      </w:r>
      <w:hyperlink r:id="rId43" w:history="1">
        <w:r w:rsidR="003E5FA5" w:rsidRPr="009F61EC">
          <w:rPr>
            <w:rStyle w:val="Hyperlink"/>
            <w:i/>
            <w:iCs/>
          </w:rPr>
          <w:t>In their words: student choice in training markets - Victorian examples</w:t>
        </w:r>
      </w:hyperlink>
      <w:r w:rsidR="003211A6">
        <w:rPr>
          <w:i/>
          <w:iCs/>
        </w:rPr>
        <w:t>,</w:t>
      </w:r>
      <w:r w:rsidR="00664FCF">
        <w:rPr>
          <w:i/>
          <w:iCs/>
        </w:rPr>
        <w:t xml:space="preserve"> </w:t>
      </w:r>
      <w:r w:rsidR="003211A6">
        <w:t xml:space="preserve">NCVER, </w:t>
      </w:r>
      <w:r w:rsidR="00664FCF">
        <w:t xml:space="preserve">accessed </w:t>
      </w:r>
      <w:r w:rsidR="00AF35FB">
        <w:t xml:space="preserve">24 March 2026. </w:t>
      </w:r>
    </w:p>
    <w:p w14:paraId="1EF14E85" w14:textId="1520A62E" w:rsidR="00460C0D" w:rsidRPr="00083FEA" w:rsidRDefault="00460C0D" w:rsidP="00460C0D">
      <w:r w:rsidRPr="00083FEA">
        <w:t>Carlon C, Aberdeen L, Eversole R, Schmidt M, Congues J, and Wrigley K (2025), ‘Cinderella on the Path at Midnight: Students on Regional University Campuses and Equity’, </w:t>
      </w:r>
      <w:r w:rsidRPr="00083FEA">
        <w:rPr>
          <w:i/>
          <w:iCs/>
        </w:rPr>
        <w:t>Higher Education Research &amp; Development</w:t>
      </w:r>
      <w:r w:rsidRPr="00083FEA">
        <w:t>, May 2025:1–15. doi:10.1080/07294360.2025.249324</w:t>
      </w:r>
      <w:r w:rsidR="00675B99">
        <w:t xml:space="preserve">9. </w:t>
      </w:r>
    </w:p>
    <w:p w14:paraId="2A5E0A9A" w14:textId="27AA49CC" w:rsidR="00460C0D" w:rsidRDefault="00460C0D" w:rsidP="00460C0D">
      <w:r w:rsidRPr="00083FEA">
        <w:t xml:space="preserve">Chapin LA, Fabris MA, and Oraison H (2024), ‘How Personal and Familial Narratives Affect the Decision Making of Mature-Aged First-in-Family Students Pursuing University’, </w:t>
      </w:r>
      <w:r w:rsidRPr="00083FEA">
        <w:rPr>
          <w:i/>
          <w:iCs/>
        </w:rPr>
        <w:t xml:space="preserve">Adult Education Quarterly, </w:t>
      </w:r>
      <w:r w:rsidRPr="00083FEA">
        <w:t xml:space="preserve">74(2): 152-169. </w:t>
      </w:r>
      <w:hyperlink r:id="rId44" w:history="1">
        <w:r w:rsidRPr="00083FEA">
          <w:rPr>
            <w:rStyle w:val="Hyperlink"/>
            <w:rFonts w:ascii="Arial" w:hAnsi="Arial"/>
          </w:rPr>
          <w:t>https://doi.org/10.1177/07417136231211579</w:t>
        </w:r>
      </w:hyperlink>
      <w:r w:rsidR="00675B99">
        <w:t>.</w:t>
      </w:r>
    </w:p>
    <w:p w14:paraId="604021B8" w14:textId="49D27BE9" w:rsidR="00214654" w:rsidRDefault="00214654" w:rsidP="00460C0D">
      <w:r w:rsidRPr="00214654">
        <w:t>Chowdhury</w:t>
      </w:r>
      <w:r>
        <w:t xml:space="preserve"> I, and</w:t>
      </w:r>
      <w:r w:rsidRPr="00214654">
        <w:t xml:space="preserve"> Edwards B</w:t>
      </w:r>
      <w:r>
        <w:t>,</w:t>
      </w:r>
      <w:r w:rsidRPr="00214654">
        <w:t xml:space="preserve"> </w:t>
      </w:r>
      <w:r>
        <w:t>(</w:t>
      </w:r>
      <w:r w:rsidRPr="00214654">
        <w:t>2023</w:t>
      </w:r>
      <w:r>
        <w:t>)</w:t>
      </w:r>
      <w:r w:rsidRPr="00214654">
        <w:t xml:space="preserve"> </w:t>
      </w:r>
      <w:hyperlink r:id="rId45" w:history="1">
        <w:r w:rsidRPr="00CB017B">
          <w:rPr>
            <w:rStyle w:val="Hyperlink"/>
            <w:i/>
            <w:iCs/>
          </w:rPr>
          <w:t>How educational plans differ by gender – What Young Australia Thinks</w:t>
        </w:r>
      </w:hyperlink>
      <w:r w:rsidRPr="00214654">
        <w:t>, Australian National University</w:t>
      </w:r>
      <w:r>
        <w:t>, accessed 10 November 2025.</w:t>
      </w:r>
    </w:p>
    <w:p w14:paraId="1523F35B" w14:textId="32EA98E5" w:rsidR="00F26693" w:rsidRPr="00E95ED2" w:rsidRDefault="00F26693" w:rsidP="00460C0D">
      <w:r>
        <w:t xml:space="preserve">Chowdhury I, Edwards B, and Norton A (2024), </w:t>
      </w:r>
      <w:r w:rsidR="00E95ED2">
        <w:t>‘</w:t>
      </w:r>
      <w:r w:rsidR="00E95ED2" w:rsidRPr="00E95ED2">
        <w:t>Youth education decisions and occupational misalignment and mismatch: evidence from a representative cohort study of Australian youth</w:t>
      </w:r>
      <w:r w:rsidR="00E95ED2">
        <w:t xml:space="preserve">’, </w:t>
      </w:r>
      <w:r w:rsidR="00E95ED2">
        <w:rPr>
          <w:i/>
          <w:iCs/>
        </w:rPr>
        <w:t xml:space="preserve">Oxford Review of Education, </w:t>
      </w:r>
      <w:r w:rsidR="00E95ED2">
        <w:t>50(5):</w:t>
      </w:r>
      <w:r w:rsidR="00675B99">
        <w:t xml:space="preserve"> 727-747, </w:t>
      </w:r>
      <w:hyperlink r:id="rId46" w:history="1">
        <w:r w:rsidR="00675B99" w:rsidRPr="004B42D3">
          <w:rPr>
            <w:rStyle w:val="Hyperlink"/>
          </w:rPr>
          <w:t>https://doi.org/10.1080/03054985.2023.2282628</w:t>
        </w:r>
      </w:hyperlink>
      <w:r w:rsidR="00675B99">
        <w:t xml:space="preserve">. </w:t>
      </w:r>
    </w:p>
    <w:p w14:paraId="74C977F4" w14:textId="77777777" w:rsidR="00460C0D" w:rsidRPr="00083FEA" w:rsidRDefault="00460C0D" w:rsidP="00460C0D">
      <w:r w:rsidRPr="0067004A">
        <w:t>Cram</w:t>
      </w:r>
      <w:r>
        <w:t xml:space="preserve"> B</w:t>
      </w:r>
      <w:r w:rsidRPr="0067004A">
        <w:t xml:space="preserve"> (2011)</w:t>
      </w:r>
      <w:r>
        <w:t>, ‘</w:t>
      </w:r>
      <w:r w:rsidRPr="0067004A">
        <w:t>VET in Higher Education: A Future for Regional Australia</w:t>
      </w:r>
      <w:r>
        <w:t>?’</w:t>
      </w:r>
      <w:r w:rsidRPr="0067004A">
        <w:t xml:space="preserve"> In Krause</w:t>
      </w:r>
      <w:r>
        <w:t xml:space="preserve"> K,</w:t>
      </w:r>
      <w:r w:rsidRPr="0067004A">
        <w:t xml:space="preserve"> Buckridge</w:t>
      </w:r>
      <w:r>
        <w:t xml:space="preserve"> M,</w:t>
      </w:r>
      <w:r w:rsidRPr="0067004A">
        <w:t xml:space="preserve"> Grimmer C</w:t>
      </w:r>
      <w:r>
        <w:t>,</w:t>
      </w:r>
      <w:r w:rsidRPr="0067004A">
        <w:t xml:space="preserve"> and Purbrick-Illek</w:t>
      </w:r>
      <w:r>
        <w:t xml:space="preserve"> S,</w:t>
      </w:r>
      <w:r w:rsidRPr="0067004A">
        <w:t xml:space="preserve"> (Eds.)</w:t>
      </w:r>
      <w:r>
        <w:t>,</w:t>
      </w:r>
      <w:r w:rsidRPr="0067004A">
        <w:t xml:space="preserve"> </w:t>
      </w:r>
      <w:r w:rsidRPr="00083FEA">
        <w:rPr>
          <w:i/>
          <w:iCs/>
        </w:rPr>
        <w:t xml:space="preserve">Research and Development in Higher Education: Reshaping Higher Education, </w:t>
      </w:r>
      <w:r w:rsidRPr="0067004A">
        <w:t>Gold Coast, Australia</w:t>
      </w:r>
      <w:r>
        <w:t xml:space="preserve">, 130-140. </w:t>
      </w:r>
      <w:hyperlink r:id="rId47" w:history="1">
        <w:r w:rsidRPr="0067004A">
          <w:rPr>
            <w:rStyle w:val="Hyperlink"/>
          </w:rPr>
          <w:t>VET in Higher Education: A Future for Regional Australia?</w:t>
        </w:r>
      </w:hyperlink>
    </w:p>
    <w:p w14:paraId="700BCCD0" w14:textId="6B0B23FE" w:rsidR="00460C0D" w:rsidRPr="00083FEA" w:rsidRDefault="00460C0D" w:rsidP="00460C0D">
      <w:r w:rsidRPr="00083FEA">
        <w:t xml:space="preserve">Cullinane C and Doherty K (2020), </w:t>
      </w:r>
      <w:hyperlink r:id="rId48" w:history="1">
        <w:r w:rsidRPr="007756F8">
          <w:rPr>
            <w:i/>
            <w:iCs/>
            <w:u w:val="single" w:color="009364"/>
          </w:rPr>
          <w:t>Degree-Apprenticeships-Levelling-Up.pdf</w:t>
        </w:r>
      </w:hyperlink>
      <w:r w:rsidRPr="00083FEA">
        <w:t xml:space="preserve">, Sutton Trust, accessed 5 November 2025. </w:t>
      </w:r>
    </w:p>
    <w:p w14:paraId="0FBD4D76" w14:textId="77777777" w:rsidR="00460C0D" w:rsidRPr="00083FEA" w:rsidRDefault="00460C0D" w:rsidP="00460C0D">
      <w:r w:rsidRPr="00083FEA">
        <w:t xml:space="preserve">Cunninghame I, and Pitman T (2020), ‘Framing the benefits of higher education participation from the perspective of non-completers,’ </w:t>
      </w:r>
      <w:r w:rsidRPr="00083FEA">
        <w:rPr>
          <w:i/>
          <w:iCs/>
        </w:rPr>
        <w:t>Higher Education Research &amp; Development</w:t>
      </w:r>
      <w:r w:rsidRPr="00083FEA">
        <w:t xml:space="preserve">, 39(5): 926–939. </w:t>
      </w:r>
      <w:hyperlink r:id="rId49" w:history="1">
        <w:r w:rsidRPr="00083FEA">
          <w:rPr>
            <w:rStyle w:val="Hyperlink"/>
            <w:rFonts w:ascii="Arial" w:hAnsi="Arial"/>
          </w:rPr>
          <w:t>https://doi.org/10.1080/07294360.2019.1705255</w:t>
        </w:r>
      </w:hyperlink>
      <w:r w:rsidRPr="00083FEA">
        <w:t xml:space="preserve"> </w:t>
      </w:r>
    </w:p>
    <w:p w14:paraId="6C51721E" w14:textId="77777777" w:rsidR="00460C0D" w:rsidRDefault="00460C0D" w:rsidP="00460C0D">
      <w:r w:rsidRPr="00083FEA">
        <w:t xml:space="preserve">Curtis DD (2011), ‘Tertiary education provision in rural Australia: is VET a substitute for, or a pathway into, higher education’, </w:t>
      </w:r>
      <w:r w:rsidRPr="00083FEA">
        <w:rPr>
          <w:i/>
          <w:iCs/>
        </w:rPr>
        <w:t xml:space="preserve">Education in Rural Australia, </w:t>
      </w:r>
      <w:r w:rsidRPr="00083FEA">
        <w:t xml:space="preserve">21(2):19-35. </w:t>
      </w:r>
      <w:hyperlink r:id="rId50" w:history="1">
        <w:r w:rsidRPr="00083FEA">
          <w:rPr>
            <w:u w:val="single" w:color="009364"/>
          </w:rPr>
          <w:t>https://search.informit.org/doi/10.3316/aeipt.191910 \</w:t>
        </w:r>
      </w:hyperlink>
    </w:p>
    <w:p w14:paraId="028B4964" w14:textId="481F871E" w:rsidR="008572BB" w:rsidRPr="00D52E49" w:rsidRDefault="008572BB" w:rsidP="00460C0D">
      <w:r>
        <w:t>Dawkins P, Hurley P and Noon</w:t>
      </w:r>
      <w:r w:rsidR="00E73AE4">
        <w:t xml:space="preserve">an P (2019), </w:t>
      </w:r>
      <w:hyperlink r:id="rId51" w:history="1">
        <w:r w:rsidR="00D52E49" w:rsidRPr="001F55EE">
          <w:rPr>
            <w:rStyle w:val="Hyperlink"/>
            <w:i/>
            <w:iCs/>
          </w:rPr>
          <w:t>Rethinking and Revitalising Tertiary Education in Australia</w:t>
        </w:r>
      </w:hyperlink>
      <w:r w:rsidR="00D52E49">
        <w:rPr>
          <w:i/>
          <w:iCs/>
        </w:rPr>
        <w:t xml:space="preserve">, </w:t>
      </w:r>
      <w:r w:rsidR="00D52E49">
        <w:t xml:space="preserve">Mitchell Institute, accessed </w:t>
      </w:r>
      <w:r w:rsidR="001F55EE">
        <w:t xml:space="preserve">12 February 2026. </w:t>
      </w:r>
    </w:p>
    <w:p w14:paraId="1D6376D3" w14:textId="2727C084" w:rsidR="008572BB" w:rsidRDefault="008572BB" w:rsidP="00460C0D">
      <w:r>
        <w:t xml:space="preserve">Dawkins P, Lilly M, and Pascoe </w:t>
      </w:r>
      <w:r w:rsidR="006F7FDF">
        <w:t xml:space="preserve">R </w:t>
      </w:r>
      <w:r>
        <w:t>(2023),</w:t>
      </w:r>
      <w:r w:rsidR="006F7FDF">
        <w:t xml:space="preserve"> </w:t>
      </w:r>
      <w:r w:rsidR="006F7FDF">
        <w:rPr>
          <w:i/>
          <w:iCs/>
        </w:rPr>
        <w:t xml:space="preserve">Rethinking Tertiary Education, </w:t>
      </w:r>
      <w:r w:rsidR="006F7FDF">
        <w:t xml:space="preserve">Melbourne University Press. </w:t>
      </w:r>
      <w:r>
        <w:t xml:space="preserve"> </w:t>
      </w:r>
    </w:p>
    <w:p w14:paraId="0ADB48E8" w14:textId="5E0E7578" w:rsidR="008572BB" w:rsidRPr="00737019" w:rsidRDefault="00737019" w:rsidP="00460C0D">
      <w:r>
        <w:t xml:space="preserve">Dawkins P and Lloyd D (2020), </w:t>
      </w:r>
      <w:hyperlink r:id="rId52" w:history="1">
        <w:r w:rsidRPr="00737019">
          <w:rPr>
            <w:rStyle w:val="Hyperlink"/>
            <w:i/>
            <w:iCs/>
          </w:rPr>
          <w:t>Averting an escalating labour market crisis for young people in Australia: A proposed national job cadet program</w:t>
        </w:r>
      </w:hyperlink>
      <w:r>
        <w:rPr>
          <w:i/>
          <w:iCs/>
        </w:rPr>
        <w:t xml:space="preserve">, </w:t>
      </w:r>
      <w:r>
        <w:t xml:space="preserve">Mitchell Institute, accessed 30 April 2026. </w:t>
      </w:r>
    </w:p>
    <w:p w14:paraId="0B93E954" w14:textId="198C6523" w:rsidR="00460C0D" w:rsidRDefault="00460C0D" w:rsidP="00460C0D">
      <w:r w:rsidRPr="00083FEA">
        <w:t>DEWR (Department of Employment and Workplace Relations) (2024</w:t>
      </w:r>
      <w:r w:rsidR="005731FC">
        <w:t>a</w:t>
      </w:r>
      <w:r w:rsidRPr="00083FEA">
        <w:t>),</w:t>
      </w:r>
      <w:r w:rsidRPr="004E051A">
        <w:t xml:space="preserve"> </w:t>
      </w:r>
      <w:hyperlink r:id="rId53" w:history="1">
        <w:r w:rsidRPr="009D75C3">
          <w:rPr>
            <w:rStyle w:val="Hyperlink"/>
            <w:i/>
            <w:iCs/>
          </w:rPr>
          <w:t>Skills for tomorrow: Shaping the future of Australian apprenticeship, Strategic Review of the Australian Apprenticeship Incentive System 2024 Final Report</w:t>
        </w:r>
      </w:hyperlink>
      <w:r w:rsidRPr="00083FEA">
        <w:rPr>
          <w:i/>
          <w:iCs/>
        </w:rPr>
        <w:t xml:space="preserve">, </w:t>
      </w:r>
      <w:r w:rsidRPr="00083FEA">
        <w:t>DEWR website</w:t>
      </w:r>
      <w:r w:rsidR="009D75C3">
        <w:t xml:space="preserve">. </w:t>
      </w:r>
      <w:r w:rsidRPr="00083FEA">
        <w:t xml:space="preserve"> </w:t>
      </w:r>
    </w:p>
    <w:p w14:paraId="78F0884B" w14:textId="7464CE9E" w:rsidR="00202D1A" w:rsidRPr="00083FEA" w:rsidRDefault="00202D1A" w:rsidP="00460C0D">
      <w:r w:rsidRPr="00083FEA">
        <w:t>DEWR (Department of Employment and Workplace Relations) (2024</w:t>
      </w:r>
      <w:r w:rsidR="005731FC">
        <w:t>b</w:t>
      </w:r>
      <w:r w:rsidRPr="00083FEA">
        <w:t>),</w:t>
      </w:r>
      <w:r w:rsidRPr="004E051A">
        <w:t xml:space="preserve"> </w:t>
      </w:r>
      <w:hyperlink r:id="rId54" w:history="1">
        <w:r w:rsidR="005731FC" w:rsidRPr="00F6716F">
          <w:rPr>
            <w:rStyle w:val="Hyperlink"/>
            <w:i/>
            <w:iCs/>
          </w:rPr>
          <w:t>Strategic Review</w:t>
        </w:r>
        <w:r w:rsidR="005731FC" w:rsidRPr="00F6716F">
          <w:rPr>
            <w:rStyle w:val="Hyperlink"/>
            <w:i/>
            <w:iCs/>
          </w:rPr>
          <w:t> </w:t>
        </w:r>
        <w:r w:rsidR="005731FC" w:rsidRPr="00F6716F">
          <w:rPr>
            <w:rStyle w:val="Hyperlink"/>
            <w:i/>
            <w:iCs/>
          </w:rPr>
          <w:t>of the Australian Apprenticeships Incentive System Background Discussion Paper</w:t>
        </w:r>
      </w:hyperlink>
      <w:r w:rsidRPr="00083FEA">
        <w:rPr>
          <w:i/>
          <w:iCs/>
        </w:rPr>
        <w:t xml:space="preserve">, </w:t>
      </w:r>
      <w:r w:rsidRPr="00083FEA">
        <w:t>DEWR website</w:t>
      </w:r>
      <w:r>
        <w:t xml:space="preserve">. </w:t>
      </w:r>
      <w:r w:rsidRPr="00083FEA">
        <w:t xml:space="preserve"> </w:t>
      </w:r>
    </w:p>
    <w:p w14:paraId="446AFBE1" w14:textId="57978221" w:rsidR="00460C0D" w:rsidRPr="00083FEA" w:rsidRDefault="00460C0D" w:rsidP="00460C0D">
      <w:r w:rsidRPr="00083FEA">
        <w:t xml:space="preserve">DEWR (Department of Employment and Workplace Relations) (2025a), </w:t>
      </w:r>
      <w:hyperlink r:id="rId55" w:history="1">
        <w:r w:rsidR="009D75C3" w:rsidRPr="009D75C3">
          <w:rPr>
            <w:rStyle w:val="Hyperlink"/>
            <w:i/>
            <w:iCs/>
          </w:rPr>
          <w:t>Fee-Free TAFE</w:t>
        </w:r>
      </w:hyperlink>
      <w:r w:rsidRPr="00083FEA">
        <w:t>, DEWR Website</w:t>
      </w:r>
      <w:r w:rsidR="009D75C3">
        <w:t xml:space="preserve">, accessed </w:t>
      </w:r>
      <w:r w:rsidR="001439FA">
        <w:t>3 November 2025.</w:t>
      </w:r>
    </w:p>
    <w:p w14:paraId="574DC1B3" w14:textId="275849F2" w:rsidR="00460C0D" w:rsidRDefault="00460C0D" w:rsidP="00460C0D">
      <w:r w:rsidRPr="00083FEA">
        <w:t xml:space="preserve">DEWR (Department of Employment and Workplace Relations) (2025b), </w:t>
      </w:r>
      <w:hyperlink r:id="rId56" w:history="1">
        <w:r w:rsidRPr="001439FA">
          <w:rPr>
            <w:rStyle w:val="Hyperlink"/>
            <w:i/>
            <w:iCs/>
          </w:rPr>
          <w:t>Information for VET Student Loans students</w:t>
        </w:r>
      </w:hyperlink>
      <w:r w:rsidRPr="00083FEA">
        <w:t>, DEWR Website,</w:t>
      </w:r>
      <w:r w:rsidR="001439FA" w:rsidRPr="001439FA">
        <w:t xml:space="preserve"> </w:t>
      </w:r>
      <w:r w:rsidR="001439FA">
        <w:t>accessed 3 November 2025.</w:t>
      </w:r>
    </w:p>
    <w:p w14:paraId="400D417F" w14:textId="47A323DB" w:rsidR="001E7B9B" w:rsidRPr="00083FEA" w:rsidRDefault="001E7B9B" w:rsidP="00460C0D">
      <w:r w:rsidRPr="00083FEA">
        <w:t xml:space="preserve">DEWR (Department of Employment and Workplace Relations) (2025c), </w:t>
      </w:r>
      <w:hyperlink r:id="rId57" w:history="1">
        <w:r w:rsidR="002226DD" w:rsidRPr="002226DD">
          <w:rPr>
            <w:rStyle w:val="Hyperlink"/>
            <w:i/>
            <w:iCs/>
          </w:rPr>
          <w:t>Remote Training Hubs Network</w:t>
        </w:r>
      </w:hyperlink>
      <w:r w:rsidRPr="00083FEA">
        <w:t xml:space="preserve">, DEWR Website, </w:t>
      </w:r>
      <w:r w:rsidRPr="005A1937">
        <w:rPr>
          <w:rFonts w:ascii="Arial" w:hAnsi="Arial"/>
          <w:u w:color="009364" w:themeColor="accent2"/>
        </w:rPr>
        <w:t>a</w:t>
      </w:r>
      <w:r>
        <w:rPr>
          <w:rFonts w:ascii="Arial" w:hAnsi="Arial"/>
          <w:u w:color="009364" w:themeColor="accent2"/>
        </w:rPr>
        <w:t xml:space="preserve">ccessed </w:t>
      </w:r>
      <w:r w:rsidR="003A3346">
        <w:rPr>
          <w:rFonts w:ascii="Arial" w:hAnsi="Arial"/>
          <w:u w:color="009364" w:themeColor="accent2"/>
        </w:rPr>
        <w:t>8 January 2026</w:t>
      </w:r>
      <w:r>
        <w:rPr>
          <w:rFonts w:ascii="Arial" w:hAnsi="Arial"/>
          <w:u w:color="009364" w:themeColor="accent2"/>
        </w:rPr>
        <w:t>.</w:t>
      </w:r>
    </w:p>
    <w:p w14:paraId="5D0CDD7F" w14:textId="66FFBE21" w:rsidR="00460C0D" w:rsidRDefault="00460C0D" w:rsidP="00460C0D">
      <w:pPr>
        <w:rPr>
          <w:rFonts w:ascii="Arial" w:hAnsi="Arial"/>
          <w:u w:color="009364" w:themeColor="accent2"/>
        </w:rPr>
      </w:pPr>
      <w:r w:rsidRPr="00083FEA">
        <w:t>DEWR (Department of Employment and Workplace Relations) (2025</w:t>
      </w:r>
      <w:r w:rsidR="003A3346">
        <w:t>d</w:t>
      </w:r>
      <w:r w:rsidRPr="00083FEA">
        <w:t xml:space="preserve">), </w:t>
      </w:r>
      <w:hyperlink r:id="rId58" w:history="1">
        <w:r w:rsidRPr="005A1937">
          <w:rPr>
            <w:rStyle w:val="Hyperlink"/>
            <w:i/>
            <w:iCs/>
          </w:rPr>
          <w:t>TAFE Centres of Excellence</w:t>
        </w:r>
      </w:hyperlink>
      <w:r w:rsidRPr="00083FEA">
        <w:t xml:space="preserve">, DEWR Website, </w:t>
      </w:r>
      <w:r w:rsidR="005A1937" w:rsidRPr="005A1937">
        <w:rPr>
          <w:rFonts w:ascii="Arial" w:hAnsi="Arial"/>
          <w:u w:color="009364" w:themeColor="accent2"/>
        </w:rPr>
        <w:t>a</w:t>
      </w:r>
      <w:r w:rsidR="005A1937">
        <w:rPr>
          <w:rFonts w:ascii="Arial" w:hAnsi="Arial"/>
          <w:u w:color="009364" w:themeColor="accent2"/>
        </w:rPr>
        <w:t>ccessed 14 November 2025.</w:t>
      </w:r>
    </w:p>
    <w:p w14:paraId="22A0203A" w14:textId="432DEF16" w:rsidR="00D76ADF" w:rsidRPr="003852C3" w:rsidRDefault="00D76ADF" w:rsidP="00460C0D">
      <w:pPr>
        <w:rPr>
          <w:rFonts w:ascii="Arial" w:hAnsi="Arial"/>
          <w:i/>
          <w:u w:color="009364" w:themeColor="accent2"/>
        </w:rPr>
      </w:pPr>
      <w:r w:rsidRPr="00083FEA">
        <w:t>DEWR (Department of Employment and Workplace Relations) (202</w:t>
      </w:r>
      <w:r>
        <w:t>6</w:t>
      </w:r>
      <w:r w:rsidRPr="00083FEA">
        <w:t>),</w:t>
      </w:r>
      <w:r>
        <w:t xml:space="preserve"> </w:t>
      </w:r>
      <w:hyperlink r:id="rId59" w:history="1">
        <w:r w:rsidRPr="00D76ADF">
          <w:rPr>
            <w:rStyle w:val="Hyperlink"/>
            <w:rFonts w:ascii="Arial" w:hAnsi="Arial"/>
            <w:i/>
            <w:iCs/>
          </w:rPr>
          <w:t>VET Qualifications Reform</w:t>
        </w:r>
      </w:hyperlink>
      <w:r w:rsidRPr="00083FEA">
        <w:t xml:space="preserve">, DEWR Website, </w:t>
      </w:r>
      <w:r w:rsidRPr="005A1937">
        <w:rPr>
          <w:rFonts w:ascii="Arial" w:hAnsi="Arial"/>
          <w:u w:color="009364" w:themeColor="accent2"/>
        </w:rPr>
        <w:t>a</w:t>
      </w:r>
      <w:r>
        <w:rPr>
          <w:rFonts w:ascii="Arial" w:hAnsi="Arial"/>
          <w:u w:color="009364" w:themeColor="accent2"/>
        </w:rPr>
        <w:t>ccessed 12 February 2026.</w:t>
      </w:r>
    </w:p>
    <w:p w14:paraId="3E16B701" w14:textId="3CB2B582" w:rsidR="006F7FDF" w:rsidRPr="00083FEA" w:rsidRDefault="006F7FDF" w:rsidP="00460C0D">
      <w:r w:rsidRPr="00083FEA">
        <w:t>DoE (Department of Education) (20</w:t>
      </w:r>
      <w:r>
        <w:t>19</w:t>
      </w:r>
      <w:r w:rsidRPr="00083FEA">
        <w:t>),</w:t>
      </w:r>
      <w:r>
        <w:t xml:space="preserve"> </w:t>
      </w:r>
      <w:hyperlink r:id="rId60" w:history="1">
        <w:r w:rsidRPr="009475D3">
          <w:rPr>
            <w:rStyle w:val="Hyperlink"/>
            <w:i/>
            <w:iCs/>
          </w:rPr>
          <w:t>Review of the Australian Qualifications Framework</w:t>
        </w:r>
        <w:r w:rsidR="00AF70B4" w:rsidRPr="009475D3">
          <w:rPr>
            <w:rStyle w:val="Hyperlink"/>
            <w:i/>
            <w:iCs/>
          </w:rPr>
          <w:t xml:space="preserve"> Final Report</w:t>
        </w:r>
      </w:hyperlink>
      <w:r w:rsidRPr="00083FEA">
        <w:t>, DoE website</w:t>
      </w:r>
      <w:r>
        <w:t>, accessed 7 November 2025.</w:t>
      </w:r>
    </w:p>
    <w:p w14:paraId="519A3970" w14:textId="166BD210" w:rsidR="00460C0D" w:rsidRPr="00083FEA" w:rsidRDefault="00460C0D" w:rsidP="00460C0D">
      <w:r w:rsidRPr="00083FEA">
        <w:t>DoE (Department of Education) (2025a),</w:t>
      </w:r>
      <w:r w:rsidR="00B82F10">
        <w:t xml:space="preserve"> </w:t>
      </w:r>
      <w:hyperlink r:id="rId61" w:history="1">
        <w:r w:rsidR="00B82F10" w:rsidRPr="00B82F10">
          <w:rPr>
            <w:rStyle w:val="Hyperlink"/>
            <w:i/>
            <w:iCs/>
          </w:rPr>
          <w:t>Regional University Study Hubs</w:t>
        </w:r>
      </w:hyperlink>
      <w:r w:rsidRPr="00083FEA">
        <w:t>, DoE website</w:t>
      </w:r>
      <w:r w:rsidR="005A1937">
        <w:t xml:space="preserve">, accessed </w:t>
      </w:r>
      <w:r w:rsidR="00364321">
        <w:t>7 November 2025.</w:t>
      </w:r>
    </w:p>
    <w:p w14:paraId="249A5189" w14:textId="4E1DC1D1" w:rsidR="00460C0D" w:rsidRPr="00083FEA" w:rsidRDefault="00460C0D" w:rsidP="00460C0D">
      <w:r w:rsidRPr="00083FEA">
        <w:t xml:space="preserve">DoE (Department of Education) (2025b), </w:t>
      </w:r>
      <w:hyperlink r:id="rId62" w:history="1">
        <w:r w:rsidRPr="00BC549F">
          <w:rPr>
            <w:rStyle w:val="Hyperlink"/>
            <w:rFonts w:ascii="Arial" w:hAnsi="Arial"/>
            <w:i/>
            <w:iCs/>
          </w:rPr>
          <w:t>Selected Higher Education Statistics – 2024 Student data - Department of Education, Australian Government</w:t>
        </w:r>
      </w:hyperlink>
      <w:r w:rsidRPr="00083FEA">
        <w:t>, DoE website, accessed 10 November 2025.</w:t>
      </w:r>
    </w:p>
    <w:p w14:paraId="4F36B20F" w14:textId="77777777" w:rsidR="00460C0D" w:rsidRDefault="00460C0D" w:rsidP="00460C0D">
      <w:r w:rsidRPr="00083FEA">
        <w:t xml:space="preserve">Duggan S (2017) ‘Understanding temporality and future orientation for young women in the senior year’, </w:t>
      </w:r>
      <w:r w:rsidRPr="00083FEA">
        <w:rPr>
          <w:i/>
          <w:iCs/>
        </w:rPr>
        <w:t xml:space="preserve">Discourse: Studies in the Cultural Politics of Education, </w:t>
      </w:r>
      <w:r w:rsidRPr="00083FEA">
        <w:t xml:space="preserve">38(6):795-806, </w:t>
      </w:r>
      <w:hyperlink r:id="rId63" w:history="1">
        <w:r w:rsidRPr="00083FEA">
          <w:rPr>
            <w:u w:val="single" w:color="009364"/>
          </w:rPr>
          <w:t>http://dx.doi.org/10.1080/01596306.2016.1173650</w:t>
        </w:r>
      </w:hyperlink>
    </w:p>
    <w:p w14:paraId="2198D7C0" w14:textId="26F92F95" w:rsidR="00424905" w:rsidRPr="00424905" w:rsidRDefault="00424905" w:rsidP="00460C0D">
      <w:r>
        <w:t xml:space="preserve">Flinders University (2026), </w:t>
      </w:r>
      <w:hyperlink r:id="rId64" w:history="1">
        <w:r w:rsidRPr="00C0241B">
          <w:rPr>
            <w:rStyle w:val="Hyperlink"/>
            <w:i/>
            <w:iCs/>
          </w:rPr>
          <w:t>TAFE and uni dual offers</w:t>
        </w:r>
      </w:hyperlink>
      <w:r>
        <w:rPr>
          <w:i/>
          <w:iCs/>
        </w:rPr>
        <w:t xml:space="preserve">, </w:t>
      </w:r>
      <w:r>
        <w:t xml:space="preserve">Flinders University website, accessed </w:t>
      </w:r>
      <w:r w:rsidR="00C0241B">
        <w:t xml:space="preserve">30 April 2026. </w:t>
      </w:r>
    </w:p>
    <w:p w14:paraId="0059D99F" w14:textId="4C0E9B90" w:rsidR="00460C0D" w:rsidRPr="00083FEA" w:rsidRDefault="00460C0D" w:rsidP="00460C0D">
      <w:r w:rsidRPr="00083FEA">
        <w:t xml:space="preserve">Fowler C (2017), </w:t>
      </w:r>
      <w:hyperlink r:id="rId65" w:history="1">
        <w:r w:rsidRPr="003521A1">
          <w:rPr>
            <w:rStyle w:val="Hyperlink"/>
            <w:i/>
            <w:iCs/>
          </w:rPr>
          <w:t>The boundaries and connections between the VET and higher education sectors: ‘confused, contested and collaborative</w:t>
        </w:r>
      </w:hyperlink>
      <w:r w:rsidRPr="00083FEA">
        <w:t xml:space="preserve">, </w:t>
      </w:r>
      <w:r w:rsidRPr="003521A1">
        <w:t>NCVER</w:t>
      </w:r>
      <w:r w:rsidR="003521A1">
        <w:t xml:space="preserve">. </w:t>
      </w:r>
    </w:p>
    <w:p w14:paraId="11FE5905" w14:textId="40EC3733" w:rsidR="00460C0D" w:rsidRDefault="00460C0D" w:rsidP="00460C0D">
      <w:r w:rsidRPr="00083FEA">
        <w:t xml:space="preserve">Foundation for Young Australians (2017). </w:t>
      </w:r>
      <w:hyperlink r:id="rId66" w:history="1">
        <w:r w:rsidRPr="004C4B77">
          <w:rPr>
            <w:rStyle w:val="Hyperlink"/>
            <w:i/>
            <w:iCs/>
          </w:rPr>
          <w:t>The New Work Smarts</w:t>
        </w:r>
      </w:hyperlink>
      <w:r w:rsidRPr="00083FEA">
        <w:t>, FYA website, accessed 1</w:t>
      </w:r>
      <w:r w:rsidR="00C82CFE">
        <w:t>0</w:t>
      </w:r>
      <w:r w:rsidRPr="00083FEA">
        <w:t xml:space="preserve"> November 2025. </w:t>
      </w:r>
    </w:p>
    <w:p w14:paraId="544FEA34" w14:textId="57BD2F8E" w:rsidR="005D3DAF" w:rsidRPr="00DE79FB" w:rsidRDefault="005D3DAF" w:rsidP="00460C0D">
      <w:r>
        <w:t>Gander M, and Bouvet E (2023), ‘</w:t>
      </w:r>
      <w:r w:rsidRPr="005D3DAF">
        <w:t>The Flinders University/TAFE SA Bachelor of Creative Arts dual award model: A case study</w:t>
      </w:r>
      <w:r>
        <w:t xml:space="preserve">’, </w:t>
      </w:r>
      <w:r w:rsidR="00DE79FB">
        <w:rPr>
          <w:i/>
          <w:iCs/>
        </w:rPr>
        <w:t xml:space="preserve">Journal of University Teaching &amp; Learning Practice, </w:t>
      </w:r>
      <w:r w:rsidR="00DE79FB">
        <w:t>20(7):</w:t>
      </w:r>
      <w:r w:rsidR="003D0D06" w:rsidRPr="003D0D06">
        <w:t xml:space="preserve"> </w:t>
      </w:r>
      <w:r w:rsidR="00CA249B">
        <w:t xml:space="preserve">1-19, </w:t>
      </w:r>
      <w:hyperlink r:id="rId67" w:history="1">
        <w:r w:rsidR="000E41D0" w:rsidRPr="000E41D0">
          <w:rPr>
            <w:rStyle w:val="Hyperlink"/>
          </w:rPr>
          <w:t>https://doi.org/10.53761/1.20.7.04</w:t>
        </w:r>
      </w:hyperlink>
    </w:p>
    <w:p w14:paraId="65A9C764" w14:textId="0E128897" w:rsidR="00460C0D" w:rsidRPr="00083FEA" w:rsidRDefault="00460C0D" w:rsidP="00460C0D">
      <w:r w:rsidRPr="00083FEA">
        <w:t xml:space="preserve">Gonski D, and Shergold P (2021), </w:t>
      </w:r>
      <w:hyperlink r:id="rId68" w:history="1">
        <w:r w:rsidRPr="00A06077">
          <w:rPr>
            <w:rStyle w:val="Hyperlink"/>
            <w:i/>
            <w:iCs/>
          </w:rPr>
          <w:t>In the same sentence: Bringing higher and vocational education together</w:t>
        </w:r>
      </w:hyperlink>
      <w:r w:rsidRPr="00083FEA">
        <w:t>, Report to the New South Wales Government</w:t>
      </w:r>
      <w:r w:rsidR="00A06077">
        <w:t>.</w:t>
      </w:r>
    </w:p>
    <w:p w14:paraId="3D5346D6" w14:textId="0BF4E8D4" w:rsidR="00460C0D" w:rsidRDefault="00460C0D" w:rsidP="00460C0D">
      <w:r w:rsidRPr="00083FEA">
        <w:t>Hargreaves J and Osborne K (2017)</w:t>
      </w:r>
      <w:r w:rsidR="00A06077">
        <w:t>,</w:t>
      </w:r>
      <w:r w:rsidRPr="00083FEA">
        <w:t xml:space="preserve"> </w:t>
      </w:r>
      <w:hyperlink r:id="rId69" w:history="1">
        <w:r w:rsidRPr="00A06077">
          <w:rPr>
            <w:rStyle w:val="Hyperlink"/>
            <w:i/>
            <w:iCs/>
          </w:rPr>
          <w:t>Choosing VET: aspirations, intentions and choice – Research summary</w:t>
        </w:r>
      </w:hyperlink>
      <w:r w:rsidRPr="00083FEA">
        <w:t xml:space="preserve">, NCVER, accessed 10 September 2025. </w:t>
      </w:r>
    </w:p>
    <w:p w14:paraId="3ED1674B" w14:textId="16671A38" w:rsidR="00460C0D" w:rsidRPr="00083FEA" w:rsidRDefault="00A44965" w:rsidP="00460C0D">
      <w:r w:rsidRPr="00A44965">
        <w:t xml:space="preserve">Harris, R., Rainey, L., &amp; Sumner, R. (2006). </w:t>
      </w:r>
      <w:r w:rsidRPr="00A44965">
        <w:rPr>
          <w:i/>
          <w:iCs/>
        </w:rPr>
        <w:t>Crazy paving or stepping stones? Learning pathways within and between vocational education and training and higher education</w:t>
      </w:r>
      <w:r w:rsidRPr="00A44965">
        <w:t>. Adelaide, SA: National Centre for Vocational Education Research. ISBN 1</w:t>
      </w:r>
      <w:r w:rsidRPr="00A44965">
        <w:noBreakHyphen/>
        <w:t>921170</w:t>
      </w:r>
      <w:r w:rsidRPr="00A44965">
        <w:noBreakHyphen/>
        <w:t>01</w:t>
      </w:r>
      <w:r w:rsidRPr="00A44965">
        <w:noBreakHyphen/>
        <w:t>8 (print); 1</w:t>
      </w:r>
      <w:r w:rsidRPr="00A44965">
        <w:noBreakHyphen/>
        <w:t>921170</w:t>
      </w:r>
      <w:r w:rsidRPr="00A44965">
        <w:noBreakHyphen/>
        <w:t>07</w:t>
      </w:r>
      <w:r w:rsidRPr="00A44965">
        <w:noBreakHyphen/>
        <w:t>7 (web)</w:t>
      </w:r>
      <w:r w:rsidR="00460C0D" w:rsidRPr="00083FEA">
        <w:t xml:space="preserve">Harris R (2009), ‘Two worlds? Higher education and post-school VET in Australia and the movement of learners between them’, </w:t>
      </w:r>
      <w:r w:rsidR="00460C0D" w:rsidRPr="00083FEA">
        <w:rPr>
          <w:i/>
          <w:iCs/>
        </w:rPr>
        <w:t xml:space="preserve">European Journal of Vocational Training, </w:t>
      </w:r>
      <w:r w:rsidR="00460C0D" w:rsidRPr="00083FEA">
        <w:t xml:space="preserve">46(1):66-88. </w:t>
      </w:r>
      <w:hyperlink r:id="rId70" w:history="1">
        <w:r w:rsidR="00460C0D" w:rsidRPr="00083FEA">
          <w:rPr>
            <w:u w:val="single" w:color="009364"/>
          </w:rPr>
          <w:t>https://eric.ed.gov/?id=EJ864790</w:t>
        </w:r>
      </w:hyperlink>
      <w:r w:rsidR="00460C0D" w:rsidRPr="00083FEA">
        <w:t xml:space="preserve"> </w:t>
      </w:r>
    </w:p>
    <w:p w14:paraId="02748323" w14:textId="77777777" w:rsidR="00460C0D" w:rsidRPr="00083FEA" w:rsidRDefault="00460C0D" w:rsidP="00460C0D">
      <w:r w:rsidRPr="00083FEA">
        <w:t xml:space="preserve">Heagney M, and Benson R (2017), ‘How mature-age students succeed in higher education: implications for institutional support’, </w:t>
      </w:r>
      <w:r w:rsidRPr="00083FEA">
        <w:rPr>
          <w:i/>
          <w:iCs/>
        </w:rPr>
        <w:t xml:space="preserve">Journal of Higher Education Policy and Management, </w:t>
      </w:r>
      <w:r w:rsidRPr="00083FEA">
        <w:t xml:space="preserve">39(3):216-234, </w:t>
      </w:r>
      <w:hyperlink r:id="rId71" w:history="1">
        <w:r w:rsidRPr="00083FEA">
          <w:rPr>
            <w:u w:val="single" w:color="009364"/>
          </w:rPr>
          <w:t>http://dx.doi.org/10.1080/1360080X.2017.1300986</w:t>
        </w:r>
      </w:hyperlink>
      <w:r w:rsidRPr="00083FEA">
        <w:t xml:space="preserve"> </w:t>
      </w:r>
    </w:p>
    <w:p w14:paraId="4AD795DA" w14:textId="77777777" w:rsidR="00460C0D" w:rsidRPr="00083FEA" w:rsidRDefault="00460C0D" w:rsidP="00460C0D">
      <w:r w:rsidRPr="00083FEA">
        <w:t xml:space="preserve">Hodge S, Guthrie H, Jones A, and Waters M (2024), ‘Curriculum across the great divide: exploring a key problem of Australian tertiary education’, </w:t>
      </w:r>
      <w:r w:rsidRPr="00083FEA">
        <w:rPr>
          <w:i/>
          <w:iCs/>
        </w:rPr>
        <w:t>International Journal of Training Research,</w:t>
      </w:r>
      <w:r w:rsidRPr="00083FEA">
        <w:t xml:space="preserve"> 22(1):31-45. </w:t>
      </w:r>
      <w:hyperlink r:id="rId72" w:history="1">
        <w:r w:rsidRPr="00083FEA">
          <w:rPr>
            <w:u w:val="single" w:color="009364"/>
          </w:rPr>
          <w:t>https://doi.org/10.1080/14480220.2024.2330453</w:t>
        </w:r>
      </w:hyperlink>
    </w:p>
    <w:p w14:paraId="4B9CB89E" w14:textId="7464E389" w:rsidR="00460C0D" w:rsidRDefault="00460C0D" w:rsidP="00460C0D">
      <w:r w:rsidRPr="00083FEA">
        <w:t>Hodge S, and Knight E, (2021</w:t>
      </w:r>
      <w:r w:rsidR="00B82115">
        <w:t>a</w:t>
      </w:r>
      <w:r w:rsidRPr="00083FEA">
        <w:t>),</w:t>
      </w:r>
      <w:r w:rsidR="002A5093" w:rsidRPr="002A5093">
        <w:t xml:space="preserve"> </w:t>
      </w:r>
      <w:hyperlink r:id="rId73" w:history="1">
        <w:r w:rsidR="002A5093" w:rsidRPr="002A5093">
          <w:rPr>
            <w:rStyle w:val="Hyperlink"/>
            <w:rFonts w:ascii="Arial" w:hAnsi="Arial"/>
            <w:i/>
            <w:iCs/>
          </w:rPr>
          <w:t>The best of both worlds? Integrating VET and higher education</w:t>
        </w:r>
      </w:hyperlink>
      <w:r w:rsidRPr="00083FEA">
        <w:t xml:space="preserve">, </w:t>
      </w:r>
      <w:r w:rsidR="002A5093">
        <w:t xml:space="preserve">NCVER. </w:t>
      </w:r>
    </w:p>
    <w:p w14:paraId="6DBBB227" w14:textId="70E15869" w:rsidR="00B82115" w:rsidRPr="002A5093" w:rsidRDefault="00B82115" w:rsidP="00460C0D">
      <w:r w:rsidRPr="00083FEA">
        <w:t>Hodge S, and Knight E, (2021</w:t>
      </w:r>
      <w:r>
        <w:t>b</w:t>
      </w:r>
      <w:r w:rsidRPr="00083FEA">
        <w:t>),</w:t>
      </w:r>
      <w:r w:rsidRPr="002A5093">
        <w:t xml:space="preserve"> </w:t>
      </w:r>
      <w:hyperlink r:id="rId74" w:history="1">
        <w:r w:rsidRPr="002A5093">
          <w:rPr>
            <w:rStyle w:val="Hyperlink"/>
            <w:rFonts w:ascii="Arial" w:hAnsi="Arial"/>
            <w:i/>
            <w:iCs/>
          </w:rPr>
          <w:t>The best of both worlds? Integrating VET and higher educatio</w:t>
        </w:r>
        <w:r>
          <w:rPr>
            <w:rStyle w:val="Hyperlink"/>
            <w:rFonts w:ascii="Arial" w:hAnsi="Arial"/>
            <w:i/>
            <w:iCs/>
          </w:rPr>
          <w:t>n – support document</w:t>
        </w:r>
      </w:hyperlink>
      <w:r w:rsidRPr="00083FEA">
        <w:t xml:space="preserve">, </w:t>
      </w:r>
      <w:r>
        <w:t xml:space="preserve">NCVER. </w:t>
      </w:r>
    </w:p>
    <w:p w14:paraId="56636FDF" w14:textId="39323376" w:rsidR="00460C0D" w:rsidRDefault="00131266" w:rsidP="00460C0D">
      <w:r>
        <w:t>Hurley P, Knight E, Coelli M, Ta B and Hildebrandt M (2021),</w:t>
      </w:r>
      <w:r w:rsidR="00460C0D" w:rsidRPr="00083FEA">
        <w:t xml:space="preserve"> </w:t>
      </w:r>
      <w:hyperlink r:id="rId75" w:history="1">
        <w:r w:rsidR="00460C0D" w:rsidRPr="00E57A57">
          <w:rPr>
            <w:rStyle w:val="Hyperlink"/>
            <w:i/>
            <w:iCs/>
          </w:rPr>
          <w:t>Industry experiences and their role in education to work transitions</w:t>
        </w:r>
      </w:hyperlink>
      <w:r w:rsidR="001131A8">
        <w:t>,</w:t>
      </w:r>
      <w:r w:rsidR="00460C0D" w:rsidRPr="00083FEA">
        <w:t xml:space="preserve"> Project Report. Department of Education, Skills and Employment</w:t>
      </w:r>
      <w:r w:rsidR="001131A8">
        <w:t xml:space="preserve">, accessed 4 November 2025. </w:t>
      </w:r>
    </w:p>
    <w:p w14:paraId="75C4FF84" w14:textId="52B92FB2" w:rsidR="00F22D7C" w:rsidRPr="00F22D7C" w:rsidRDefault="00F22D7C" w:rsidP="00460C0D">
      <w:r>
        <w:t xml:space="preserve">Institute of Applied Technology (2025), </w:t>
      </w:r>
      <w:hyperlink r:id="rId76" w:history="1">
        <w:r w:rsidRPr="009F61EC">
          <w:rPr>
            <w:rStyle w:val="Hyperlink"/>
            <w:i/>
            <w:iCs/>
          </w:rPr>
          <w:t>Institute of Applied Technology (IAT) About</w:t>
        </w:r>
      </w:hyperlink>
      <w:r>
        <w:rPr>
          <w:i/>
          <w:iCs/>
        </w:rPr>
        <w:t xml:space="preserve">, </w:t>
      </w:r>
      <w:r>
        <w:t xml:space="preserve">NSW Government, accessed 30 March 2026. </w:t>
      </w:r>
    </w:p>
    <w:p w14:paraId="3FC79C1F" w14:textId="553165C8" w:rsidR="00460C0D" w:rsidRDefault="00460C0D" w:rsidP="00460C0D">
      <w:r w:rsidRPr="00083FEA">
        <w:t>Ithaca Group (2018</w:t>
      </w:r>
      <w:r w:rsidRPr="00E57A57">
        <w:t>)</w:t>
      </w:r>
      <w:r w:rsidR="00E57A57" w:rsidRPr="00E57A57">
        <w:t>,</w:t>
      </w:r>
      <w:r w:rsidRPr="00E57A57">
        <w:rPr>
          <w:i/>
          <w:iCs/>
        </w:rPr>
        <w:t xml:space="preserve"> </w:t>
      </w:r>
      <w:hyperlink r:id="rId77">
        <w:r w:rsidRPr="00E57A57">
          <w:rPr>
            <w:i/>
            <w:iCs/>
            <w:u w:val="single" w:color="009364"/>
          </w:rPr>
          <w:t>Credit Pathways in VET and Higher Education: Research Project – Final Report</w:t>
        </w:r>
      </w:hyperlink>
      <w:r w:rsidRPr="00083FEA">
        <w:t>, report to the Department of Education and Training, accessed 4 November 2025.</w:t>
      </w:r>
    </w:p>
    <w:p w14:paraId="7A439407" w14:textId="30BF7FBE" w:rsidR="00097E17" w:rsidRPr="006057B7" w:rsidRDefault="00097E17" w:rsidP="00460C0D">
      <w:r>
        <w:t>Jackson D (202</w:t>
      </w:r>
      <w:r w:rsidR="00A9491A">
        <w:t>4</w:t>
      </w:r>
      <w:r>
        <w:t xml:space="preserve">), ‘Work-integrated learning: opportunities and challenges in Australia’, </w:t>
      </w:r>
      <w:r w:rsidR="00A9491A">
        <w:rPr>
          <w:i/>
          <w:iCs/>
        </w:rPr>
        <w:t xml:space="preserve">Higher Education Research and Development, </w:t>
      </w:r>
      <w:r w:rsidR="00A9491A">
        <w:t>43(3): 767-773.</w:t>
      </w:r>
      <w:r w:rsidR="006057B7" w:rsidRPr="006057B7">
        <w:t xml:space="preserve"> </w:t>
      </w:r>
      <w:hyperlink r:id="rId78" w:history="1">
        <w:r w:rsidR="008A469A" w:rsidRPr="000A4C5F">
          <w:rPr>
            <w:rStyle w:val="Hyperlink"/>
          </w:rPr>
          <w:t>https://doi.org/10.1080/07294360.2024.2307929</w:t>
        </w:r>
      </w:hyperlink>
      <w:r w:rsidR="008A469A">
        <w:t xml:space="preserve"> </w:t>
      </w:r>
      <w:r w:rsidR="006057B7">
        <w:t xml:space="preserve"> </w:t>
      </w:r>
    </w:p>
    <w:p w14:paraId="67BD307E" w14:textId="77777777" w:rsidR="00460C0D" w:rsidRPr="00083FEA" w:rsidRDefault="00460C0D" w:rsidP="00460C0D">
      <w:r w:rsidRPr="00083FEA">
        <w:t xml:space="preserve">Jackson D, Li I, and Carroll D (2023), ‘Student access to higher education through alternative pathways and differences by equity group and discipline’, </w:t>
      </w:r>
      <w:r w:rsidRPr="00083FEA">
        <w:rPr>
          <w:i/>
          <w:iCs/>
        </w:rPr>
        <w:t xml:space="preserve">Journal of Higher Education Policy and Management, </w:t>
      </w:r>
      <w:r w:rsidRPr="00083FEA">
        <w:t xml:space="preserve">45(6):593-625. </w:t>
      </w:r>
      <w:hyperlink r:id="rId79" w:history="1">
        <w:r w:rsidRPr="00083FEA">
          <w:rPr>
            <w:u w:val="single" w:color="009364"/>
          </w:rPr>
          <w:t>https://doi.org/10.1080/1360080X.2023.2212850</w:t>
        </w:r>
      </w:hyperlink>
      <w:r w:rsidRPr="00083FEA">
        <w:t xml:space="preserve"> </w:t>
      </w:r>
    </w:p>
    <w:p w14:paraId="5FFA4CCE" w14:textId="62EF24D3" w:rsidR="00460C0D" w:rsidRPr="00083FEA" w:rsidRDefault="00460C0D" w:rsidP="00460C0D">
      <w:r w:rsidRPr="00083FEA">
        <w:t xml:space="preserve">Jaremus F, Sincock K, Patfield S, Fray L, Prieto E and Gore J (2025), ‘Pressure to attend university: beyond narrow conceptions of pathways to a “good life”’, </w:t>
      </w:r>
      <w:r w:rsidRPr="00083FEA">
        <w:rPr>
          <w:i/>
          <w:iCs/>
        </w:rPr>
        <w:t>Educational Review</w:t>
      </w:r>
      <w:r w:rsidRPr="00083FEA">
        <w:t>, 77(4): 1155-1174, DOI: 10.1080/00131911.2023.228741</w:t>
      </w:r>
      <w:r w:rsidR="00E57A57">
        <w:t xml:space="preserve">7 </w:t>
      </w:r>
    </w:p>
    <w:p w14:paraId="20615E6B" w14:textId="77777777" w:rsidR="00460C0D" w:rsidRPr="00083FEA" w:rsidRDefault="00460C0D" w:rsidP="00460C0D">
      <w:r w:rsidRPr="00083FEA">
        <w:t xml:space="preserve">Jarvis L (2021), ‘Try before you buy: using enabling programs to negotiate the risks of higher education’, </w:t>
      </w:r>
      <w:r w:rsidRPr="00083FEA">
        <w:rPr>
          <w:i/>
          <w:iCs/>
        </w:rPr>
        <w:t xml:space="preserve">Australian Journal of Adult Learning, </w:t>
      </w:r>
      <w:r w:rsidRPr="00083FEA">
        <w:t xml:space="preserve">61(1): 26-44. </w:t>
      </w:r>
      <w:hyperlink r:id="rId80" w:tgtFrame="_blank" w:history="1">
        <w:r w:rsidRPr="00083FEA">
          <w:rPr>
            <w:u w:val="single" w:color="009364"/>
          </w:rPr>
          <w:t>https://search.informit.org/doi/10.3316/aeipt.228987</w:t>
        </w:r>
      </w:hyperlink>
    </w:p>
    <w:p w14:paraId="7A0B3E1B" w14:textId="33AE9501" w:rsidR="002D1124" w:rsidRDefault="00460C0D" w:rsidP="00460C0D">
      <w:r w:rsidRPr="00083FEA">
        <w:t xml:space="preserve">JSA (Jobs and Skills Australia) (2023), </w:t>
      </w:r>
      <w:hyperlink r:id="rId81">
        <w:r w:rsidRPr="00083FEA">
          <w:rPr>
            <w:i/>
            <w:u w:val="single" w:color="009364"/>
          </w:rPr>
          <w:t>VET Student Outcomes – Top 100 courses</w:t>
        </w:r>
      </w:hyperlink>
      <w:r w:rsidRPr="00083FEA">
        <w:t>, JSA</w:t>
      </w:r>
      <w:r w:rsidR="0004762D">
        <w:t xml:space="preserve"> website</w:t>
      </w:r>
      <w:r w:rsidRPr="00083FEA">
        <w:t>, accessed 6 November 2025.</w:t>
      </w:r>
    </w:p>
    <w:p w14:paraId="204F84B1" w14:textId="5DAD199F" w:rsidR="00317528" w:rsidRPr="00195C5C" w:rsidRDefault="0034396F" w:rsidP="00460C0D">
      <w:r w:rsidRPr="00195C5C">
        <w:t>JSA (Jobs and Skills Australia) (2024</w:t>
      </w:r>
      <w:r w:rsidR="00C0241B">
        <w:t>a</w:t>
      </w:r>
      <w:r w:rsidRPr="00195C5C">
        <w:t xml:space="preserve">), </w:t>
      </w:r>
      <w:hyperlink r:id="rId82" w:history="1">
        <w:r w:rsidRPr="0034396F">
          <w:rPr>
            <w:rStyle w:val="Hyperlink"/>
            <w:i/>
            <w:iCs/>
          </w:rPr>
          <w:t>Skills Shortages Drivers – A companion paper</w:t>
        </w:r>
      </w:hyperlink>
      <w:r>
        <w:rPr>
          <w:i/>
          <w:iCs/>
        </w:rPr>
        <w:t>,</w:t>
      </w:r>
      <w:r w:rsidRPr="00195C5C">
        <w:t xml:space="preserve"> JSA Website, accessed 10 November 2025.</w:t>
      </w:r>
    </w:p>
    <w:p w14:paraId="1592C557" w14:textId="54BCC97E" w:rsidR="00460C0D" w:rsidRDefault="002D1124" w:rsidP="00460C0D">
      <w:r w:rsidRPr="00195C5C">
        <w:t xml:space="preserve"> </w:t>
      </w:r>
      <w:r w:rsidR="00460C0D" w:rsidRPr="00195C5C">
        <w:t>JSA (Jobs and Skills Australia) (2024</w:t>
      </w:r>
      <w:r w:rsidR="00C0241B">
        <w:t>b</w:t>
      </w:r>
      <w:r w:rsidR="00460C0D" w:rsidRPr="00195C5C">
        <w:t xml:space="preserve">), </w:t>
      </w:r>
      <w:hyperlink r:id="rId83" w:history="1">
        <w:r w:rsidR="00460C0D" w:rsidRPr="007D24CB">
          <w:rPr>
            <w:i/>
            <w:iCs/>
            <w:u w:val="single" w:color="009364"/>
          </w:rPr>
          <w:t>Strong and Responsive VET Pathways</w:t>
        </w:r>
      </w:hyperlink>
      <w:r w:rsidR="00460C0D" w:rsidRPr="00195C5C">
        <w:t xml:space="preserve">, JSA Website, accessed 10 November 2025. </w:t>
      </w:r>
    </w:p>
    <w:p w14:paraId="51F283ED" w14:textId="698AD3B8" w:rsidR="00C0241B" w:rsidRDefault="00C0241B" w:rsidP="00460C0D">
      <w:r w:rsidRPr="00195C5C">
        <w:t>JSA (Jobs and Skills Australia) (2024</w:t>
      </w:r>
      <w:r>
        <w:t>c</w:t>
      </w:r>
      <w:r w:rsidRPr="00195C5C">
        <w:t xml:space="preserve">), </w:t>
      </w:r>
      <w:hyperlink r:id="rId84" w:history="1">
        <w:r w:rsidRPr="0004762D">
          <w:rPr>
            <w:rStyle w:val="Hyperlink"/>
            <w:i/>
            <w:iCs/>
          </w:rPr>
          <w:t>Towards a Regional, Rural and Remote Jobs and Skills Roadmap</w:t>
        </w:r>
      </w:hyperlink>
      <w:r w:rsidRPr="0004762D">
        <w:rPr>
          <w:i/>
          <w:iCs/>
        </w:rPr>
        <w:t>,</w:t>
      </w:r>
      <w:r w:rsidRPr="00195C5C">
        <w:t xml:space="preserve"> JSA website, accessed </w:t>
      </w:r>
      <w:r>
        <w:t xml:space="preserve">4 November 2025. </w:t>
      </w:r>
    </w:p>
    <w:p w14:paraId="6826287C" w14:textId="1DDD682F" w:rsidR="005B064E" w:rsidRPr="00195C5C" w:rsidRDefault="005B064E" w:rsidP="00460C0D">
      <w:r w:rsidRPr="00195C5C">
        <w:t>JSA (Jobs and Skills Australia) (2024</w:t>
      </w:r>
      <w:r>
        <w:t>d</w:t>
      </w:r>
      <w:r w:rsidRPr="00195C5C">
        <w:t xml:space="preserve">), </w:t>
      </w:r>
      <w:hyperlink r:id="rId85" w:history="1">
        <w:r w:rsidR="00B36DF8" w:rsidRPr="00B36DF8">
          <w:rPr>
            <w:rStyle w:val="Hyperlink"/>
            <w:i/>
            <w:iCs/>
          </w:rPr>
          <w:t>VET Workforce Study</w:t>
        </w:r>
      </w:hyperlink>
      <w:r w:rsidR="00B36DF8">
        <w:t>,</w:t>
      </w:r>
      <w:r w:rsidRPr="00195C5C">
        <w:t xml:space="preserve"> JSA Website, accessed 10 November 2025.</w:t>
      </w:r>
    </w:p>
    <w:p w14:paraId="3AA968E8" w14:textId="0AAB13A4" w:rsidR="00460C0D" w:rsidRPr="007D24CB" w:rsidRDefault="00460C0D" w:rsidP="00460C0D">
      <w:pPr>
        <w:rPr>
          <w:i/>
          <w:iCs/>
        </w:rPr>
      </w:pPr>
      <w:r w:rsidRPr="00195C5C">
        <w:t>JSA (Jobs and Skills Australia) (2025a),</w:t>
      </w:r>
      <w:r w:rsidR="007D24CB" w:rsidRPr="007D24CB">
        <w:rPr>
          <w:i/>
          <w:iCs/>
        </w:rPr>
        <w:t xml:space="preserve"> </w:t>
      </w:r>
      <w:hyperlink r:id="rId86" w:history="1">
        <w:r w:rsidR="007D24CB" w:rsidRPr="007D24CB">
          <w:rPr>
            <w:i/>
            <w:iCs/>
            <w:u w:val="single" w:color="009364"/>
          </w:rPr>
          <w:t>Employment Projections</w:t>
        </w:r>
      </w:hyperlink>
      <w:r w:rsidRPr="00195C5C">
        <w:t xml:space="preserve">, JSA Website, </w:t>
      </w:r>
      <w:r w:rsidR="007D24CB">
        <w:t>accessed 17 November 2025.</w:t>
      </w:r>
    </w:p>
    <w:p w14:paraId="102A5F01" w14:textId="084345EC" w:rsidR="00460C0D" w:rsidRPr="00083FEA" w:rsidRDefault="00460C0D" w:rsidP="00460C0D">
      <w:r w:rsidRPr="00083FEA">
        <w:t xml:space="preserve">JSA (Jobs and Skills Australia) (2025b), </w:t>
      </w:r>
      <w:hyperlink r:id="rId87" w:history="1">
        <w:r w:rsidR="007D24CB" w:rsidRPr="007D24CB">
          <w:rPr>
            <w:i/>
            <w:iCs/>
            <w:u w:val="single" w:color="009364"/>
          </w:rPr>
          <w:t>Jobs and Skills Report 2025</w:t>
        </w:r>
      </w:hyperlink>
      <w:r w:rsidRPr="00083FEA">
        <w:t>, J</w:t>
      </w:r>
      <w:r w:rsidR="007D24CB">
        <w:t>SA website, accessed 4 November 2025.</w:t>
      </w:r>
      <w:r w:rsidRPr="00083FEA">
        <w:t xml:space="preserve"> </w:t>
      </w:r>
    </w:p>
    <w:p w14:paraId="1902AA06" w14:textId="3EBB93BC" w:rsidR="00D55F4D" w:rsidRDefault="00D55F4D" w:rsidP="00460C0D">
      <w:r w:rsidRPr="00083FEA">
        <w:t>JSA (Jobs and Skills Australia) (2025</w:t>
      </w:r>
      <w:r w:rsidR="00CC099F">
        <w:t>c</w:t>
      </w:r>
      <w:r w:rsidRPr="00083FEA">
        <w:t xml:space="preserve">), </w:t>
      </w:r>
      <w:hyperlink r:id="rId88" w:history="1">
        <w:r w:rsidRPr="003D1180">
          <w:rPr>
            <w:i/>
            <w:iCs/>
            <w:u w:val="single" w:color="009364"/>
          </w:rPr>
          <w:t>NST update: building a system that puts people and skills first</w:t>
        </w:r>
      </w:hyperlink>
      <w:r w:rsidRPr="00083FEA">
        <w:t xml:space="preserve">, </w:t>
      </w:r>
      <w:r>
        <w:t>JSA website</w:t>
      </w:r>
      <w:r w:rsidR="00644BFF">
        <w:t xml:space="preserve">, accessed 10 November 2025. </w:t>
      </w:r>
    </w:p>
    <w:p w14:paraId="448B7138" w14:textId="3D1F7BBF" w:rsidR="00460C0D" w:rsidRPr="00083FEA" w:rsidRDefault="00460C0D" w:rsidP="00460C0D">
      <w:r w:rsidRPr="00083FEA">
        <w:t>JSA (Jobs and Skills Australia) (2025</w:t>
      </w:r>
      <w:r w:rsidR="00CC099F">
        <w:t>d</w:t>
      </w:r>
      <w:r w:rsidRPr="00083FEA">
        <w:t>)</w:t>
      </w:r>
      <w:r w:rsidR="007D24CB" w:rsidRPr="007D24CB">
        <w:rPr>
          <w:i/>
          <w:iCs/>
        </w:rPr>
        <w:t xml:space="preserve"> </w:t>
      </w:r>
      <w:hyperlink r:id="rId89" w:history="1">
        <w:r w:rsidR="007D24CB" w:rsidRPr="007D24CB">
          <w:rPr>
            <w:i/>
            <w:iCs/>
            <w:u w:val="single" w:color="009364"/>
          </w:rPr>
          <w:t>Opportunity and Productivity: Towards a Tertiary Harmonisation Roadmap</w:t>
        </w:r>
      </w:hyperlink>
      <w:r w:rsidRPr="00083FEA">
        <w:t xml:space="preserve">, </w:t>
      </w:r>
      <w:r w:rsidR="007D24CB">
        <w:t>JSA website</w:t>
      </w:r>
      <w:r w:rsidR="00644BFF">
        <w:t xml:space="preserve">, accessed 30 October 2025. </w:t>
      </w:r>
    </w:p>
    <w:p w14:paraId="3E12319D" w14:textId="4FFC65BA" w:rsidR="00987EF7" w:rsidRPr="00083FEA" w:rsidRDefault="00987EF7" w:rsidP="00460C0D">
      <w:r w:rsidRPr="00083FEA">
        <w:t>JSA (Jobs and Skills Australia) (2025</w:t>
      </w:r>
      <w:r w:rsidR="00243598">
        <w:t>e</w:t>
      </w:r>
      <w:r>
        <w:t xml:space="preserve">), </w:t>
      </w:r>
      <w:hyperlink r:id="rId90" w:history="1">
        <w:r w:rsidR="001A07D3" w:rsidRPr="001A07D3">
          <w:rPr>
            <w:rStyle w:val="Hyperlink"/>
            <w:i/>
            <w:iCs/>
          </w:rPr>
          <w:t>Our Gen AI Transition: Final release</w:t>
        </w:r>
      </w:hyperlink>
      <w:r w:rsidR="001A07D3">
        <w:rPr>
          <w:i/>
          <w:iCs/>
        </w:rPr>
        <w:t xml:space="preserve"> </w:t>
      </w:r>
      <w:r>
        <w:t xml:space="preserve">JSA website, accessed </w:t>
      </w:r>
      <w:r w:rsidR="001A07D3">
        <w:t>15</w:t>
      </w:r>
      <w:r w:rsidDel="001A07D3">
        <w:t xml:space="preserve"> </w:t>
      </w:r>
      <w:r>
        <w:t>January 2026.</w:t>
      </w:r>
    </w:p>
    <w:p w14:paraId="3483529A" w14:textId="2A341C0E" w:rsidR="00460C0D" w:rsidRDefault="002B7976" w:rsidP="00460C0D">
      <w:r>
        <w:softHyphen/>
      </w:r>
      <w:r>
        <w:softHyphen/>
      </w:r>
      <w:r>
        <w:softHyphen/>
      </w:r>
      <w:r w:rsidR="00D55F4D" w:rsidRPr="00083FEA">
        <w:t>JSA (Jobs and Skills Australia) (2025</w:t>
      </w:r>
      <w:r w:rsidR="00987EF7">
        <w:t>f</w:t>
      </w:r>
      <w:r w:rsidR="003D1180">
        <w:t>),</w:t>
      </w:r>
      <w:r w:rsidR="008E09E3">
        <w:t xml:space="preserve"> </w:t>
      </w:r>
      <w:hyperlink r:id="rId91" w:history="1">
        <w:r w:rsidR="008E09E3" w:rsidRPr="008E09E3">
          <w:rPr>
            <w:rStyle w:val="Hyperlink"/>
            <w:i/>
            <w:iCs/>
          </w:rPr>
          <w:t>Pathways to economic mobility and improved equity</w:t>
        </w:r>
      </w:hyperlink>
      <w:r w:rsidR="008E09E3">
        <w:t>,</w:t>
      </w:r>
      <w:r w:rsidR="003D1180" w:rsidRPr="003D1180">
        <w:t xml:space="preserve"> </w:t>
      </w:r>
      <w:r w:rsidR="00D55F4D">
        <w:t>JSA website</w:t>
      </w:r>
      <w:r w:rsidR="00644BFF">
        <w:t>, a</w:t>
      </w:r>
      <w:r w:rsidR="00D55F4D">
        <w:t xml:space="preserve">ccessed </w:t>
      </w:r>
      <w:r w:rsidR="00644BFF">
        <w:t xml:space="preserve">6 January 2026. </w:t>
      </w:r>
    </w:p>
    <w:p w14:paraId="49B34F14" w14:textId="154E2E92" w:rsidR="00963A26" w:rsidRPr="00083FEA" w:rsidRDefault="00963A26" w:rsidP="00460C0D">
      <w:r w:rsidRPr="00083FEA">
        <w:t>JSA (Jobs and Skills Australia) (202</w:t>
      </w:r>
      <w:r>
        <w:t>6),</w:t>
      </w:r>
      <w:hyperlink r:id="rId92" w:history="1">
        <w:r w:rsidRPr="00963A26">
          <w:rPr>
            <w:rStyle w:val="Hyperlink"/>
          </w:rPr>
          <w:t xml:space="preserve"> </w:t>
        </w:r>
        <w:r w:rsidRPr="00963A26">
          <w:rPr>
            <w:rStyle w:val="Hyperlink"/>
            <w:i/>
            <w:iCs/>
          </w:rPr>
          <w:t>Occupation Shortage Report – December 2025</w:t>
        </w:r>
      </w:hyperlink>
      <w:hyperlink r:id="rId93" w:history="1">
        <w:r w:rsidR="00652AD1" w:rsidDel="00652AD1">
          <w:rPr>
            <w:rStyle w:val="Hyperlink"/>
          </w:rPr>
          <w:t xml:space="preserve"> </w:t>
        </w:r>
      </w:hyperlink>
      <w:r>
        <w:t>,</w:t>
      </w:r>
      <w:r w:rsidRPr="003D1180">
        <w:t xml:space="preserve"> </w:t>
      </w:r>
      <w:r>
        <w:t>JSA website, accessed 30 March 2026.</w:t>
      </w:r>
    </w:p>
    <w:p w14:paraId="0DE7DC94" w14:textId="719A678F" w:rsidR="002A61C7" w:rsidRPr="001D2179" w:rsidRDefault="002A61C7" w:rsidP="00460C0D">
      <w:r>
        <w:t>Katarzi E and Hayward G (2020)</w:t>
      </w:r>
      <w:r w:rsidR="001D2179">
        <w:t xml:space="preserve">, ‘Conceptualising transitions from vocational to higher education: bringing together Bourdieu and Bernstein’, </w:t>
      </w:r>
      <w:r w:rsidR="001D2179">
        <w:rPr>
          <w:i/>
          <w:iCs/>
        </w:rPr>
        <w:t xml:space="preserve">British Journal of Sociology of Education, </w:t>
      </w:r>
      <w:r w:rsidR="001D2179">
        <w:t xml:space="preserve">41(3):299-314. </w:t>
      </w:r>
      <w:hyperlink r:id="rId94" w:history="1">
        <w:r w:rsidR="00DF0BEE" w:rsidRPr="00A858CE">
          <w:rPr>
            <w:rStyle w:val="Hyperlink"/>
          </w:rPr>
          <w:t>https://doi.org/10.1080/01425692.2019.1707065</w:t>
        </w:r>
      </w:hyperlink>
      <w:r w:rsidR="00DF0BEE">
        <w:t xml:space="preserve"> </w:t>
      </w:r>
    </w:p>
    <w:p w14:paraId="27B83AF4" w14:textId="77777777" w:rsidR="00460C0D" w:rsidRPr="00083FEA" w:rsidRDefault="00460C0D" w:rsidP="00460C0D">
      <w:r w:rsidRPr="00083FEA">
        <w:t xml:space="preserve">Kift S (2024), ‘The tertiary transformation imperative: issues and opportunities’, </w:t>
      </w:r>
      <w:r w:rsidRPr="00083FEA">
        <w:rPr>
          <w:i/>
          <w:iCs/>
        </w:rPr>
        <w:t>International Journal of Training Research</w:t>
      </w:r>
      <w:r w:rsidRPr="00083FEA">
        <w:t xml:space="preserve">, 22(1):5-15, DOI: 10.1080/14480220.2024.2375150 </w:t>
      </w:r>
    </w:p>
    <w:p w14:paraId="04B4BC6D" w14:textId="18A43703" w:rsidR="001D2179" w:rsidRPr="00EF03A4" w:rsidRDefault="00460C0D" w:rsidP="00460C0D">
      <w:pPr>
        <w:rPr>
          <w:i/>
          <w:iCs/>
        </w:rPr>
      </w:pPr>
      <w:r w:rsidRPr="00083FEA">
        <w:t>Langworthy A and Johns S (2013),</w:t>
      </w:r>
      <w:r w:rsidR="00EF03A4" w:rsidRPr="00EF03A4">
        <w:rPr>
          <w:i/>
          <w:iCs/>
        </w:rPr>
        <w:t xml:space="preserve"> </w:t>
      </w:r>
      <w:hyperlink r:id="rId95" w:history="1">
        <w:r w:rsidR="00EF03A4" w:rsidRPr="00EF03A4">
          <w:rPr>
            <w:i/>
            <w:iCs/>
            <w:u w:val="single" w:color="009364"/>
          </w:rPr>
          <w:t>VET pathways in Tasmania: collaborating for successful participation</w:t>
        </w:r>
      </w:hyperlink>
      <w:r w:rsidRPr="00083FEA">
        <w:t xml:space="preserve">, University Of Tasmania - Conference contribution, </w:t>
      </w:r>
      <w:r w:rsidR="0051305E">
        <w:t>accessed 4 November 2025.</w:t>
      </w:r>
    </w:p>
    <w:p w14:paraId="51F8371D" w14:textId="5891D55C" w:rsidR="00D41E29" w:rsidRPr="00C8529F" w:rsidRDefault="00D41E29" w:rsidP="00460C0D">
      <w:r w:rsidRPr="00C8529F">
        <w:t>Leigh A, (2025) ‘Returns to Education in Australia 2001–2022*’, </w:t>
      </w:r>
      <w:r w:rsidRPr="00C8529F">
        <w:rPr>
          <w:i/>
          <w:iCs/>
        </w:rPr>
        <w:t>Economic Papers</w:t>
      </w:r>
      <w:r w:rsidRPr="00C8529F">
        <w:t xml:space="preserve">, 44(1): 62–76. doi:10.1111/1759-3441.12417 </w:t>
      </w:r>
    </w:p>
    <w:p w14:paraId="6E9CF340" w14:textId="77777777" w:rsidR="00460C0D" w:rsidRPr="00083FEA" w:rsidRDefault="00460C0D" w:rsidP="00460C0D">
      <w:r w:rsidRPr="00083FEA">
        <w:t>Li I, Jackson D and Carrol D (2023) ‘</w:t>
      </w:r>
      <w:hyperlink r:id="rId96" w:history="1">
        <w:r w:rsidRPr="00083FEA">
          <w:rPr>
            <w:u w:val="single" w:color="009364"/>
          </w:rPr>
          <w:t>Influence of equity group status and entry pathway on academic outcomes in higher education</w:t>
        </w:r>
      </w:hyperlink>
      <w:r w:rsidRPr="00083FEA">
        <w:t xml:space="preserve">’, </w:t>
      </w:r>
      <w:r w:rsidRPr="00C8529F">
        <w:rPr>
          <w:i/>
          <w:iCs/>
        </w:rPr>
        <w:t>Journal of Higher Education Policy and Management</w:t>
      </w:r>
      <w:r w:rsidRPr="00083FEA">
        <w:t>, 45(2):140-159</w:t>
      </w:r>
    </w:p>
    <w:p w14:paraId="162CDF21" w14:textId="0D5B3C47" w:rsidR="00460C0D" w:rsidRPr="00083FEA" w:rsidRDefault="00460C0D" w:rsidP="00460C0D">
      <w:r w:rsidRPr="00083FEA">
        <w:t>Lim P (2022),</w:t>
      </w:r>
      <w:r w:rsidR="00564B99">
        <w:t xml:space="preserve"> </w:t>
      </w:r>
      <w:hyperlink r:id="rId97" w:history="1">
        <w:r w:rsidRPr="00564B99">
          <w:rPr>
            <w:rStyle w:val="Hyperlink"/>
            <w:i/>
            <w:iCs/>
          </w:rPr>
          <w:t>VET as a re-engagement pathway for early school leavers</w:t>
        </w:r>
      </w:hyperlink>
      <w:r w:rsidRPr="00083FEA">
        <w:t xml:space="preserve">, NCVER, </w:t>
      </w:r>
      <w:r w:rsidR="00EC1F21">
        <w:t>accessed 11</w:t>
      </w:r>
      <w:r w:rsidR="006E4457">
        <w:t xml:space="preserve"> </w:t>
      </w:r>
      <w:r w:rsidR="00EC1F21">
        <w:t>November 2025.</w:t>
      </w:r>
    </w:p>
    <w:p w14:paraId="5278B8A6" w14:textId="77777777" w:rsidR="00460C0D" w:rsidRPr="00083FEA" w:rsidRDefault="00460C0D" w:rsidP="00460C0D">
      <w:r w:rsidRPr="00083FEA">
        <w:t xml:space="preserve">Luckman M and Harvey A (2018), ‘The financial and educational outcomes of Bachelor degree non-completers’, </w:t>
      </w:r>
      <w:r w:rsidRPr="00083FEA">
        <w:rPr>
          <w:i/>
          <w:iCs/>
        </w:rPr>
        <w:t xml:space="preserve">Journal of Higher Education Policy and Management, </w:t>
      </w:r>
      <w:r w:rsidRPr="00083FEA">
        <w:t xml:space="preserve">41(1): 3-17. </w:t>
      </w:r>
      <w:hyperlink r:id="rId98" w:history="1">
        <w:r w:rsidRPr="00083FEA">
          <w:rPr>
            <w:u w:val="single" w:color="009364"/>
          </w:rPr>
          <w:t>https://doi.org/10.1080/1360080X.2018.1553106</w:t>
        </w:r>
      </w:hyperlink>
      <w:r w:rsidRPr="00083FEA">
        <w:t xml:space="preserve"> </w:t>
      </w:r>
    </w:p>
    <w:p w14:paraId="7C5092F7" w14:textId="77777777" w:rsidR="00460C0D" w:rsidRPr="00083FEA" w:rsidRDefault="00460C0D" w:rsidP="00460C0D">
      <w:r w:rsidRPr="00083FEA">
        <w:t xml:space="preserve">Moir L (2024), ‘Transitioning to work without school: Experiences of the home educated’, </w:t>
      </w:r>
      <w:r w:rsidRPr="00083FEA">
        <w:rPr>
          <w:i/>
          <w:iCs/>
        </w:rPr>
        <w:t xml:space="preserve">The Australian Educational Researcher, </w:t>
      </w:r>
      <w:r w:rsidRPr="00083FEA">
        <w:t xml:space="preserve">51(September 2024):1487–1502, </w:t>
      </w:r>
      <w:hyperlink r:id="rId99" w:history="1">
        <w:r w:rsidRPr="00083FEA">
          <w:rPr>
            <w:u w:val="single" w:color="009364"/>
          </w:rPr>
          <w:t>https://doi.org/10.1007/s13384-023-00650-8</w:t>
        </w:r>
      </w:hyperlink>
    </w:p>
    <w:p w14:paraId="3A2305B1" w14:textId="5AFE3F5B" w:rsidR="00460C0D" w:rsidRPr="00083FEA" w:rsidRDefault="00460C0D" w:rsidP="00460C0D">
      <w:r w:rsidRPr="00083FEA">
        <w:t xml:space="preserve">Moodie G (2008), </w:t>
      </w:r>
      <w:hyperlink r:id="rId100" w:history="1">
        <w:r w:rsidRPr="002754DA">
          <w:rPr>
            <w:rStyle w:val="Hyperlink"/>
            <w:i/>
            <w:iCs/>
          </w:rPr>
          <w:t>Australia: The emergence of dual sector universities</w:t>
        </w:r>
      </w:hyperlink>
      <w:r w:rsidRPr="00083FEA">
        <w:t xml:space="preserve">, RMIT University, accessed 14 November 2025. </w:t>
      </w:r>
    </w:p>
    <w:p w14:paraId="6C9E29CB" w14:textId="7E205B84" w:rsidR="00460C0D" w:rsidRPr="00083FEA" w:rsidRDefault="00460C0D" w:rsidP="00460C0D">
      <w:r w:rsidRPr="00083FEA">
        <w:t xml:space="preserve">NCVER (National Centre for Vocational Education Research) 2019, </w:t>
      </w:r>
      <w:hyperlink r:id="rId101" w:history="1">
        <w:r w:rsidRPr="00FA5BEA">
          <w:rPr>
            <w:rStyle w:val="Hyperlink"/>
            <w:i/>
            <w:iCs/>
          </w:rPr>
          <w:t xml:space="preserve">Higher apprenticeships in Australia: what are we talking </w:t>
        </w:r>
        <w:r w:rsidR="008F15CE" w:rsidRPr="00FA5BEA">
          <w:rPr>
            <w:rStyle w:val="Hyperlink"/>
            <w:i/>
            <w:iCs/>
          </w:rPr>
          <w:t>about?</w:t>
        </w:r>
      </w:hyperlink>
      <w:r w:rsidR="00A102F5">
        <w:rPr>
          <w:i/>
          <w:iCs/>
        </w:rPr>
        <w:t>,</w:t>
      </w:r>
      <w:r w:rsidRPr="00083FEA">
        <w:t xml:space="preserve"> NCVER</w:t>
      </w:r>
      <w:r w:rsidR="00B15848">
        <w:t>, accessed 15 November 2025.</w:t>
      </w:r>
    </w:p>
    <w:p w14:paraId="0AB6506D" w14:textId="6578AD39" w:rsidR="00460C0D" w:rsidRPr="00083FEA" w:rsidRDefault="00460C0D" w:rsidP="00460C0D">
      <w:r w:rsidRPr="00083FEA">
        <w:t xml:space="preserve">NCVER (National Centre for Vocational Education Research) (2023), </w:t>
      </w:r>
      <w:hyperlink r:id="rId102" w:anchor=":~:text=More%20students%20were%20also%20studying,and%20care%2C%20and%20individual%20support.">
        <w:r w:rsidRPr="00505E86">
          <w:rPr>
            <w:i/>
            <w:iCs/>
            <w:u w:val="single" w:color="009364"/>
          </w:rPr>
          <w:t>More students in vocational education and training in 2023</w:t>
        </w:r>
      </w:hyperlink>
      <w:r w:rsidRPr="00083FEA">
        <w:t>, NCVER, accessed 5 November 2025.</w:t>
      </w:r>
    </w:p>
    <w:p w14:paraId="2D35D0BB" w14:textId="30354E2D" w:rsidR="00DA4609" w:rsidRDefault="00B15848" w:rsidP="00460C0D">
      <w:r w:rsidRPr="00083FEA">
        <w:t>NCVER (National Centre for Vocational Education Research) (2025a),</w:t>
      </w:r>
      <w:r>
        <w:t xml:space="preserve"> </w:t>
      </w:r>
      <w:hyperlink r:id="rId103" w:anchor="app-2024-jun" w:history="1">
        <w:r w:rsidRPr="00505E86">
          <w:rPr>
            <w:rStyle w:val="Hyperlink"/>
            <w:i/>
            <w:iCs/>
          </w:rPr>
          <w:t>DataBuilder</w:t>
        </w:r>
      </w:hyperlink>
      <w:r>
        <w:t xml:space="preserve">, NCVER website. </w:t>
      </w:r>
    </w:p>
    <w:p w14:paraId="0F382CDC" w14:textId="64849941" w:rsidR="00460C0D" w:rsidRPr="00083FEA" w:rsidRDefault="00460C0D" w:rsidP="00460C0D">
      <w:r w:rsidRPr="00083FEA">
        <w:t>NCVER (National Centre for Vocational Education Research) (2025</w:t>
      </w:r>
      <w:r w:rsidR="00B15848">
        <w:t>b</w:t>
      </w:r>
      <w:r w:rsidRPr="00083FEA">
        <w:t xml:space="preserve">), </w:t>
      </w:r>
      <w:hyperlink r:id="rId104" w:history="1">
        <w:r w:rsidRPr="005E0FD3">
          <w:rPr>
            <w:rStyle w:val="Hyperlink"/>
            <w:rFonts w:ascii="Arial" w:hAnsi="Arial"/>
            <w:i/>
            <w:iCs/>
          </w:rPr>
          <w:t>Total VET students and courses 2024</w:t>
        </w:r>
      </w:hyperlink>
      <w:r w:rsidRPr="00083FEA">
        <w:t xml:space="preserve">, </w:t>
      </w:r>
      <w:r w:rsidR="00B15848">
        <w:t xml:space="preserve">NCVER, </w:t>
      </w:r>
      <w:r w:rsidRPr="00083FEA">
        <w:t>accessed 24 November 2025.</w:t>
      </w:r>
    </w:p>
    <w:p w14:paraId="46E745EE" w14:textId="7E52ECB8" w:rsidR="005E1165" w:rsidRPr="00083FEA" w:rsidRDefault="00460C0D" w:rsidP="00460C0D">
      <w:r w:rsidRPr="00083FEA">
        <w:t>NCVER (National Centre for Vocational Education Research) (2025</w:t>
      </w:r>
      <w:r w:rsidR="00B15848">
        <w:t>c</w:t>
      </w:r>
      <w:r w:rsidRPr="00083FEA">
        <w:t xml:space="preserve">), </w:t>
      </w:r>
      <w:hyperlink r:id="rId105" w:history="1">
        <w:r w:rsidRPr="00DC71CF">
          <w:rPr>
            <w:i/>
            <w:iCs/>
            <w:u w:val="single" w:color="009364"/>
          </w:rPr>
          <w:t>VET in Schools 2024</w:t>
        </w:r>
      </w:hyperlink>
      <w:r w:rsidRPr="00083FEA">
        <w:t>, NCVER, accessed 24 November 2025.</w:t>
      </w:r>
    </w:p>
    <w:p w14:paraId="002D76EE" w14:textId="72C9887F" w:rsidR="00460C0D" w:rsidRPr="00083FEA" w:rsidRDefault="00460C0D" w:rsidP="00460C0D">
      <w:r w:rsidRPr="00083FEA">
        <w:t xml:space="preserve">Norton A and Cherastidtham I (2018), </w:t>
      </w:r>
      <w:hyperlink r:id="rId106" w:history="1">
        <w:r w:rsidRPr="00DC71CF">
          <w:rPr>
            <w:rStyle w:val="Hyperlink"/>
            <w:i/>
            <w:iCs/>
          </w:rPr>
          <w:t>Dropping out: the benefits and costs of trying university</w:t>
        </w:r>
      </w:hyperlink>
      <w:r w:rsidRPr="00083FEA">
        <w:t xml:space="preserve">, Grattan Institute, </w:t>
      </w:r>
      <w:r w:rsidR="00292159">
        <w:t>accessed 5 November 2025.</w:t>
      </w:r>
    </w:p>
    <w:p w14:paraId="6B384693" w14:textId="0E7D26ED" w:rsidR="00460C0D" w:rsidRDefault="00460C0D" w:rsidP="00460C0D">
      <w:r w:rsidRPr="00083FEA">
        <w:t xml:space="preserve">Norton A and </w:t>
      </w:r>
      <w:proofErr w:type="spellStart"/>
      <w:r w:rsidRPr="00083FEA">
        <w:t>Cherastidtham</w:t>
      </w:r>
      <w:proofErr w:type="spellEnd"/>
      <w:r w:rsidRPr="00083FEA">
        <w:t xml:space="preserve"> I (2019</w:t>
      </w:r>
      <w:r w:rsidRPr="006B7C86">
        <w:rPr>
          <w:i/>
          <w:iCs/>
        </w:rPr>
        <w:t xml:space="preserve">), </w:t>
      </w:r>
      <w:hyperlink r:id="rId107" w:history="1">
        <w:r w:rsidRPr="006B7C86">
          <w:rPr>
            <w:rStyle w:val="Hyperlink"/>
            <w:rFonts w:ascii="Arial" w:hAnsi="Arial"/>
            <w:i/>
            <w:iCs/>
          </w:rPr>
          <w:t>Risks and rewards: When is vocational education a good alternative to higher education?</w:t>
        </w:r>
      </w:hyperlink>
      <w:r w:rsidR="006B7C86">
        <w:rPr>
          <w:i/>
          <w:iCs/>
        </w:rPr>
        <w:t>,</w:t>
      </w:r>
      <w:r w:rsidRPr="00083FEA">
        <w:t xml:space="preserve"> Grattan Institute, accessed 1 November 2025. </w:t>
      </w:r>
    </w:p>
    <w:p w14:paraId="0C4E937A" w14:textId="02B011A8" w:rsidR="00C74804" w:rsidRPr="00C74804" w:rsidRDefault="00C74804" w:rsidP="00460C0D">
      <w:r>
        <w:t xml:space="preserve">NSW Department of Education (2024), </w:t>
      </w:r>
      <w:hyperlink r:id="rId108" w:history="1">
        <w:r w:rsidRPr="009F61EC">
          <w:rPr>
            <w:rStyle w:val="Hyperlink"/>
            <w:i/>
            <w:iCs/>
          </w:rPr>
          <w:t>NSW Skills Plan 2024-2028</w:t>
        </w:r>
      </w:hyperlink>
      <w:r>
        <w:rPr>
          <w:i/>
          <w:iCs/>
        </w:rPr>
        <w:t xml:space="preserve">, </w:t>
      </w:r>
      <w:r>
        <w:t xml:space="preserve">NSW Department of Education, accessed 30 March 2026. </w:t>
      </w:r>
    </w:p>
    <w:p w14:paraId="5CCFA715" w14:textId="567BD269" w:rsidR="00C74804" w:rsidRPr="00C74804" w:rsidRDefault="00C74804" w:rsidP="00460C0D">
      <w:r>
        <w:t xml:space="preserve">NSW Department of Education (2025), </w:t>
      </w:r>
      <w:hyperlink r:id="rId109" w:history="1">
        <w:r w:rsidRPr="009F61EC">
          <w:rPr>
            <w:rStyle w:val="Hyperlink"/>
            <w:i/>
            <w:iCs/>
          </w:rPr>
          <w:t>Public Partnerships for Public Benefit: The NSW Higher Education Strategy 2025-29</w:t>
        </w:r>
      </w:hyperlink>
      <w:r>
        <w:rPr>
          <w:i/>
          <w:iCs/>
        </w:rPr>
        <w:t xml:space="preserve">, </w:t>
      </w:r>
      <w:r>
        <w:t>NSW Department of Education, accessed 30 March 2026.</w:t>
      </w:r>
    </w:p>
    <w:p w14:paraId="68F8657F" w14:textId="0C4B4BD9" w:rsidR="00460C0D" w:rsidRPr="00083FEA" w:rsidRDefault="00460C0D" w:rsidP="00460C0D">
      <w:r w:rsidRPr="00083FEA">
        <w:t>OECD (2018)</w:t>
      </w:r>
      <w:r w:rsidR="00ED7CE2">
        <w:t>,</w:t>
      </w:r>
      <w:r w:rsidRPr="00083FEA">
        <w:t> </w:t>
      </w:r>
      <w:hyperlink r:id="rId110" w:history="1">
        <w:r w:rsidRPr="00ED7CE2">
          <w:rPr>
            <w:rStyle w:val="Hyperlink"/>
            <w:i/>
            <w:iCs/>
          </w:rPr>
          <w:t>Education at a Glance</w:t>
        </w:r>
      </w:hyperlink>
      <w:r w:rsidRPr="00083FEA">
        <w:t>, OECD Publishing,</w:t>
      </w:r>
      <w:r w:rsidR="00ED7CE2">
        <w:t xml:space="preserve"> accessed 10 November 2025. </w:t>
      </w:r>
    </w:p>
    <w:p w14:paraId="5A664B40" w14:textId="63847E80" w:rsidR="00460C0D" w:rsidRPr="00083FEA" w:rsidRDefault="00460C0D" w:rsidP="00460C0D">
      <w:pPr>
        <w:rPr>
          <w:i/>
          <w:iCs/>
        </w:rPr>
      </w:pPr>
      <w:r w:rsidRPr="00083FEA">
        <w:t xml:space="preserve">OECD (2022), </w:t>
      </w:r>
      <w:hyperlink r:id="rId111" w:history="1">
        <w:r w:rsidRPr="00BA6DDD">
          <w:rPr>
            <w:i/>
            <w:iCs/>
            <w:u w:val="single" w:color="009364"/>
          </w:rPr>
          <w:t>Getting Skills Right, Strengthening Career Guidance for Mi</w:t>
        </w:r>
        <w:r w:rsidR="00BA6DDD">
          <w:rPr>
            <w:i/>
            <w:iCs/>
            <w:u w:val="single" w:color="009364"/>
          </w:rPr>
          <w:t>d</w:t>
        </w:r>
        <w:r w:rsidRPr="00BA6DDD">
          <w:rPr>
            <w:i/>
            <w:iCs/>
            <w:u w:val="single" w:color="009364"/>
          </w:rPr>
          <w:t>-Career Adults in Australia</w:t>
        </w:r>
      </w:hyperlink>
      <w:r w:rsidRPr="00083FEA">
        <w:t>, OECD, accessed 24 November 2025.</w:t>
      </w:r>
    </w:p>
    <w:p w14:paraId="2161AF0B" w14:textId="396FB1B4" w:rsidR="00460C0D" w:rsidRPr="00083FEA" w:rsidRDefault="00460C0D" w:rsidP="00460C0D">
      <w:r w:rsidRPr="00083FEA">
        <w:t xml:space="preserve">OECD (2025), </w:t>
      </w:r>
      <w:hyperlink r:id="rId112" w:history="1">
        <w:r w:rsidRPr="00BA6DDD">
          <w:rPr>
            <w:rStyle w:val="Hyperlink"/>
            <w:i/>
            <w:iCs/>
          </w:rPr>
          <w:t>The State of Global Teenage Career Preparation</w:t>
        </w:r>
      </w:hyperlink>
      <w:r w:rsidRPr="00083FEA">
        <w:t xml:space="preserve">, OECD Publishing, </w:t>
      </w:r>
      <w:r w:rsidR="00BA6DDD">
        <w:t>accessed 3 November 2025.</w:t>
      </w:r>
    </w:p>
    <w:p w14:paraId="6C51FC51" w14:textId="77777777" w:rsidR="00BA6DDD" w:rsidRPr="00083FEA" w:rsidRDefault="00BA6DDD" w:rsidP="00BA6DDD">
      <w:r w:rsidRPr="00083FEA">
        <w:t xml:space="preserve">OECD/APO (2022), </w:t>
      </w:r>
      <w:hyperlink r:id="rId113" w:history="1">
        <w:r w:rsidRPr="00BA6DDD">
          <w:rPr>
            <w:rStyle w:val="Hyperlink"/>
            <w:i/>
            <w:iCs/>
          </w:rPr>
          <w:t>Identifying the Main Drivers of Productivity Growth: A Literature Review</w:t>
        </w:r>
      </w:hyperlink>
      <w:r w:rsidRPr="00083FEA">
        <w:t xml:space="preserve">, OECD Publishing, </w:t>
      </w:r>
      <w:r>
        <w:t>accessed 14 November 2025.</w:t>
      </w:r>
    </w:p>
    <w:p w14:paraId="3B84F5D7" w14:textId="4E72A4EF" w:rsidR="00460C0D" w:rsidRDefault="00460C0D" w:rsidP="00460C0D">
      <w:r w:rsidRPr="00083FEA">
        <w:t xml:space="preserve">Osborne K and Serich C (2020), </w:t>
      </w:r>
      <w:hyperlink r:id="rId114" w:history="1">
        <w:r w:rsidR="00BA6DDD" w:rsidRPr="00BA6DDD">
          <w:rPr>
            <w:i/>
            <w:iCs/>
            <w:u w:val="single" w:color="009364"/>
          </w:rPr>
          <w:t>Exploring the recognition of prior learning in Australian VET</w:t>
        </w:r>
      </w:hyperlink>
      <w:r w:rsidRPr="00083FEA">
        <w:t xml:space="preserve">, NCVER, </w:t>
      </w:r>
      <w:r w:rsidR="00BA6DDD">
        <w:t>accessed 3 November 2025.</w:t>
      </w:r>
    </w:p>
    <w:p w14:paraId="3A0BA174" w14:textId="24B94B82" w:rsidR="00F244CA" w:rsidRDefault="00F244CA" w:rsidP="00460C0D">
      <w:r>
        <w:t>O’Shea S</w:t>
      </w:r>
      <w:r w:rsidR="002B1E95">
        <w:t>, Lysaght P and Tanner K</w:t>
      </w:r>
      <w:r w:rsidR="00504C1E">
        <w:t xml:space="preserve"> (2012), </w:t>
      </w:r>
      <w:r w:rsidR="0008247A">
        <w:t>‘</w:t>
      </w:r>
      <w:hyperlink r:id="rId115" w:history="1">
        <w:r w:rsidR="00504C1E" w:rsidRPr="009F61EC">
          <w:rPr>
            <w:rStyle w:val="Hyperlink"/>
          </w:rPr>
          <w:t>Stepping into higher education from the vocational education sector in Australia: Student perceptions and experiences</w:t>
        </w:r>
      </w:hyperlink>
      <w:r w:rsidR="0008247A">
        <w:rPr>
          <w:i/>
          <w:iCs/>
        </w:rPr>
        <w:t>’,</w:t>
      </w:r>
      <w:r w:rsidR="005E4D5C">
        <w:rPr>
          <w:i/>
          <w:iCs/>
        </w:rPr>
        <w:t xml:space="preserve"> </w:t>
      </w:r>
      <w:r w:rsidR="0024379A" w:rsidRPr="00B26F09">
        <w:rPr>
          <w:i/>
        </w:rPr>
        <w:t>Journal of Vocational Education and Training</w:t>
      </w:r>
      <w:r w:rsidR="004956F8">
        <w:t>,</w:t>
      </w:r>
      <w:r w:rsidR="001D56E1">
        <w:t xml:space="preserve"> </w:t>
      </w:r>
      <w:r w:rsidR="00A31222">
        <w:t>64(3), 261-277.</w:t>
      </w:r>
      <w:r w:rsidR="00B371E1">
        <w:t xml:space="preserve"> </w:t>
      </w:r>
    </w:p>
    <w:p w14:paraId="2607317C" w14:textId="1DB14D35" w:rsidR="00862D97" w:rsidRPr="009F61EC" w:rsidRDefault="00862D97" w:rsidP="00460C0D">
      <w:pPr>
        <w:rPr>
          <w:i/>
          <w:iCs/>
        </w:rPr>
      </w:pPr>
      <w:r>
        <w:t xml:space="preserve">Palmer B, (2021), </w:t>
      </w:r>
      <w:hyperlink r:id="rId116" w:history="1">
        <w:r w:rsidR="0008247A" w:rsidRPr="0008247A">
          <w:rPr>
            <w:rStyle w:val="Hyperlink"/>
            <w:i/>
            <w:iCs/>
          </w:rPr>
          <w:t>An analysis of ‘micro-credentials’ in VET</w:t>
        </w:r>
      </w:hyperlink>
      <w:r w:rsidR="0008247A">
        <w:rPr>
          <w:i/>
          <w:iCs/>
        </w:rPr>
        <w:t xml:space="preserve">, </w:t>
      </w:r>
      <w:r w:rsidR="0008247A">
        <w:t xml:space="preserve">NCVER, accessed 30 March 2026. </w:t>
      </w:r>
    </w:p>
    <w:p w14:paraId="76D7FF76" w14:textId="556DB586" w:rsidR="00460C0D" w:rsidRPr="00083FEA" w:rsidRDefault="00460C0D" w:rsidP="00460C0D">
      <w:pPr>
        <w:rPr>
          <w:i/>
          <w:iCs/>
        </w:rPr>
      </w:pPr>
      <w:r w:rsidRPr="00083FEA">
        <w:t xml:space="preserve">Parliament of Australia (2024), </w:t>
      </w:r>
      <w:hyperlink r:id="rId117" w:history="1">
        <w:r w:rsidRPr="00A60A6E">
          <w:rPr>
            <w:rStyle w:val="Hyperlink"/>
            <w:i/>
            <w:iCs/>
          </w:rPr>
          <w:t>Shared Vision, Equal Pathways: Inquiry into the perceptions and status of vocational education and training</w:t>
        </w:r>
      </w:hyperlink>
      <w:r w:rsidRPr="00083FEA">
        <w:t>, House of Representatives Standing Committee on Employment, Education and Training,</w:t>
      </w:r>
      <w:r w:rsidR="00A60A6E">
        <w:t xml:space="preserve"> accessed 3 November 2025.</w:t>
      </w:r>
    </w:p>
    <w:p w14:paraId="57704136" w14:textId="2280E298" w:rsidR="00460C0D" w:rsidRPr="00083FEA" w:rsidRDefault="00460C0D" w:rsidP="00460C0D">
      <w:r w:rsidRPr="00083FEA">
        <w:t xml:space="preserve">Parliament of Victoria (2021), </w:t>
      </w:r>
      <w:hyperlink r:id="rId118" w:history="1">
        <w:r w:rsidR="00A60A6E" w:rsidRPr="00A60A6E">
          <w:rPr>
            <w:i/>
            <w:iCs/>
            <w:u w:val="single" w:color="009364"/>
          </w:rPr>
          <w:t>Inquiry into access to TAFE for learners with disability</w:t>
        </w:r>
      </w:hyperlink>
      <w:r w:rsidRPr="00083FEA">
        <w:t xml:space="preserve">, Legislative Assembly Economy and Infrastructure Committee, </w:t>
      </w:r>
      <w:r w:rsidR="00A60A6E">
        <w:t>accessed 10 November 2025.</w:t>
      </w:r>
    </w:p>
    <w:p w14:paraId="08828B76" w14:textId="77777777" w:rsidR="00460C0D" w:rsidRPr="00083FEA" w:rsidRDefault="00460C0D" w:rsidP="00460C0D">
      <w:r w:rsidRPr="00083FEA">
        <w:t xml:space="preserve">PC (Productivity Commission) (2023), </w:t>
      </w:r>
      <w:hyperlink r:id="rId119" w:history="1">
        <w:r w:rsidRPr="00083FEA">
          <w:rPr>
            <w:u w:val="single" w:color="009364"/>
          </w:rPr>
          <w:t>5-year Productivity Inquiry: From learning to growth (Inquiry Report - Volume 8)</w:t>
        </w:r>
      </w:hyperlink>
      <w:r w:rsidRPr="00083FEA">
        <w:t xml:space="preserve">, accessed 7 November 2025. </w:t>
      </w:r>
    </w:p>
    <w:p w14:paraId="132CF55A" w14:textId="765A92E9" w:rsidR="00460C0D" w:rsidRDefault="00460C0D" w:rsidP="00460C0D">
      <w:r w:rsidRPr="00083FEA">
        <w:t>PC (Productivity Commission) (2025</w:t>
      </w:r>
      <w:r w:rsidR="00D927A1">
        <w:t>a</w:t>
      </w:r>
      <w:r w:rsidRPr="00083FEA">
        <w:t xml:space="preserve">), </w:t>
      </w:r>
      <w:hyperlink r:id="rId120">
        <w:r w:rsidRPr="00083FEA">
          <w:rPr>
            <w:i/>
            <w:u w:val="single" w:color="009364"/>
          </w:rPr>
          <w:t>Building a skilled and adaptable workforce: Inquiry interim report</w:t>
        </w:r>
      </w:hyperlink>
      <w:r w:rsidRPr="00083FEA">
        <w:t>, Productivity Commission, accessed 7 November 2025.</w:t>
      </w:r>
    </w:p>
    <w:p w14:paraId="0FD42958" w14:textId="7124D8C8" w:rsidR="00D927A1" w:rsidRPr="00083FEA" w:rsidRDefault="00D927A1" w:rsidP="00460C0D">
      <w:r w:rsidRPr="00083FEA">
        <w:t>PC (Productivity Commission) (2025</w:t>
      </w:r>
      <w:r>
        <w:t>b</w:t>
      </w:r>
      <w:r w:rsidRPr="00083FEA">
        <w:t xml:space="preserve">), </w:t>
      </w:r>
      <w:hyperlink r:id="rId121" w:history="1">
        <w:r w:rsidR="00775C71" w:rsidRPr="00775C71">
          <w:rPr>
            <w:rStyle w:val="Hyperlink"/>
            <w:i/>
          </w:rPr>
          <w:t>Building a skilled and adaptable workforce: Inquiry report</w:t>
        </w:r>
      </w:hyperlink>
      <w:r w:rsidRPr="00083FEA">
        <w:t xml:space="preserve">, Productivity Commission, accessed </w:t>
      </w:r>
      <w:r>
        <w:t xml:space="preserve">18 December </w:t>
      </w:r>
      <w:r w:rsidRPr="00083FEA">
        <w:t>2025.</w:t>
      </w:r>
    </w:p>
    <w:p w14:paraId="447CCA24" w14:textId="3E2091E0" w:rsidR="00473AF4" w:rsidRPr="00473AF4" w:rsidRDefault="00473AF4" w:rsidP="00460C0D">
      <w:r>
        <w:t>PhillipsKPA (2019),</w:t>
      </w:r>
      <w:hyperlink r:id="rId122" w:history="1">
        <w:r w:rsidRPr="005B341B">
          <w:rPr>
            <w:rStyle w:val="Hyperlink"/>
          </w:rPr>
          <w:t xml:space="preserve"> </w:t>
        </w:r>
        <w:r w:rsidRPr="005B341B">
          <w:rPr>
            <w:rStyle w:val="Hyperlink"/>
            <w:i/>
            <w:iCs/>
          </w:rPr>
          <w:t xml:space="preserve">Academic </w:t>
        </w:r>
        <w:r w:rsidR="00302C96">
          <w:rPr>
            <w:rStyle w:val="Hyperlink"/>
            <w:i/>
            <w:iCs/>
          </w:rPr>
          <w:t>credit arrangements (credit recognition: Final report</w:t>
        </w:r>
      </w:hyperlink>
      <w:r>
        <w:rPr>
          <w:i/>
          <w:iCs/>
        </w:rPr>
        <w:t xml:space="preserve">, </w:t>
      </w:r>
      <w:r>
        <w:t>report to the Australian Government Department of Educati</w:t>
      </w:r>
      <w:r w:rsidR="00494448">
        <w:t>on</w:t>
      </w:r>
      <w:r w:rsidR="00302C96">
        <w:t>, Skills and Employment</w:t>
      </w:r>
      <w:r w:rsidDel="00302C96">
        <w:t>,</w:t>
      </w:r>
      <w:r w:rsidR="005B341B" w:rsidDel="00302C96">
        <w:t xml:space="preserve"> </w:t>
      </w:r>
      <w:r w:rsidR="00302C96">
        <w:t xml:space="preserve">accessed 11 February 2026. </w:t>
      </w:r>
    </w:p>
    <w:p w14:paraId="3ECD3C1C" w14:textId="530C9D7E" w:rsidR="00460C0D" w:rsidRPr="00083FEA" w:rsidRDefault="00460C0D" w:rsidP="00460C0D">
      <w:r w:rsidRPr="00083FEA">
        <w:t>Powell S (</w:t>
      </w:r>
      <w:r w:rsidR="004B4502">
        <w:t xml:space="preserve">25 February </w:t>
      </w:r>
      <w:r w:rsidRPr="00083FEA">
        <w:t xml:space="preserve">2025), </w:t>
      </w:r>
      <w:r w:rsidRPr="002442E7">
        <w:rPr>
          <w:i/>
          <w:iCs/>
          <w:u w:val="single" w:color="009364"/>
        </w:rPr>
        <w:t>Mixing study and work experience is a win-win for students and employers</w:t>
      </w:r>
      <w:r w:rsidR="002442E7">
        <w:rPr>
          <w:u w:val="single" w:color="009364"/>
        </w:rPr>
        <w:t xml:space="preserve">, </w:t>
      </w:r>
      <w:r w:rsidRPr="00083FEA">
        <w:t>The Australian</w:t>
      </w:r>
      <w:r w:rsidR="004B4502">
        <w:t xml:space="preserve">, </w:t>
      </w:r>
      <w:r w:rsidRPr="00083FEA">
        <w:t xml:space="preserve">accessed 24 November 2025.  </w:t>
      </w:r>
    </w:p>
    <w:p w14:paraId="123A0876" w14:textId="78B9AE5C" w:rsidR="00460C0D" w:rsidRPr="00083FEA" w:rsidRDefault="00460C0D" w:rsidP="00460C0D">
      <w:r w:rsidRPr="00C153FA">
        <w:t>PwC (PricewaterhouseCoopers) (2022</w:t>
      </w:r>
      <w:r w:rsidRPr="00C153FA">
        <w:rPr>
          <w:i/>
          <w:iCs/>
        </w:rPr>
        <w:t xml:space="preserve">), </w:t>
      </w:r>
      <w:r w:rsidR="00283830" w:rsidRPr="00C153FA">
        <w:rPr>
          <w:i/>
          <w:iCs/>
        </w:rPr>
        <w:t>Credit Pathways, Prototype Credit Point System, and Volume of Learning Final Report</w:t>
      </w:r>
      <w:r w:rsidR="00283830" w:rsidRPr="00C153FA">
        <w:t xml:space="preserve">, </w:t>
      </w:r>
      <w:r w:rsidR="00D272EE" w:rsidRPr="00C153FA">
        <w:t>Report to the Department of Education</w:t>
      </w:r>
      <w:r w:rsidR="00283830" w:rsidRPr="00C153FA">
        <w:t>.</w:t>
      </w:r>
      <w:r w:rsidR="00D272EE" w:rsidRPr="00C153FA">
        <w:t xml:space="preserve"> </w:t>
      </w:r>
    </w:p>
    <w:p w14:paraId="57634F10" w14:textId="2296837A" w:rsidR="00460C0D" w:rsidRPr="00083FEA" w:rsidRDefault="00460C0D" w:rsidP="00460C0D">
      <w:r w:rsidRPr="00083FEA">
        <w:t xml:space="preserve">QILT (Quality Indicators for Learning and Teaching) (2025), </w:t>
      </w:r>
      <w:hyperlink r:id="rId123" w:history="1">
        <w:r w:rsidR="00E351C3" w:rsidRPr="00E351C3">
          <w:rPr>
            <w:i/>
            <w:iCs/>
            <w:u w:val="single" w:color="009364"/>
          </w:rPr>
          <w:t>2024 Graduate Outcomes Survey: National Report</w:t>
        </w:r>
      </w:hyperlink>
      <w:r w:rsidRPr="00083FEA">
        <w:t>, QILT website, accessed 8 December 2025.</w:t>
      </w:r>
    </w:p>
    <w:p w14:paraId="17DCFB7F" w14:textId="13DE8490" w:rsidR="00460C0D" w:rsidRPr="00083FEA" w:rsidRDefault="00460C0D" w:rsidP="00460C0D">
      <w:r w:rsidRPr="00083FEA">
        <w:t xml:space="preserve">Raciti, M, Tham, A, and Dale, J (2024). </w:t>
      </w:r>
      <w:hyperlink r:id="rId124">
        <w:r w:rsidRPr="00083FEA">
          <w:rPr>
            <w:u w:val="single" w:color="009364"/>
          </w:rPr>
          <w:t>Recognition of prior learning in higher education: A systematic literature review</w:t>
        </w:r>
      </w:hyperlink>
      <w:r w:rsidRPr="00083FEA">
        <w:t xml:space="preserve">, </w:t>
      </w:r>
      <w:r w:rsidRPr="00C153FA">
        <w:rPr>
          <w:i/>
          <w:iCs/>
        </w:rPr>
        <w:t>Journal of University Teaching and Learning Practice</w:t>
      </w:r>
      <w:r w:rsidRPr="00083FEA">
        <w:t>, 21(9)</w:t>
      </w:r>
      <w:r w:rsidR="005D5126">
        <w:t>: 1-30</w:t>
      </w:r>
      <w:r w:rsidRPr="00083FEA">
        <w:t>, accessed 13 November 2025.</w:t>
      </w:r>
    </w:p>
    <w:p w14:paraId="13A8F315" w14:textId="4447EADE" w:rsidR="00460C0D" w:rsidRPr="00083FEA" w:rsidRDefault="00460C0D" w:rsidP="00460C0D">
      <w:r w:rsidRPr="00083FEA">
        <w:t xml:space="preserve">Ranasinghe R, Chew E, Knight G and Siekmann G (2019), </w:t>
      </w:r>
      <w:hyperlink r:id="rId125" w:history="1">
        <w:r w:rsidRPr="005D5126">
          <w:rPr>
            <w:rStyle w:val="Hyperlink"/>
            <w:i/>
            <w:iCs/>
          </w:rPr>
          <w:t>School-to-work pathways</w:t>
        </w:r>
      </w:hyperlink>
      <w:r w:rsidR="005D5126">
        <w:t xml:space="preserve">, </w:t>
      </w:r>
      <w:r w:rsidRPr="00083FEA">
        <w:t>NCVER, </w:t>
      </w:r>
      <w:r w:rsidR="005D5126">
        <w:t>accessed 11 November 2025.</w:t>
      </w:r>
    </w:p>
    <w:p w14:paraId="53822C18" w14:textId="77777777" w:rsidR="00460C0D" w:rsidRPr="00083FEA" w:rsidRDefault="00460C0D" w:rsidP="00460C0D">
      <w:r w:rsidRPr="00083FEA">
        <w:t xml:space="preserve">RBA (Reserve Bank of Australia) (2025), </w:t>
      </w:r>
      <w:hyperlink r:id="rId126" w:history="1">
        <w:r w:rsidRPr="003F020F">
          <w:rPr>
            <w:i/>
            <w:iCs/>
            <w:u w:val="single" w:color="009364"/>
          </w:rPr>
          <w:t>Productivity</w:t>
        </w:r>
      </w:hyperlink>
      <w:r w:rsidRPr="00083FEA">
        <w:t xml:space="preserve">, RBA website. Accessed 11 November 2025. </w:t>
      </w:r>
    </w:p>
    <w:p w14:paraId="43E268CA" w14:textId="77777777" w:rsidR="00460C0D" w:rsidRPr="00083FEA" w:rsidRDefault="00460C0D" w:rsidP="00460C0D">
      <w:r w:rsidRPr="00083FEA">
        <w:t xml:space="preserve">Schmidt TA, Hodge S, Bryne A-LJ, Wirihana LA, Connor JM, Cole RL, Heidke PV, and Bradshaw J, (2025), ‘One Profession, Two Ways of Thinking: Challenges in Developing Australia's Nursing Workforce’, </w:t>
      </w:r>
      <w:r w:rsidRPr="00083FEA">
        <w:rPr>
          <w:i/>
          <w:iCs/>
        </w:rPr>
        <w:t xml:space="preserve">Nursing Inquiry, </w:t>
      </w:r>
      <w:r w:rsidRPr="00083FEA">
        <w:t xml:space="preserve">32(2):1-11. </w:t>
      </w:r>
      <w:hyperlink r:id="rId127" w:history="1">
        <w:r w:rsidRPr="00083FEA">
          <w:rPr>
            <w:u w:val="single" w:color="009364"/>
          </w:rPr>
          <w:t>https://doi.org/10.1111/nin.70026</w:t>
        </w:r>
      </w:hyperlink>
      <w:r w:rsidRPr="00083FEA">
        <w:t xml:space="preserve"> </w:t>
      </w:r>
    </w:p>
    <w:p w14:paraId="5FDADF94" w14:textId="6877DCC4" w:rsidR="00460C0D" w:rsidRPr="00083FEA" w:rsidRDefault="00460C0D" w:rsidP="00460C0D">
      <w:r w:rsidRPr="00083FEA">
        <w:t xml:space="preserve">Shergold P, Calma T, Russo S, Walton P, Westacott J, Zoellner D and O’Reilly P (2020), </w:t>
      </w:r>
      <w:hyperlink r:id="rId128" w:history="1">
        <w:r w:rsidRPr="009B64CA">
          <w:rPr>
            <w:rStyle w:val="Hyperlink"/>
            <w:i/>
            <w:iCs/>
          </w:rPr>
          <w:t>Looking to the Future: Report of the Review of Senior Secondary Pathways into Work, Further Education and Training</w:t>
        </w:r>
      </w:hyperlink>
      <w:r w:rsidRPr="00083FEA">
        <w:t xml:space="preserve">, </w:t>
      </w:r>
      <w:r w:rsidR="0080015F">
        <w:t>DoE Website</w:t>
      </w:r>
      <w:r w:rsidRPr="00083FEA">
        <w:t xml:space="preserve">, </w:t>
      </w:r>
      <w:r w:rsidR="009B64CA">
        <w:t xml:space="preserve">accessed </w:t>
      </w:r>
      <w:r w:rsidR="006A2A0B">
        <w:t xml:space="preserve">20 November 2025. </w:t>
      </w:r>
    </w:p>
    <w:p w14:paraId="6AC01491" w14:textId="34B8574F" w:rsidR="00460C0D" w:rsidRDefault="00460C0D" w:rsidP="00460C0D">
      <w:r w:rsidRPr="00083FEA">
        <w:t>Smith JA, Frawley J, Pechenkina E, Ludwig W, Robertson C, Gunstone A, and Larkin S (2017</w:t>
      </w:r>
      <w:hyperlink r:id="rId129" w:history="1">
        <w:r w:rsidRPr="006A2A0B">
          <w:rPr>
            <w:rStyle w:val="Hyperlink"/>
            <w:i/>
            <w:iCs/>
          </w:rPr>
          <w:t>), Identifying strategies for promoting VET to higher education transitions for Indigenous learners</w:t>
        </w:r>
      </w:hyperlink>
      <w:r w:rsidRPr="00083FEA">
        <w:t xml:space="preserve">, The National Centre for Student Equity in Higher Education, </w:t>
      </w:r>
      <w:r w:rsidR="006A2A0B">
        <w:t>accessed 11 November 2025.</w:t>
      </w:r>
      <w:r w:rsidR="006A2A0B" w:rsidRPr="00083FEA">
        <w:t xml:space="preserve"> </w:t>
      </w:r>
    </w:p>
    <w:p w14:paraId="61EF986B" w14:textId="4BB96368" w:rsidR="00321CE2" w:rsidRPr="00FC36CF" w:rsidRDefault="00321CE2" w:rsidP="00460C0D">
      <w:r>
        <w:t xml:space="preserve">South Australian Skills Commission (2025), </w:t>
      </w:r>
      <w:hyperlink r:id="rId130" w:history="1">
        <w:r w:rsidR="00FC36CF" w:rsidRPr="00FC36CF">
          <w:rPr>
            <w:rStyle w:val="Hyperlink"/>
            <w:i/>
            <w:iCs/>
          </w:rPr>
          <w:t>Higher Education Apprenticeships and Traineeships - South Australian Skills Commission</w:t>
        </w:r>
      </w:hyperlink>
      <w:r w:rsidR="00FC36CF">
        <w:rPr>
          <w:i/>
          <w:iCs/>
        </w:rPr>
        <w:t xml:space="preserve">, </w:t>
      </w:r>
      <w:r w:rsidR="00FC36CF">
        <w:t>South Australian Skills Commission Website, accessed 7 January 2025.</w:t>
      </w:r>
    </w:p>
    <w:p w14:paraId="65E1FCC7" w14:textId="78FD1805" w:rsidR="00460C0D" w:rsidRDefault="00460C0D" w:rsidP="00460C0D">
      <w:r w:rsidRPr="00083FEA">
        <w:t xml:space="preserve">Stahl G, McDonald S, Nguyen T and Fairbairn K (2025), ‘The necessity of trust: Young men from low socio-economic backgrounds reflecting on what counts in career counselling at the secondary level’, </w:t>
      </w:r>
      <w:r w:rsidRPr="00083FEA">
        <w:rPr>
          <w:i/>
          <w:iCs/>
        </w:rPr>
        <w:t xml:space="preserve">British Journal of Educational Studies, </w:t>
      </w:r>
      <w:r w:rsidRPr="00083FEA">
        <w:t xml:space="preserve">73(1): 73–96, </w:t>
      </w:r>
      <w:hyperlink r:id="rId131" w:history="1">
        <w:r w:rsidRPr="00083FEA">
          <w:rPr>
            <w:u w:val="single" w:color="009364"/>
          </w:rPr>
          <w:t>https://doi.org/10.1080/00071005.2024.2374073</w:t>
        </w:r>
      </w:hyperlink>
      <w:r w:rsidR="00984EA1">
        <w:t xml:space="preserve"> </w:t>
      </w:r>
    </w:p>
    <w:p w14:paraId="00071A5D" w14:textId="51758F5D" w:rsidR="00984EA1" w:rsidRPr="00961602" w:rsidRDefault="00984EA1" w:rsidP="00460C0D">
      <w:r>
        <w:t xml:space="preserve">Stanwick J, Forrest C and Skujins P (2017), </w:t>
      </w:r>
      <w:hyperlink r:id="rId132" w:history="1">
        <w:r w:rsidR="00961602" w:rsidRPr="00C0241B">
          <w:rPr>
            <w:rStyle w:val="Hyperlink"/>
            <w:i/>
            <w:iCs/>
          </w:rPr>
          <w:t>Who are the persistently NEET young people?</w:t>
        </w:r>
      </w:hyperlink>
      <w:r w:rsidR="00961602">
        <w:rPr>
          <w:i/>
          <w:iCs/>
        </w:rPr>
        <w:t xml:space="preserve">, </w:t>
      </w:r>
      <w:r w:rsidR="00961602">
        <w:t xml:space="preserve">NCVER website, accessed 30 April 2026. </w:t>
      </w:r>
    </w:p>
    <w:p w14:paraId="29AB5308" w14:textId="77777777" w:rsidR="00460C0D" w:rsidRPr="00083FEA" w:rsidRDefault="00460C0D" w:rsidP="00460C0D">
      <w:r w:rsidRPr="00083FEA">
        <w:t xml:space="preserve">Stokes J (2024), ‘Transition as transformation: developing student identities and academic literacies through university enabling pathways in Australia’, </w:t>
      </w:r>
      <w:r w:rsidRPr="00083FEA">
        <w:rPr>
          <w:i/>
          <w:iCs/>
        </w:rPr>
        <w:t xml:space="preserve">Widening Participation and Lifelong Learning, </w:t>
      </w:r>
      <w:r w:rsidRPr="00083FEA">
        <w:t xml:space="preserve">26(2): 31-59. </w:t>
      </w:r>
      <w:hyperlink r:id="rId133">
        <w:r w:rsidRPr="00083FEA">
          <w:rPr>
            <w:u w:val="single" w:color="009364"/>
          </w:rPr>
          <w:t>https://doi.org/10.5456/WPLL.26.2.31</w:t>
        </w:r>
      </w:hyperlink>
      <w:r w:rsidRPr="00083FEA">
        <w:t xml:space="preserve"> </w:t>
      </w:r>
    </w:p>
    <w:p w14:paraId="2C9D3399" w14:textId="77777777" w:rsidR="00460C0D" w:rsidRPr="00083FEA" w:rsidRDefault="00460C0D" w:rsidP="00460C0D">
      <w:r w:rsidRPr="00083FEA">
        <w:t>Ta B, Dawkins P, &amp; Hoang CH, (2025). Mid-level qualifications in the divided tertiary education systems in Australia and England. </w:t>
      </w:r>
      <w:r w:rsidRPr="00083FEA">
        <w:rPr>
          <w:i/>
        </w:rPr>
        <w:t>Journal of Higher Education Policy and Management</w:t>
      </w:r>
      <w:r w:rsidRPr="00083FEA">
        <w:t>, </w:t>
      </w:r>
      <w:r w:rsidRPr="00083FEA">
        <w:rPr>
          <w:i/>
        </w:rPr>
        <w:t>47</w:t>
      </w:r>
      <w:r w:rsidRPr="00083FEA">
        <w:t>(3), 386–405. https://doi.org/10.1080/1360080X.2025.2478536</w:t>
      </w:r>
    </w:p>
    <w:p w14:paraId="25D13852" w14:textId="77777777" w:rsidR="00460C0D" w:rsidRDefault="00460C0D" w:rsidP="00460C0D">
      <w:r w:rsidRPr="00083FEA">
        <w:t>Tan G, and Cebulla A, (2023), ‘When what you have is not enough—Acquiring Australian qualifications to overcome non-recognition of overseas skills’, </w:t>
      </w:r>
      <w:r w:rsidRPr="00083FEA">
        <w:rPr>
          <w:i/>
          <w:iCs/>
        </w:rPr>
        <w:t>International Migration</w:t>
      </w:r>
      <w:r w:rsidRPr="00083FEA">
        <w:t xml:space="preserve">, 61(3): 175–195, </w:t>
      </w:r>
      <w:hyperlink r:id="rId134">
        <w:r w:rsidRPr="00083FEA">
          <w:rPr>
            <w:u w:val="single" w:color="009364"/>
          </w:rPr>
          <w:t>https://doi.org/10.1111/imig.13030</w:t>
        </w:r>
      </w:hyperlink>
    </w:p>
    <w:p w14:paraId="4F8CF898" w14:textId="667936B5" w:rsidR="00363FF0" w:rsidRDefault="00363FF0" w:rsidP="00460C0D">
      <w:r>
        <w:t xml:space="preserve">TAFE NSW (2026), </w:t>
      </w:r>
      <w:hyperlink r:id="rId135" w:history="1">
        <w:r w:rsidRPr="00724428">
          <w:rPr>
            <w:rStyle w:val="Hyperlink"/>
            <w:i/>
            <w:iCs/>
          </w:rPr>
          <w:t>Certificate IV in Tertiary Preparation</w:t>
        </w:r>
      </w:hyperlink>
      <w:r>
        <w:rPr>
          <w:i/>
          <w:iCs/>
        </w:rPr>
        <w:t xml:space="preserve">, </w:t>
      </w:r>
      <w:r>
        <w:t xml:space="preserve">TAFE NSW website, accessed 28 April 2026. </w:t>
      </w:r>
    </w:p>
    <w:p w14:paraId="78B45348" w14:textId="4486505A" w:rsidR="00724428" w:rsidRPr="00357602" w:rsidRDefault="00724428" w:rsidP="00460C0D">
      <w:r>
        <w:t xml:space="preserve">TAFE Queensland (2026), </w:t>
      </w:r>
      <w:hyperlink r:id="rId136" w:history="1">
        <w:r w:rsidRPr="00357602">
          <w:rPr>
            <w:rStyle w:val="Hyperlink"/>
            <w:i/>
            <w:iCs/>
          </w:rPr>
          <w:t>Certificate IV in Adult Tertiary Preparation</w:t>
        </w:r>
      </w:hyperlink>
      <w:r>
        <w:rPr>
          <w:i/>
          <w:iCs/>
        </w:rPr>
        <w:t xml:space="preserve">, </w:t>
      </w:r>
      <w:r w:rsidR="00357602">
        <w:t xml:space="preserve">TAFE Queensland website, accessed 28 April 2026. </w:t>
      </w:r>
    </w:p>
    <w:p w14:paraId="666A5D0E" w14:textId="77777777" w:rsidR="00460C0D" w:rsidRPr="00083FEA" w:rsidRDefault="00460C0D" w:rsidP="00460C0D">
      <w:r w:rsidRPr="00083FEA">
        <w:t>Treasury (Australian Government Department of the Treasury) (2023), ‘</w:t>
      </w:r>
      <w:hyperlink r:id="rId137" w:history="1">
        <w:r>
          <w:rPr>
            <w:rStyle w:val="Hyperlink"/>
          </w:rPr>
          <w:t>Working Future</w:t>
        </w:r>
      </w:hyperlink>
      <w:r w:rsidRPr="00083FEA">
        <w:t xml:space="preserve">’, Treasury website, accessed 5 November 2025.  </w:t>
      </w:r>
    </w:p>
    <w:p w14:paraId="1980D5EE" w14:textId="77777777" w:rsidR="00460C0D" w:rsidRPr="00083FEA" w:rsidRDefault="00460C0D" w:rsidP="00460C0D">
      <w:r w:rsidRPr="00083FEA">
        <w:t xml:space="preserve">Tomaszewski W, Perales F, Xiang N, and Kubler M, (2021). ‘Beyond Graduation: Long-term socioeconomic outcomes amongst equity students’, National Centre for Student Equity in Higher Education, </w:t>
      </w:r>
      <w:hyperlink r:id="rId138" w:history="1">
        <w:r w:rsidRPr="00083FEA">
          <w:rPr>
            <w:u w:val="single" w:color="009364"/>
          </w:rPr>
          <w:t>Beyond graduation: Long-term socioeconomic outcomes amongst equity students</w:t>
        </w:r>
      </w:hyperlink>
      <w:r w:rsidRPr="00083FEA">
        <w:t xml:space="preserve">. </w:t>
      </w:r>
    </w:p>
    <w:p w14:paraId="36EA9B04" w14:textId="77777777" w:rsidR="00460C0D" w:rsidRPr="00083FEA" w:rsidRDefault="00460C0D" w:rsidP="00460C0D">
      <w:r w:rsidRPr="00083FEA">
        <w:t xml:space="preserve">Tomaszewski W, Perales F, Xiang N, and Kubler M, (2022). ‘Differences in Higher Education Access, Participation and Outcomes by Socioeconomic Background: A Life Course Perspective’, In: Baxter J, Lam J, Povey J, Lee R, and Zubrick SR (eds) </w:t>
      </w:r>
      <w:r w:rsidRPr="00083FEA">
        <w:rPr>
          <w:i/>
          <w:iCs/>
        </w:rPr>
        <w:t>Family Dynamics over the Life Course. Life Course Research and Social Policies</w:t>
      </w:r>
      <w:r w:rsidRPr="00083FEA">
        <w:t xml:space="preserve">, vol 15. Springer, Cham. </w:t>
      </w:r>
      <w:hyperlink r:id="rId139" w:history="1">
        <w:r w:rsidRPr="00083FEA">
          <w:rPr>
            <w:u w:val="single" w:color="009364"/>
          </w:rPr>
          <w:t>https://doi.org/10.1007/978-3-031-12224-8_7</w:t>
        </w:r>
      </w:hyperlink>
    </w:p>
    <w:p w14:paraId="6149C596" w14:textId="77777777" w:rsidR="00460C0D" w:rsidRPr="00083FEA" w:rsidRDefault="00460C0D" w:rsidP="00460C0D">
      <w:r w:rsidRPr="00083FEA">
        <w:t>University of South Australia (2024),</w:t>
      </w:r>
      <w:r w:rsidRPr="002920C9">
        <w:rPr>
          <w:i/>
          <w:iCs/>
        </w:rPr>
        <w:t xml:space="preserve"> </w:t>
      </w:r>
      <w:hyperlink r:id="rId140" w:history="1">
        <w:r w:rsidRPr="002920C9">
          <w:rPr>
            <w:i/>
            <w:iCs/>
            <w:u w:val="single" w:color="009364"/>
          </w:rPr>
          <w:t>All systems go for Australia’s first software degree apprentices - News and events - University of South Australia</w:t>
        </w:r>
      </w:hyperlink>
      <w:r w:rsidRPr="002920C9">
        <w:rPr>
          <w:i/>
          <w:iCs/>
        </w:rPr>
        <w:t>,</w:t>
      </w:r>
      <w:r w:rsidRPr="00083FEA">
        <w:t xml:space="preserve"> University of South Australia, accessed 17 November 2025. </w:t>
      </w:r>
    </w:p>
    <w:p w14:paraId="662E033A" w14:textId="77777777" w:rsidR="00460C0D" w:rsidRPr="00083FEA" w:rsidRDefault="00460C0D" w:rsidP="00460C0D">
      <w:r w:rsidRPr="00083FEA">
        <w:t>Vanderburg R, Harris L, Dargusch J and Richardson S (2023), ‘</w:t>
      </w:r>
      <w:hyperlink r:id="rId141" w:history="1">
        <w:r w:rsidRPr="00083FEA">
          <w:rPr>
            <w:u w:val="single" w:color="009364"/>
          </w:rPr>
          <w:t>Low socioeconomic status students transitioning from Vocational Education and Training (VET) to university: examining definitions of success</w:t>
        </w:r>
      </w:hyperlink>
      <w:r w:rsidRPr="00083FEA">
        <w:t xml:space="preserve">’, </w:t>
      </w:r>
      <w:r w:rsidRPr="00083FEA">
        <w:rPr>
          <w:i/>
          <w:iCs/>
        </w:rPr>
        <w:t>Higher Education Research &amp; Development</w:t>
      </w:r>
      <w:r w:rsidRPr="00083FEA">
        <w:t>, 42(3):742-756.</w:t>
      </w:r>
    </w:p>
    <w:p w14:paraId="0E3EABF4" w14:textId="77777777" w:rsidR="00460C0D" w:rsidRDefault="00460C0D" w:rsidP="00460C0D">
      <w:r w:rsidRPr="00083FEA">
        <w:t xml:space="preserve">Victorian Government (2025), ‘Skills and Jobs Centres’, Victorian Government Website, </w:t>
      </w:r>
      <w:hyperlink r:id="rId142" w:anchor="who-can-use-skills-and-jobs-centres" w:history="1">
        <w:r w:rsidRPr="00083FEA">
          <w:rPr>
            <w:u w:val="single" w:color="009364"/>
          </w:rPr>
          <w:t>Skills and Jobs Centres | vic.gov.au</w:t>
        </w:r>
      </w:hyperlink>
    </w:p>
    <w:p w14:paraId="192F5F6E" w14:textId="068BD5CA" w:rsidR="00FA734A" w:rsidRPr="003C4721" w:rsidRDefault="002745DD" w:rsidP="00460C0D">
      <w:r>
        <w:t>Victorian Skills Authority (202</w:t>
      </w:r>
      <w:r w:rsidR="00197B93">
        <w:t>6</w:t>
      </w:r>
      <w:r w:rsidR="003D4FF8">
        <w:t xml:space="preserve">), </w:t>
      </w:r>
      <w:hyperlink r:id="rId143" w:history="1">
        <w:r w:rsidR="003C4721" w:rsidRPr="003C4721">
          <w:rPr>
            <w:rStyle w:val="Hyperlink"/>
            <w:i/>
            <w:iCs/>
          </w:rPr>
          <w:t>Victorian</w:t>
        </w:r>
        <w:r w:rsidR="003D4FF8" w:rsidRPr="003C4721">
          <w:rPr>
            <w:rStyle w:val="Hyperlink"/>
            <w:i/>
            <w:iCs/>
          </w:rPr>
          <w:t xml:space="preserve"> Skills Plan</w:t>
        </w:r>
        <w:r w:rsidR="003C4721" w:rsidRPr="003C4721">
          <w:rPr>
            <w:rStyle w:val="Hyperlink"/>
            <w:i/>
            <w:iCs/>
          </w:rPr>
          <w:t>:</w:t>
        </w:r>
        <w:r w:rsidR="003D4FF8" w:rsidRPr="003C4721">
          <w:rPr>
            <w:rStyle w:val="Hyperlink"/>
            <w:i/>
            <w:iCs/>
          </w:rPr>
          <w:t xml:space="preserve"> Implementation Update for 2025</w:t>
        </w:r>
      </w:hyperlink>
      <w:r w:rsidR="003C4721">
        <w:rPr>
          <w:i/>
          <w:iCs/>
          <w:u w:color="009364" w:themeColor="accent2"/>
        </w:rPr>
        <w:t xml:space="preserve">, </w:t>
      </w:r>
      <w:r w:rsidR="003C4721">
        <w:rPr>
          <w:u w:color="009364" w:themeColor="accent2"/>
        </w:rPr>
        <w:t xml:space="preserve">Victorian Skills Authority, accessed 30 March 2026. </w:t>
      </w:r>
    </w:p>
    <w:p w14:paraId="155767FD" w14:textId="77777777" w:rsidR="00460C0D" w:rsidRPr="00083FEA" w:rsidRDefault="00460C0D" w:rsidP="00460C0D">
      <w:r w:rsidRPr="00083FEA">
        <w:t xml:space="preserve">Victorian TAFE Association (2019), ‘National Regional, Rural and Remote Education Strategy’, </w:t>
      </w:r>
      <w:hyperlink r:id="rId144" w:history="1">
        <w:r w:rsidRPr="00083FEA">
          <w:rPr>
            <w:u w:val="single" w:color="009364"/>
          </w:rPr>
          <w:t>42-victorian-tafe-association_redacted.pdf</w:t>
        </w:r>
      </w:hyperlink>
    </w:p>
    <w:p w14:paraId="553D1F2A" w14:textId="77777777" w:rsidR="00460C0D" w:rsidRPr="00083FEA" w:rsidRDefault="00460C0D" w:rsidP="00460C0D">
      <w:pPr>
        <w:rPr>
          <w:i/>
        </w:rPr>
      </w:pPr>
      <w:r w:rsidRPr="00083FEA">
        <w:t>Watson L, Hagel P, and Chesters J (2013), ‘A half-open door: pathways for VET award holders into Australian universities’, NCVER</w:t>
      </w:r>
      <w:r w:rsidRPr="00083FEA">
        <w:rPr>
          <w:i/>
          <w:iCs/>
        </w:rPr>
        <w:t xml:space="preserve">, </w:t>
      </w:r>
      <w:hyperlink r:id="rId145" w:history="1">
        <w:r w:rsidRPr="00083FEA">
          <w:rPr>
            <w:u w:val="single" w:color="009364"/>
          </w:rPr>
          <w:t>https://www.ncver.edu.au/__data/assets/file/0013/7321/half-open-door-2659.pdf</w:t>
        </w:r>
      </w:hyperlink>
      <w:r w:rsidRPr="00083FEA">
        <w:rPr>
          <w:i/>
          <w:iCs/>
        </w:rPr>
        <w:t xml:space="preserve"> </w:t>
      </w:r>
    </w:p>
    <w:p w14:paraId="24E16853" w14:textId="66F410B4" w:rsidR="00460C0D" w:rsidRPr="00083FEA" w:rsidRDefault="00460C0D" w:rsidP="00460C0D">
      <w:r w:rsidRPr="00083FEA">
        <w:t xml:space="preserve">Western Sydney University, (2025), </w:t>
      </w:r>
      <w:hyperlink r:id="rId146" w:history="1">
        <w:r w:rsidRPr="000060A2">
          <w:rPr>
            <w:rStyle w:val="Hyperlink"/>
            <w:i/>
            <w:iCs/>
          </w:rPr>
          <w:t>The College at Western</w:t>
        </w:r>
      </w:hyperlink>
      <w:r w:rsidRPr="00083FEA">
        <w:t xml:space="preserve">, </w:t>
      </w:r>
      <w:r w:rsidR="002E15FF">
        <w:t xml:space="preserve">Western Sydney University website, accessed </w:t>
      </w:r>
      <w:r w:rsidR="000060A2">
        <w:t xml:space="preserve">17 November 2025. </w:t>
      </w:r>
    </w:p>
    <w:p w14:paraId="766BF85D" w14:textId="77777777" w:rsidR="00460C0D" w:rsidRPr="00083FEA" w:rsidRDefault="00460C0D" w:rsidP="00460C0D">
      <w:pPr>
        <w:rPr>
          <w:i/>
          <w:iCs/>
        </w:rPr>
      </w:pPr>
      <w:r w:rsidRPr="00083FEA">
        <w:t xml:space="preserve">Whannell P, Humphries J, Whannell R and Usher K (2015), ‘The integration of study and work-integrated learning experience through the sequential, embedded completion of tertiary qualifications’, </w:t>
      </w:r>
      <w:r w:rsidRPr="00083FEA">
        <w:rPr>
          <w:i/>
          <w:iCs/>
        </w:rPr>
        <w:t xml:space="preserve">Asia-Pacific Journal of Cooperative Education, </w:t>
      </w:r>
      <w:r w:rsidRPr="00083FEA">
        <w:t xml:space="preserve">16(3): 175-184. </w:t>
      </w:r>
      <w:hyperlink r:id="rId147" w:history="1">
        <w:r w:rsidRPr="00083FEA">
          <w:rPr>
            <w:rStyle w:val="Hyperlink"/>
            <w:rFonts w:ascii="Arial" w:hAnsi="Arial"/>
          </w:rPr>
          <w:t>The delivery of university and VET fully integrated degree programs</w:t>
        </w:r>
      </w:hyperlink>
    </w:p>
    <w:p w14:paraId="2723FB2D" w14:textId="18436BE6" w:rsidR="00460C0D" w:rsidRDefault="00460C0D" w:rsidP="00460C0D">
      <w:proofErr w:type="spellStart"/>
      <w:r w:rsidRPr="00AA76CC">
        <w:t>Wheelahan</w:t>
      </w:r>
      <w:proofErr w:type="spellEnd"/>
      <w:r w:rsidRPr="00083FEA">
        <w:t xml:space="preserve"> L, Buchanan J and Yu S, (2015), </w:t>
      </w:r>
      <w:hyperlink r:id="rId148" w:history="1">
        <w:r w:rsidR="00405016" w:rsidRPr="00083FEA">
          <w:rPr>
            <w:rStyle w:val="Hyperlink"/>
            <w:rFonts w:ascii="Arial" w:hAnsi="Arial"/>
            <w:i/>
            <w:iCs/>
          </w:rPr>
          <w:t>Linking qualifications and the labour market through capabilities and vocational streams</w:t>
        </w:r>
      </w:hyperlink>
      <w:r w:rsidRPr="00083FEA">
        <w:t xml:space="preserve">, </w:t>
      </w:r>
      <w:r w:rsidRPr="00405016">
        <w:t>NCVER</w:t>
      </w:r>
      <w:r w:rsidRPr="00083FEA">
        <w:rPr>
          <w:i/>
          <w:iCs/>
        </w:rPr>
        <w:t xml:space="preserve">, </w:t>
      </w:r>
      <w:r w:rsidR="00714BE4">
        <w:t xml:space="preserve">accessed </w:t>
      </w:r>
      <w:r w:rsidR="00BD3714">
        <w:t xml:space="preserve">10 November 2025. </w:t>
      </w:r>
    </w:p>
    <w:p w14:paraId="2A67BCB3" w14:textId="4073F65D" w:rsidR="00460C0D" w:rsidRPr="00083FEA" w:rsidRDefault="000F6541" w:rsidP="00460C0D">
      <w:r>
        <w:t>Wheeldon</w:t>
      </w:r>
      <w:r w:rsidR="00A6168C">
        <w:t xml:space="preserve"> AL, Whitty SJ and Van Der Hoon B</w:t>
      </w:r>
      <w:r w:rsidR="00703385">
        <w:t>,</w:t>
      </w:r>
      <w:r w:rsidR="00A6168C">
        <w:t xml:space="preserve"> (2023), ‘</w:t>
      </w:r>
      <w:r w:rsidR="004C5BC2" w:rsidRPr="004C5BC2">
        <w:t>Burnt out by underinvestment: Why university professional staff suffer amidst the Australian work-integrated learning system</w:t>
      </w:r>
      <w:r w:rsidR="004C5BC2">
        <w:t xml:space="preserve">’, </w:t>
      </w:r>
      <w:r w:rsidR="00A6168C" w:rsidRPr="003852C3">
        <w:rPr>
          <w:i/>
        </w:rPr>
        <w:t>I</w:t>
      </w:r>
      <w:r w:rsidR="00A6168C" w:rsidRPr="00D65380">
        <w:rPr>
          <w:i/>
          <w:iCs/>
        </w:rPr>
        <w:t>nternational Journal of Work-Integrated Learning</w:t>
      </w:r>
      <w:r w:rsidR="004C5BC2">
        <w:rPr>
          <w:i/>
          <w:iCs/>
        </w:rPr>
        <w:t xml:space="preserve">, </w:t>
      </w:r>
      <w:r w:rsidR="00A6168C" w:rsidRPr="00A6168C">
        <w:t>24(1)</w:t>
      </w:r>
      <w:r w:rsidR="004C5BC2">
        <w:t xml:space="preserve">: </w:t>
      </w:r>
      <w:r w:rsidR="00A6168C" w:rsidRPr="00A6168C">
        <w:t>99-11</w:t>
      </w:r>
      <w:r w:rsidR="004C5BC2">
        <w:t xml:space="preserve">5, </w:t>
      </w:r>
      <w:hyperlink r:id="rId149" w:history="1">
        <w:r w:rsidR="004C5BC2" w:rsidRPr="004C5BC2">
          <w:rPr>
            <w:rStyle w:val="Hyperlink"/>
          </w:rPr>
          <w:t>IJWIL_24_1_99_115.pdf</w:t>
        </w:r>
      </w:hyperlink>
    </w:p>
    <w:p w14:paraId="200E951B" w14:textId="5E46A369" w:rsidR="0098053D" w:rsidRDefault="00460C0D" w:rsidP="00AD0A03">
      <w:r w:rsidRPr="00083FEA">
        <w:t xml:space="preserve">Wibrow B (2022), </w:t>
      </w:r>
      <w:hyperlink r:id="rId150" w:history="1">
        <w:r w:rsidRPr="00BD3714">
          <w:rPr>
            <w:rStyle w:val="Hyperlink"/>
            <w:i/>
            <w:iCs/>
          </w:rPr>
          <w:t>VET and higher education pathways – do outcomes differ for the same occupation?</w:t>
        </w:r>
        <w:r w:rsidR="00BD3714" w:rsidRPr="00BD3714">
          <w:rPr>
            <w:rStyle w:val="Hyperlink"/>
          </w:rPr>
          <w:t>,</w:t>
        </w:r>
      </w:hyperlink>
      <w:r w:rsidRPr="00083FEA">
        <w:t xml:space="preserve"> NCVER</w:t>
      </w:r>
      <w:r w:rsidR="00BD3714">
        <w:t xml:space="preserve"> website</w:t>
      </w:r>
      <w:r w:rsidRPr="00083FEA">
        <w:t xml:space="preserve">, </w:t>
      </w:r>
      <w:r w:rsidR="00BD3714">
        <w:t>accessed 9 November 2025.</w:t>
      </w:r>
    </w:p>
    <w:p w14:paraId="56F7E7A8" w14:textId="77777777" w:rsidR="0098053D" w:rsidRDefault="0098053D">
      <w:pPr>
        <w:spacing w:line="260" w:lineRule="atLeast"/>
      </w:pPr>
      <w:r>
        <w:br w:type="page"/>
      </w:r>
    </w:p>
    <w:p w14:paraId="74A7A3DF" w14:textId="77777777" w:rsidR="00AD0A03" w:rsidRPr="00AD0A03" w:rsidRDefault="00AD0A03" w:rsidP="00AD0A03"/>
    <w:sectPr w:rsidR="00AD0A03" w:rsidRPr="00AD0A03" w:rsidSect="00FE48F1">
      <w:pgSz w:w="11907" w:h="16839" w:code="9"/>
      <w:pgMar w:top="1077" w:right="1134" w:bottom="1134" w:left="1134" w:header="567" w:footer="8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E484" w14:textId="77777777" w:rsidR="00C66439" w:rsidRPr="008C4640" w:rsidRDefault="00C66439" w:rsidP="002B7185">
      <w:r>
        <w:pict w14:anchorId="24E43FE1">
          <v:rect id="_x0000_i1027" style="width:0;height:1.5pt" o:hralign="center" o:hrstd="t" o:hr="t" fillcolor="#a0a0a0" stroked="f"/>
        </w:pict>
      </w:r>
    </w:p>
  </w:endnote>
  <w:endnote w:type="continuationSeparator" w:id="0">
    <w:p w14:paraId="2BB02504" w14:textId="77777777" w:rsidR="00C66439" w:rsidRPr="008C4640" w:rsidRDefault="00C66439" w:rsidP="002B7185">
      <w:r>
        <w:pict w14:anchorId="6373710E">
          <v:rect id="_x0000_i1028" style="width:0;height:1.5pt" o:hralign="center" o:hrstd="t" o:hr="t" fillcolor="#a0a0a0" stroked="f"/>
        </w:pict>
      </w:r>
    </w:p>
  </w:endnote>
  <w:endnote w:type="continuationNotice" w:id="1">
    <w:p w14:paraId="5E9A2639" w14:textId="77777777" w:rsidR="00C66439" w:rsidRPr="008C4640" w:rsidRDefault="00C6643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rPr>
      <w:id w:val="584960572"/>
      <w:docPartObj>
        <w:docPartGallery w:val="Page Numbers (Bottom of Page)"/>
        <w:docPartUnique/>
      </w:docPartObj>
    </w:sdtPr>
    <w:sdtEndPr>
      <w:rPr>
        <w:noProof/>
      </w:rPr>
    </w:sdtEndPr>
    <w:sdtContent>
      <w:p w14:paraId="2FC4A65D" w14:textId="2F2AA0FD" w:rsidR="004C10B7" w:rsidRPr="00283830" w:rsidRDefault="004C10B7">
        <w:pPr>
          <w:pStyle w:val="Footer"/>
          <w:rPr>
            <w:b w:val="0"/>
            <w:bCs/>
          </w:rPr>
        </w:pPr>
        <w:r w:rsidRPr="00283830">
          <w:rPr>
            <w:b w:val="0"/>
            <w:bCs/>
          </w:rPr>
          <w:fldChar w:fldCharType="begin"/>
        </w:r>
        <w:r w:rsidRPr="00283830">
          <w:rPr>
            <w:b w:val="0"/>
            <w:bCs/>
          </w:rPr>
          <w:instrText xml:space="preserve"> PAGE   \* MERGEFORMAT </w:instrText>
        </w:r>
        <w:r w:rsidRPr="00283830">
          <w:rPr>
            <w:b w:val="0"/>
            <w:bCs/>
          </w:rPr>
          <w:fldChar w:fldCharType="separate"/>
        </w:r>
        <w:r w:rsidRPr="00283830">
          <w:rPr>
            <w:b w:val="0"/>
            <w:bCs/>
            <w:noProof/>
          </w:rPr>
          <w:t>2</w:t>
        </w:r>
        <w:r w:rsidRPr="00283830">
          <w:rPr>
            <w:b w:val="0"/>
            <w:bCs/>
            <w:noProof/>
          </w:rPr>
          <w:fldChar w:fldCharType="end"/>
        </w:r>
      </w:p>
    </w:sdtContent>
  </w:sdt>
  <w:p w14:paraId="7019EDFF" w14:textId="1E5DDE53" w:rsidR="004C10B7" w:rsidRDefault="00B00AA7">
    <w:pPr>
      <w:pStyle w:val="Footer"/>
    </w:pPr>
    <w:r>
      <w:br/>
    </w:r>
    <w:r w:rsidR="003D0F17">
      <w:t>A More Joined-up Tertiary System: Discussion Paper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42D6" w14:textId="3A003B47" w:rsidR="00FB289F" w:rsidRDefault="00DF773E">
    <w:pPr>
      <w:pStyle w:val="Footer"/>
    </w:pPr>
    <w:r>
      <w:t>A More Joined-up Tertiary System: Discussion Paper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DCFA4" w14:textId="77777777" w:rsidR="00C66439" w:rsidRPr="008C4640" w:rsidRDefault="00C66439" w:rsidP="007A42F5">
      <w:pPr>
        <w:ind w:right="7370"/>
      </w:pPr>
      <w:r>
        <w:pict w14:anchorId="168A355B">
          <v:rect id="_x0000_i1025" style="width:0;height:1.5pt" o:hralign="center" o:hrstd="t" o:hr="t" fillcolor="#a0a0a0" stroked="f"/>
        </w:pict>
      </w:r>
    </w:p>
  </w:footnote>
  <w:footnote w:type="continuationSeparator" w:id="0">
    <w:p w14:paraId="73CCBB51" w14:textId="77777777" w:rsidR="00C66439" w:rsidRPr="008C4640" w:rsidRDefault="00C66439" w:rsidP="007A42F5">
      <w:pPr>
        <w:ind w:right="7370"/>
      </w:pPr>
      <w:r>
        <w:pict w14:anchorId="4F2DA373">
          <v:rect id="_x0000_i1026" style="width:0;height:1.5pt" o:hralign="center" o:hrstd="t" o:hr="t" fillcolor="#a0a0a0" stroked="f"/>
        </w:pict>
      </w:r>
    </w:p>
  </w:footnote>
  <w:footnote w:type="continuationNotice" w:id="1">
    <w:p w14:paraId="432A148C" w14:textId="77777777" w:rsidR="00C66439" w:rsidRPr="008C4640" w:rsidRDefault="00C66439" w:rsidP="002B7185"/>
  </w:footnote>
  <w:footnote w:id="2">
    <w:p w14:paraId="3975E0FC" w14:textId="6A2E3F51" w:rsidR="00D74D3D" w:rsidRPr="00325E8B" w:rsidRDefault="00D74D3D">
      <w:pPr>
        <w:pStyle w:val="FootnoteText"/>
      </w:pPr>
      <w:r>
        <w:rPr>
          <w:rStyle w:val="FootnoteReference"/>
        </w:rPr>
        <w:footnoteRef/>
      </w:r>
      <w:r>
        <w:t xml:space="preserve"> </w:t>
      </w:r>
      <w:r w:rsidR="00B011BF">
        <w:t>Higher Education Statistics only cover</w:t>
      </w:r>
      <w:r w:rsidR="00325E8B">
        <w:t>s</w:t>
      </w:r>
      <w:r w:rsidR="00B011BF">
        <w:t xml:space="preserve"> higher education providers approved under the </w:t>
      </w:r>
      <w:r w:rsidR="00B011BF">
        <w:rPr>
          <w:i/>
          <w:iCs/>
        </w:rPr>
        <w:t>Higher Education Support Act (</w:t>
      </w:r>
      <w:r w:rsidR="00325E8B">
        <w:rPr>
          <w:i/>
          <w:iCs/>
        </w:rPr>
        <w:t xml:space="preserve">2003). </w:t>
      </w:r>
      <w:r w:rsidR="00325E8B">
        <w:t xml:space="preserve">The student load of </w:t>
      </w:r>
      <w:r w:rsidR="00295BEC">
        <w:t xml:space="preserve">some </w:t>
      </w:r>
      <w:r w:rsidR="00325E8B">
        <w:t>private providers</w:t>
      </w:r>
      <w:r w:rsidR="00295BEC">
        <w:t xml:space="preserve"> has not been counted.</w:t>
      </w:r>
    </w:p>
  </w:footnote>
  <w:footnote w:id="3">
    <w:p w14:paraId="2C1A8D25" w14:textId="3B070122" w:rsidR="00F45FAA" w:rsidRDefault="00F45FAA">
      <w:pPr>
        <w:pStyle w:val="FootnoteText"/>
      </w:pPr>
      <w:r>
        <w:rPr>
          <w:rStyle w:val="FootnoteReference"/>
        </w:rPr>
        <w:footnoteRef/>
      </w:r>
      <w:r>
        <w:t xml:space="preserve"> </w:t>
      </w:r>
      <w:r w:rsidRPr="00F45FAA">
        <w:t>This analysis examined national outcomes for domestic, non-school VET graduates who completed a nationally recognised qualification in 2020–21, with a focus on cohorts (female, First Nations, and graduates with disability) and variation by student characteristics such as age, location, and prior employment status</w:t>
      </w:r>
    </w:p>
  </w:footnote>
  <w:footnote w:id="4">
    <w:p w14:paraId="23779177" w14:textId="09CB7579" w:rsidR="00F05A27" w:rsidRPr="008C4640" w:rsidRDefault="00F05A27" w:rsidP="00F05A27">
      <w:pPr>
        <w:pStyle w:val="FootnoteText"/>
      </w:pPr>
      <w:r w:rsidRPr="008C4640">
        <w:rPr>
          <w:rStyle w:val="FootnoteReference"/>
        </w:rPr>
        <w:footnoteRef/>
      </w:r>
      <w:r w:rsidRPr="008C4640">
        <w:t xml:space="preserve"> </w:t>
      </w:r>
      <w:r w:rsidRPr="00D814E9">
        <w:rPr>
          <w:rFonts w:ascii="Arial" w:eastAsia="Arial" w:hAnsi="Arial" w:cs="Arial"/>
          <w:sz w:val="18"/>
          <w:szCs w:val="18"/>
        </w:rPr>
        <w:t xml:space="preserve">Higher education data </w:t>
      </w:r>
      <w:r w:rsidR="00CE6FAA">
        <w:rPr>
          <w:rFonts w:ascii="Arial" w:eastAsia="Arial" w:hAnsi="Arial" w:cs="Arial"/>
          <w:sz w:val="18"/>
          <w:szCs w:val="18"/>
        </w:rPr>
        <w:t>may undercount</w:t>
      </w:r>
      <w:r w:rsidR="00CE6FAA" w:rsidRPr="00D814E9">
        <w:rPr>
          <w:rFonts w:ascii="Arial" w:eastAsia="Arial" w:hAnsi="Arial" w:cs="Arial"/>
          <w:sz w:val="18"/>
          <w:szCs w:val="18"/>
        </w:rPr>
        <w:t xml:space="preserve"> </w:t>
      </w:r>
      <w:r w:rsidRPr="00D814E9">
        <w:rPr>
          <w:rFonts w:ascii="Arial" w:eastAsia="Arial" w:hAnsi="Arial" w:cs="Arial"/>
          <w:sz w:val="18"/>
          <w:szCs w:val="18"/>
        </w:rPr>
        <w:t xml:space="preserve">VET basis of admission because any learner who finished school within the previous 3 years will automatically have </w:t>
      </w:r>
      <w:r w:rsidR="00CE6FAA">
        <w:rPr>
          <w:rFonts w:ascii="Arial" w:eastAsia="Arial" w:hAnsi="Arial" w:cs="Arial"/>
          <w:sz w:val="18"/>
          <w:szCs w:val="18"/>
        </w:rPr>
        <w:t xml:space="preserve">secondary </w:t>
      </w:r>
      <w:r w:rsidRPr="00D814E9">
        <w:rPr>
          <w:rFonts w:ascii="Arial" w:eastAsia="Arial" w:hAnsi="Arial" w:cs="Arial"/>
          <w:sz w:val="18"/>
          <w:szCs w:val="18"/>
        </w:rPr>
        <w:t>school listed as their basis of admission, even if they transitioned through VET.</w:t>
      </w:r>
    </w:p>
  </w:footnote>
  <w:footnote w:id="5">
    <w:p w14:paraId="6B9140EA" w14:textId="5BC4E511" w:rsidR="007E644B" w:rsidRDefault="007E644B">
      <w:pPr>
        <w:pStyle w:val="FootnoteText"/>
      </w:pPr>
      <w:r>
        <w:rPr>
          <w:rStyle w:val="FootnoteReference"/>
        </w:rPr>
        <w:footnoteRef/>
      </w:r>
      <w:r>
        <w:t xml:space="preserve"> </w:t>
      </w:r>
      <w:r w:rsidR="007B3813" w:rsidRPr="007B3813">
        <w:t>Based on the first reported address for the student.</w:t>
      </w:r>
    </w:p>
  </w:footnote>
  <w:footnote w:id="6">
    <w:p w14:paraId="52C69104" w14:textId="0E82988E" w:rsidR="006070DA" w:rsidRDefault="006070DA">
      <w:pPr>
        <w:pStyle w:val="FootnoteText"/>
      </w:pPr>
      <w:r>
        <w:rPr>
          <w:rStyle w:val="FootnoteReference"/>
        </w:rPr>
        <w:footnoteRef/>
      </w:r>
      <w:r>
        <w:t xml:space="preserve"> Analysis is limited to students with a prior VET qualification who have no evidence of prior higher education study in Australia.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703A2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F5A9A"/>
    <w:multiLevelType w:val="hybridMultilevel"/>
    <w:tmpl w:val="00761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8533DC"/>
    <w:multiLevelType w:val="hybridMultilevel"/>
    <w:tmpl w:val="6F22E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5095540"/>
    <w:multiLevelType w:val="hybridMultilevel"/>
    <w:tmpl w:val="7990F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531C11"/>
    <w:multiLevelType w:val="hybridMultilevel"/>
    <w:tmpl w:val="EAEC2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023D24"/>
    <w:multiLevelType w:val="hybridMultilevel"/>
    <w:tmpl w:val="AB80D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3C3F52"/>
    <w:multiLevelType w:val="multilevel"/>
    <w:tmpl w:val="13F4C276"/>
    <w:lvl w:ilvl="0">
      <w:start w:val="1"/>
      <w:numFmt w:val="decimal"/>
      <w:pStyle w:val="NotesNumbered"/>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0C6D687C"/>
    <w:multiLevelType w:val="multilevel"/>
    <w:tmpl w:val="28E8CB1E"/>
    <w:lvl w:ilvl="0">
      <w:start w:val="1"/>
      <w:numFmt w:val="bullet"/>
      <w:lvlText w:val=""/>
      <w:lvlJc w:val="left"/>
      <w:pPr>
        <w:ind w:left="480" w:hanging="48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0CF55231"/>
    <w:multiLevelType w:val="multilevel"/>
    <w:tmpl w:val="C97047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D1D4F19"/>
    <w:multiLevelType w:val="multilevel"/>
    <w:tmpl w:val="8D209878"/>
    <w:lvl w:ilvl="0">
      <w:start w:val="1"/>
      <w:numFmt w:val="bullet"/>
      <w:lvlText w:val=""/>
      <w:lvlJc w:val="left"/>
      <w:pPr>
        <w:ind w:left="480" w:hanging="48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0DA64201"/>
    <w:multiLevelType w:val="hybridMultilevel"/>
    <w:tmpl w:val="CA84C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F0703C"/>
    <w:multiLevelType w:val="hybridMultilevel"/>
    <w:tmpl w:val="EBC6C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0B6AB4"/>
    <w:multiLevelType w:val="hybridMultilevel"/>
    <w:tmpl w:val="77B84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A40E4B"/>
    <w:multiLevelType w:val="hybridMultilevel"/>
    <w:tmpl w:val="0C5C98AC"/>
    <w:lvl w:ilvl="0" w:tplc="0C09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1D12A3B"/>
    <w:multiLevelType w:val="multilevel"/>
    <w:tmpl w:val="E1DC300A"/>
    <w:lvl w:ilvl="0">
      <w:start w:val="1"/>
      <w:numFmt w:val="decimal"/>
      <w:lvlText w:val="%1."/>
      <w:lvlJc w:val="left"/>
      <w:pPr>
        <w:ind w:left="480" w:hanging="480"/>
      </w:pPr>
      <w:rPr>
        <w:rFonts w:hint="default"/>
        <w:i w:val="0"/>
        <w:iCs w:val="0"/>
        <w:color w:val="009364" w:themeColor="accent2"/>
        <w:sz w:val="48"/>
        <w:szCs w:val="40"/>
      </w:rPr>
    </w:lvl>
    <w:lvl w:ilvl="1">
      <w:start w:val="1"/>
      <w:numFmt w:val="decimal"/>
      <w:lvlText w:val="%1.%2."/>
      <w:lvlJc w:val="left"/>
      <w:pPr>
        <w:ind w:left="862"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1234764D"/>
    <w:multiLevelType w:val="multilevel"/>
    <w:tmpl w:val="8D209878"/>
    <w:lvl w:ilvl="0">
      <w:start w:val="1"/>
      <w:numFmt w:val="bullet"/>
      <w:lvlText w:val=""/>
      <w:lvlJc w:val="left"/>
      <w:pPr>
        <w:ind w:left="480" w:hanging="48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153C4448"/>
    <w:multiLevelType w:val="hybridMultilevel"/>
    <w:tmpl w:val="82F0D0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67B14C2"/>
    <w:multiLevelType w:val="hybridMultilevel"/>
    <w:tmpl w:val="0B1ED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C409E2"/>
    <w:multiLevelType w:val="hybridMultilevel"/>
    <w:tmpl w:val="FFFFFFFF"/>
    <w:lvl w:ilvl="0" w:tplc="3F589676">
      <w:start w:val="1"/>
      <w:numFmt w:val="bullet"/>
      <w:lvlText w:val=""/>
      <w:lvlJc w:val="left"/>
      <w:pPr>
        <w:ind w:left="720" w:hanging="360"/>
      </w:pPr>
      <w:rPr>
        <w:rFonts w:ascii="Symbol" w:hAnsi="Symbol" w:hint="default"/>
      </w:rPr>
    </w:lvl>
    <w:lvl w:ilvl="1" w:tplc="CBEA6942">
      <w:start w:val="1"/>
      <w:numFmt w:val="bullet"/>
      <w:lvlText w:val="o"/>
      <w:lvlJc w:val="left"/>
      <w:pPr>
        <w:ind w:left="1440" w:hanging="360"/>
      </w:pPr>
      <w:rPr>
        <w:rFonts w:ascii="Courier New" w:hAnsi="Courier New" w:hint="default"/>
      </w:rPr>
    </w:lvl>
    <w:lvl w:ilvl="2" w:tplc="628C014E">
      <w:start w:val="1"/>
      <w:numFmt w:val="bullet"/>
      <w:lvlText w:val=""/>
      <w:lvlJc w:val="left"/>
      <w:pPr>
        <w:ind w:left="2160" w:hanging="360"/>
      </w:pPr>
      <w:rPr>
        <w:rFonts w:ascii="Wingdings" w:hAnsi="Wingdings" w:hint="default"/>
      </w:rPr>
    </w:lvl>
    <w:lvl w:ilvl="3" w:tplc="698807E0">
      <w:start w:val="1"/>
      <w:numFmt w:val="bullet"/>
      <w:lvlText w:val=""/>
      <w:lvlJc w:val="left"/>
      <w:pPr>
        <w:ind w:left="2880" w:hanging="360"/>
      </w:pPr>
      <w:rPr>
        <w:rFonts w:ascii="Symbol" w:hAnsi="Symbol" w:hint="default"/>
      </w:rPr>
    </w:lvl>
    <w:lvl w:ilvl="4" w:tplc="92DA60E2">
      <w:start w:val="1"/>
      <w:numFmt w:val="bullet"/>
      <w:lvlText w:val="o"/>
      <w:lvlJc w:val="left"/>
      <w:pPr>
        <w:ind w:left="3600" w:hanging="360"/>
      </w:pPr>
      <w:rPr>
        <w:rFonts w:ascii="Courier New" w:hAnsi="Courier New" w:hint="default"/>
      </w:rPr>
    </w:lvl>
    <w:lvl w:ilvl="5" w:tplc="2A3209DC">
      <w:start w:val="1"/>
      <w:numFmt w:val="bullet"/>
      <w:lvlText w:val=""/>
      <w:lvlJc w:val="left"/>
      <w:pPr>
        <w:ind w:left="4320" w:hanging="360"/>
      </w:pPr>
      <w:rPr>
        <w:rFonts w:ascii="Wingdings" w:hAnsi="Wingdings" w:hint="default"/>
      </w:rPr>
    </w:lvl>
    <w:lvl w:ilvl="6" w:tplc="950A1436">
      <w:start w:val="1"/>
      <w:numFmt w:val="bullet"/>
      <w:lvlText w:val=""/>
      <w:lvlJc w:val="left"/>
      <w:pPr>
        <w:ind w:left="5040" w:hanging="360"/>
      </w:pPr>
      <w:rPr>
        <w:rFonts w:ascii="Symbol" w:hAnsi="Symbol" w:hint="default"/>
      </w:rPr>
    </w:lvl>
    <w:lvl w:ilvl="7" w:tplc="C16010C8">
      <w:start w:val="1"/>
      <w:numFmt w:val="bullet"/>
      <w:lvlText w:val="o"/>
      <w:lvlJc w:val="left"/>
      <w:pPr>
        <w:ind w:left="5760" w:hanging="360"/>
      </w:pPr>
      <w:rPr>
        <w:rFonts w:ascii="Courier New" w:hAnsi="Courier New" w:hint="default"/>
      </w:rPr>
    </w:lvl>
    <w:lvl w:ilvl="8" w:tplc="0840D478">
      <w:start w:val="1"/>
      <w:numFmt w:val="bullet"/>
      <w:lvlText w:val=""/>
      <w:lvlJc w:val="left"/>
      <w:pPr>
        <w:ind w:left="6480" w:hanging="360"/>
      </w:pPr>
      <w:rPr>
        <w:rFonts w:ascii="Wingdings" w:hAnsi="Wingdings" w:hint="default"/>
      </w:rPr>
    </w:lvl>
  </w:abstractNum>
  <w:abstractNum w:abstractNumId="21" w15:restartNumberingAfterBreak="0">
    <w:nsid w:val="18A34E6F"/>
    <w:multiLevelType w:val="hybridMultilevel"/>
    <w:tmpl w:val="5860EBF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1032"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01032" w:themeColor="text2"/>
        <w:position w:val="2"/>
        <w:sz w:val="20"/>
      </w:rPr>
    </w:lvl>
    <w:lvl w:ilvl="2">
      <w:start w:val="1"/>
      <w:numFmt w:val="bullet"/>
      <w:lvlText w:val="–"/>
      <w:lvlJc w:val="left"/>
      <w:pPr>
        <w:tabs>
          <w:tab w:val="num" w:pos="1361"/>
        </w:tabs>
        <w:ind w:left="1361" w:hanging="340"/>
      </w:pPr>
      <w:rPr>
        <w:rFonts w:ascii="Arial" w:hAnsi="Arial" w:hint="default"/>
        <w:color w:val="00103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1A684B3F"/>
    <w:multiLevelType w:val="hybridMultilevel"/>
    <w:tmpl w:val="F49A37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AFB439B"/>
    <w:multiLevelType w:val="hybridMultilevel"/>
    <w:tmpl w:val="A51E007E"/>
    <w:lvl w:ilvl="0" w:tplc="56B489EE">
      <w:start w:val="1"/>
      <w:numFmt w:val="bullet"/>
      <w:lvlText w:val=""/>
      <w:lvlJc w:val="left"/>
      <w:pPr>
        <w:ind w:left="1080" w:hanging="360"/>
      </w:pPr>
      <w:rPr>
        <w:rFonts w:ascii="Symbol" w:hAnsi="Symbol"/>
      </w:rPr>
    </w:lvl>
    <w:lvl w:ilvl="1" w:tplc="F3B62FA0">
      <w:start w:val="1"/>
      <w:numFmt w:val="bullet"/>
      <w:lvlText w:val=""/>
      <w:lvlJc w:val="left"/>
      <w:pPr>
        <w:ind w:left="1080" w:hanging="360"/>
      </w:pPr>
      <w:rPr>
        <w:rFonts w:ascii="Symbol" w:hAnsi="Symbol"/>
      </w:rPr>
    </w:lvl>
    <w:lvl w:ilvl="2" w:tplc="59B4D6AA">
      <w:start w:val="1"/>
      <w:numFmt w:val="bullet"/>
      <w:lvlText w:val=""/>
      <w:lvlJc w:val="left"/>
      <w:pPr>
        <w:ind w:left="1080" w:hanging="360"/>
      </w:pPr>
      <w:rPr>
        <w:rFonts w:ascii="Symbol" w:hAnsi="Symbol"/>
      </w:rPr>
    </w:lvl>
    <w:lvl w:ilvl="3" w:tplc="C0620E3E">
      <w:start w:val="1"/>
      <w:numFmt w:val="bullet"/>
      <w:lvlText w:val=""/>
      <w:lvlJc w:val="left"/>
      <w:pPr>
        <w:ind w:left="1080" w:hanging="360"/>
      </w:pPr>
      <w:rPr>
        <w:rFonts w:ascii="Symbol" w:hAnsi="Symbol"/>
      </w:rPr>
    </w:lvl>
    <w:lvl w:ilvl="4" w:tplc="AF664CA0">
      <w:start w:val="1"/>
      <w:numFmt w:val="bullet"/>
      <w:lvlText w:val=""/>
      <w:lvlJc w:val="left"/>
      <w:pPr>
        <w:ind w:left="1080" w:hanging="360"/>
      </w:pPr>
      <w:rPr>
        <w:rFonts w:ascii="Symbol" w:hAnsi="Symbol"/>
      </w:rPr>
    </w:lvl>
    <w:lvl w:ilvl="5" w:tplc="1C1E04CE">
      <w:start w:val="1"/>
      <w:numFmt w:val="bullet"/>
      <w:lvlText w:val=""/>
      <w:lvlJc w:val="left"/>
      <w:pPr>
        <w:ind w:left="1080" w:hanging="360"/>
      </w:pPr>
      <w:rPr>
        <w:rFonts w:ascii="Symbol" w:hAnsi="Symbol"/>
      </w:rPr>
    </w:lvl>
    <w:lvl w:ilvl="6" w:tplc="A7F2929E">
      <w:start w:val="1"/>
      <w:numFmt w:val="bullet"/>
      <w:lvlText w:val=""/>
      <w:lvlJc w:val="left"/>
      <w:pPr>
        <w:ind w:left="1080" w:hanging="360"/>
      </w:pPr>
      <w:rPr>
        <w:rFonts w:ascii="Symbol" w:hAnsi="Symbol"/>
      </w:rPr>
    </w:lvl>
    <w:lvl w:ilvl="7" w:tplc="3DD0A9F0">
      <w:start w:val="1"/>
      <w:numFmt w:val="bullet"/>
      <w:lvlText w:val=""/>
      <w:lvlJc w:val="left"/>
      <w:pPr>
        <w:ind w:left="1080" w:hanging="360"/>
      </w:pPr>
      <w:rPr>
        <w:rFonts w:ascii="Symbol" w:hAnsi="Symbol"/>
      </w:rPr>
    </w:lvl>
    <w:lvl w:ilvl="8" w:tplc="FFCA8738">
      <w:start w:val="1"/>
      <w:numFmt w:val="bullet"/>
      <w:lvlText w:val=""/>
      <w:lvlJc w:val="left"/>
      <w:pPr>
        <w:ind w:left="1080" w:hanging="360"/>
      </w:pPr>
      <w:rPr>
        <w:rFonts w:ascii="Symbol" w:hAnsi="Symbol"/>
      </w:rPr>
    </w:lvl>
  </w:abstractNum>
  <w:abstractNum w:abstractNumId="25" w15:restartNumberingAfterBreak="0">
    <w:nsid w:val="1BB06CF6"/>
    <w:multiLevelType w:val="hybridMultilevel"/>
    <w:tmpl w:val="E6CEFE74"/>
    <w:lvl w:ilvl="0" w:tplc="4FD4E78E">
      <w:start w:val="1"/>
      <w:numFmt w:val="bullet"/>
      <w:lvlText w:val=""/>
      <w:lvlJc w:val="left"/>
      <w:pPr>
        <w:ind w:left="1020" w:hanging="360"/>
      </w:pPr>
      <w:rPr>
        <w:rFonts w:ascii="Symbol" w:hAnsi="Symbol"/>
      </w:rPr>
    </w:lvl>
    <w:lvl w:ilvl="1" w:tplc="E18424B4">
      <w:start w:val="1"/>
      <w:numFmt w:val="bullet"/>
      <w:lvlText w:val=""/>
      <w:lvlJc w:val="left"/>
      <w:pPr>
        <w:ind w:left="1020" w:hanging="360"/>
      </w:pPr>
      <w:rPr>
        <w:rFonts w:ascii="Symbol" w:hAnsi="Symbol"/>
      </w:rPr>
    </w:lvl>
    <w:lvl w:ilvl="2" w:tplc="72EA1D68">
      <w:start w:val="1"/>
      <w:numFmt w:val="bullet"/>
      <w:lvlText w:val=""/>
      <w:lvlJc w:val="left"/>
      <w:pPr>
        <w:ind w:left="1020" w:hanging="360"/>
      </w:pPr>
      <w:rPr>
        <w:rFonts w:ascii="Symbol" w:hAnsi="Symbol"/>
      </w:rPr>
    </w:lvl>
    <w:lvl w:ilvl="3" w:tplc="726C0EB8">
      <w:start w:val="1"/>
      <w:numFmt w:val="bullet"/>
      <w:lvlText w:val=""/>
      <w:lvlJc w:val="left"/>
      <w:pPr>
        <w:ind w:left="1020" w:hanging="360"/>
      </w:pPr>
      <w:rPr>
        <w:rFonts w:ascii="Symbol" w:hAnsi="Symbol"/>
      </w:rPr>
    </w:lvl>
    <w:lvl w:ilvl="4" w:tplc="27BA5B90">
      <w:start w:val="1"/>
      <w:numFmt w:val="bullet"/>
      <w:lvlText w:val=""/>
      <w:lvlJc w:val="left"/>
      <w:pPr>
        <w:ind w:left="1020" w:hanging="360"/>
      </w:pPr>
      <w:rPr>
        <w:rFonts w:ascii="Symbol" w:hAnsi="Symbol"/>
      </w:rPr>
    </w:lvl>
    <w:lvl w:ilvl="5" w:tplc="30860002">
      <w:start w:val="1"/>
      <w:numFmt w:val="bullet"/>
      <w:lvlText w:val=""/>
      <w:lvlJc w:val="left"/>
      <w:pPr>
        <w:ind w:left="1020" w:hanging="360"/>
      </w:pPr>
      <w:rPr>
        <w:rFonts w:ascii="Symbol" w:hAnsi="Symbol"/>
      </w:rPr>
    </w:lvl>
    <w:lvl w:ilvl="6" w:tplc="A5F29D22">
      <w:start w:val="1"/>
      <w:numFmt w:val="bullet"/>
      <w:lvlText w:val=""/>
      <w:lvlJc w:val="left"/>
      <w:pPr>
        <w:ind w:left="1020" w:hanging="360"/>
      </w:pPr>
      <w:rPr>
        <w:rFonts w:ascii="Symbol" w:hAnsi="Symbol"/>
      </w:rPr>
    </w:lvl>
    <w:lvl w:ilvl="7" w:tplc="AEA2051A">
      <w:start w:val="1"/>
      <w:numFmt w:val="bullet"/>
      <w:lvlText w:val=""/>
      <w:lvlJc w:val="left"/>
      <w:pPr>
        <w:ind w:left="1020" w:hanging="360"/>
      </w:pPr>
      <w:rPr>
        <w:rFonts w:ascii="Symbol" w:hAnsi="Symbol"/>
      </w:rPr>
    </w:lvl>
    <w:lvl w:ilvl="8" w:tplc="39E20538">
      <w:start w:val="1"/>
      <w:numFmt w:val="bullet"/>
      <w:lvlText w:val=""/>
      <w:lvlJc w:val="left"/>
      <w:pPr>
        <w:ind w:left="1020" w:hanging="360"/>
      </w:pPr>
      <w:rPr>
        <w:rFonts w:ascii="Symbol" w:hAnsi="Symbol"/>
      </w:rPr>
    </w:lvl>
  </w:abstractNum>
  <w:abstractNum w:abstractNumId="26" w15:restartNumberingAfterBreak="0">
    <w:nsid w:val="2152A8C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22026E6B"/>
    <w:multiLevelType w:val="multilevel"/>
    <w:tmpl w:val="7D50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2096F89"/>
    <w:multiLevelType w:val="hybridMultilevel"/>
    <w:tmpl w:val="64CAF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38C6013"/>
    <w:multiLevelType w:val="hybridMultilevel"/>
    <w:tmpl w:val="E1C61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41F7AEA"/>
    <w:multiLevelType w:val="hybridMultilevel"/>
    <w:tmpl w:val="7DA48BE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6F96510"/>
    <w:multiLevelType w:val="hybridMultilevel"/>
    <w:tmpl w:val="CE3A1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7274F5F"/>
    <w:multiLevelType w:val="hybridMultilevel"/>
    <w:tmpl w:val="75C80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7453F7F"/>
    <w:multiLevelType w:val="hybridMultilevel"/>
    <w:tmpl w:val="448E7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7C445F5"/>
    <w:multiLevelType w:val="multilevel"/>
    <w:tmpl w:val="4972262A"/>
    <w:styleLink w:val="HangingList"/>
    <w:lvl w:ilvl="0">
      <w:start w:val="1"/>
      <w:numFmt w:val="none"/>
      <w:pStyle w:val="ListContinue"/>
      <w:suff w:val="nothing"/>
      <w:lvlText w:val=""/>
      <w:lvlJc w:val="left"/>
      <w:pPr>
        <w:ind w:left="794" w:hanging="397"/>
      </w:pPr>
      <w:rPr>
        <w:rFonts w:hint="default"/>
      </w:rPr>
    </w:lvl>
    <w:lvl w:ilvl="1">
      <w:start w:val="1"/>
      <w:numFmt w:val="none"/>
      <w:pStyle w:val="ListContinue2"/>
      <w:suff w:val="nothing"/>
      <w:lvlText w:val=""/>
      <w:lvlJc w:val="left"/>
      <w:pPr>
        <w:ind w:left="1191" w:hanging="397"/>
      </w:pPr>
      <w:rPr>
        <w:rFonts w:hint="default"/>
      </w:rPr>
    </w:lvl>
    <w:lvl w:ilvl="2">
      <w:start w:val="1"/>
      <w:numFmt w:val="none"/>
      <w:pStyle w:val="ListContinue3"/>
      <w:suff w:val="nothing"/>
      <w:lvlText w:val=""/>
      <w:lvlJc w:val="left"/>
      <w:pPr>
        <w:ind w:left="1588" w:hanging="397"/>
      </w:pPr>
      <w:rPr>
        <w:rFonts w:hint="default"/>
      </w:rPr>
    </w:lvl>
    <w:lvl w:ilvl="3">
      <w:start w:val="1"/>
      <w:numFmt w:val="none"/>
      <w:suff w:val="nothing"/>
      <w:lvlText w:val=""/>
      <w:lvlJc w:val="left"/>
      <w:pPr>
        <w:ind w:left="1985" w:hanging="397"/>
      </w:pPr>
      <w:rPr>
        <w:rFonts w:hint="default"/>
      </w:rPr>
    </w:lvl>
    <w:lvl w:ilvl="4">
      <w:start w:val="1"/>
      <w:numFmt w:val="none"/>
      <w:suff w:val="nothing"/>
      <w:lvlText w:val=""/>
      <w:lvlJc w:val="left"/>
      <w:pPr>
        <w:ind w:left="2382" w:hanging="397"/>
      </w:pPr>
      <w:rPr>
        <w:rFonts w:hint="default"/>
      </w:rPr>
    </w:lvl>
    <w:lvl w:ilvl="5">
      <w:start w:val="1"/>
      <w:numFmt w:val="none"/>
      <w:suff w:val="nothing"/>
      <w:lvlText w:val=""/>
      <w:lvlJc w:val="left"/>
      <w:pPr>
        <w:ind w:left="2779" w:hanging="397"/>
      </w:pPr>
      <w:rPr>
        <w:rFonts w:hint="default"/>
      </w:rPr>
    </w:lvl>
    <w:lvl w:ilvl="6">
      <w:start w:val="1"/>
      <w:numFmt w:val="none"/>
      <w:suff w:val="nothing"/>
      <w:lvlText w:val=""/>
      <w:lvlJc w:val="left"/>
      <w:pPr>
        <w:ind w:left="3176" w:hanging="397"/>
      </w:pPr>
      <w:rPr>
        <w:rFonts w:hint="default"/>
      </w:rPr>
    </w:lvl>
    <w:lvl w:ilvl="7">
      <w:start w:val="1"/>
      <w:numFmt w:val="none"/>
      <w:suff w:val="nothing"/>
      <w:lvlText w:val=""/>
      <w:lvlJc w:val="left"/>
      <w:pPr>
        <w:ind w:left="3573" w:hanging="397"/>
      </w:pPr>
      <w:rPr>
        <w:rFonts w:hint="default"/>
      </w:rPr>
    </w:lvl>
    <w:lvl w:ilvl="8">
      <w:start w:val="1"/>
      <w:numFmt w:val="none"/>
      <w:suff w:val="nothing"/>
      <w:lvlText w:val=""/>
      <w:lvlJc w:val="left"/>
      <w:pPr>
        <w:ind w:left="3970" w:hanging="397"/>
      </w:pPr>
      <w:rPr>
        <w:rFonts w:hint="default"/>
      </w:rPr>
    </w:lvl>
  </w:abstractNum>
  <w:abstractNum w:abstractNumId="35" w15:restartNumberingAfterBreak="0">
    <w:nsid w:val="28E92CC8"/>
    <w:multiLevelType w:val="multilevel"/>
    <w:tmpl w:val="C366AC72"/>
    <w:lvl w:ilvl="0">
      <w:start w:val="1"/>
      <w:numFmt w:val="none"/>
      <w:pStyle w:val="Source"/>
      <w:suff w:val="space"/>
      <w:lvlText w:val="%1Source:"/>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2A111339"/>
    <w:multiLevelType w:val="hybridMultilevel"/>
    <w:tmpl w:val="5CE4E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AEC6345"/>
    <w:multiLevelType w:val="hybridMultilevel"/>
    <w:tmpl w:val="41BE8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2B9D58BF"/>
    <w:multiLevelType w:val="hybridMultilevel"/>
    <w:tmpl w:val="B300A6B6"/>
    <w:lvl w:ilvl="0" w:tplc="2CB6C646">
      <w:start w:val="1"/>
      <w:numFmt w:val="bullet"/>
      <w:lvlText w:val=""/>
      <w:lvlJc w:val="left"/>
      <w:pPr>
        <w:ind w:left="1440" w:hanging="360"/>
      </w:pPr>
      <w:rPr>
        <w:rFonts w:ascii="Symbol" w:hAnsi="Symbol"/>
      </w:rPr>
    </w:lvl>
    <w:lvl w:ilvl="1" w:tplc="ED022B56">
      <w:start w:val="1"/>
      <w:numFmt w:val="bullet"/>
      <w:lvlText w:val=""/>
      <w:lvlJc w:val="left"/>
      <w:pPr>
        <w:ind w:left="1440" w:hanging="360"/>
      </w:pPr>
      <w:rPr>
        <w:rFonts w:ascii="Symbol" w:hAnsi="Symbol"/>
      </w:rPr>
    </w:lvl>
    <w:lvl w:ilvl="2" w:tplc="086C573C">
      <w:start w:val="1"/>
      <w:numFmt w:val="bullet"/>
      <w:lvlText w:val=""/>
      <w:lvlJc w:val="left"/>
      <w:pPr>
        <w:ind w:left="1440" w:hanging="360"/>
      </w:pPr>
      <w:rPr>
        <w:rFonts w:ascii="Symbol" w:hAnsi="Symbol"/>
      </w:rPr>
    </w:lvl>
    <w:lvl w:ilvl="3" w:tplc="16DEB4CC">
      <w:start w:val="1"/>
      <w:numFmt w:val="bullet"/>
      <w:lvlText w:val=""/>
      <w:lvlJc w:val="left"/>
      <w:pPr>
        <w:ind w:left="1440" w:hanging="360"/>
      </w:pPr>
      <w:rPr>
        <w:rFonts w:ascii="Symbol" w:hAnsi="Symbol"/>
      </w:rPr>
    </w:lvl>
    <w:lvl w:ilvl="4" w:tplc="83E8DF40">
      <w:start w:val="1"/>
      <w:numFmt w:val="bullet"/>
      <w:lvlText w:val=""/>
      <w:lvlJc w:val="left"/>
      <w:pPr>
        <w:ind w:left="1440" w:hanging="360"/>
      </w:pPr>
      <w:rPr>
        <w:rFonts w:ascii="Symbol" w:hAnsi="Symbol"/>
      </w:rPr>
    </w:lvl>
    <w:lvl w:ilvl="5" w:tplc="21F40950">
      <w:start w:val="1"/>
      <w:numFmt w:val="bullet"/>
      <w:lvlText w:val=""/>
      <w:lvlJc w:val="left"/>
      <w:pPr>
        <w:ind w:left="1440" w:hanging="360"/>
      </w:pPr>
      <w:rPr>
        <w:rFonts w:ascii="Symbol" w:hAnsi="Symbol"/>
      </w:rPr>
    </w:lvl>
    <w:lvl w:ilvl="6" w:tplc="8D6A9662">
      <w:start w:val="1"/>
      <w:numFmt w:val="bullet"/>
      <w:lvlText w:val=""/>
      <w:lvlJc w:val="left"/>
      <w:pPr>
        <w:ind w:left="1440" w:hanging="360"/>
      </w:pPr>
      <w:rPr>
        <w:rFonts w:ascii="Symbol" w:hAnsi="Symbol"/>
      </w:rPr>
    </w:lvl>
    <w:lvl w:ilvl="7" w:tplc="9BF8F506">
      <w:start w:val="1"/>
      <w:numFmt w:val="bullet"/>
      <w:lvlText w:val=""/>
      <w:lvlJc w:val="left"/>
      <w:pPr>
        <w:ind w:left="1440" w:hanging="360"/>
      </w:pPr>
      <w:rPr>
        <w:rFonts w:ascii="Symbol" w:hAnsi="Symbol"/>
      </w:rPr>
    </w:lvl>
    <w:lvl w:ilvl="8" w:tplc="9416A588">
      <w:start w:val="1"/>
      <w:numFmt w:val="bullet"/>
      <w:lvlText w:val=""/>
      <w:lvlJc w:val="left"/>
      <w:pPr>
        <w:ind w:left="1440" w:hanging="360"/>
      </w:pPr>
      <w:rPr>
        <w:rFonts w:ascii="Symbol" w:hAnsi="Symbol"/>
      </w:rPr>
    </w:lvl>
  </w:abstractNum>
  <w:abstractNum w:abstractNumId="39" w15:restartNumberingAfterBreak="0">
    <w:nsid w:val="2CF623DA"/>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F5B6748"/>
    <w:multiLevelType w:val="hybridMultilevel"/>
    <w:tmpl w:val="B290C154"/>
    <w:lvl w:ilvl="0" w:tplc="439ADDA0">
      <w:start w:val="1"/>
      <w:numFmt w:val="bullet"/>
      <w:lvlText w:val=""/>
      <w:lvlJc w:val="left"/>
      <w:pPr>
        <w:ind w:left="360" w:hanging="360"/>
      </w:pPr>
      <w:rPr>
        <w:rFonts w:ascii="Symbol" w:hAnsi="Symbol" w:hint="default"/>
      </w:rPr>
    </w:lvl>
    <w:lvl w:ilvl="1" w:tplc="C4DEF536">
      <w:start w:val="1"/>
      <w:numFmt w:val="bullet"/>
      <w:lvlText w:val="o"/>
      <w:lvlJc w:val="left"/>
      <w:pPr>
        <w:ind w:left="1080" w:hanging="360"/>
      </w:pPr>
      <w:rPr>
        <w:rFonts w:ascii="Courier New" w:hAnsi="Courier New" w:hint="default"/>
      </w:rPr>
    </w:lvl>
    <w:lvl w:ilvl="2" w:tplc="BD4A5F5E">
      <w:start w:val="1"/>
      <w:numFmt w:val="bullet"/>
      <w:lvlText w:val=""/>
      <w:lvlJc w:val="left"/>
      <w:pPr>
        <w:ind w:left="1800" w:hanging="360"/>
      </w:pPr>
      <w:rPr>
        <w:rFonts w:ascii="Wingdings" w:hAnsi="Wingdings" w:hint="default"/>
      </w:rPr>
    </w:lvl>
    <w:lvl w:ilvl="3" w:tplc="10EC985C">
      <w:start w:val="1"/>
      <w:numFmt w:val="bullet"/>
      <w:lvlText w:val=""/>
      <w:lvlJc w:val="left"/>
      <w:pPr>
        <w:ind w:left="2520" w:hanging="360"/>
      </w:pPr>
      <w:rPr>
        <w:rFonts w:ascii="Symbol" w:hAnsi="Symbol" w:hint="default"/>
      </w:rPr>
    </w:lvl>
    <w:lvl w:ilvl="4" w:tplc="77F09246">
      <w:start w:val="1"/>
      <w:numFmt w:val="bullet"/>
      <w:lvlText w:val="o"/>
      <w:lvlJc w:val="left"/>
      <w:pPr>
        <w:ind w:left="3240" w:hanging="360"/>
      </w:pPr>
      <w:rPr>
        <w:rFonts w:ascii="Courier New" w:hAnsi="Courier New" w:hint="default"/>
      </w:rPr>
    </w:lvl>
    <w:lvl w:ilvl="5" w:tplc="F424CFD2">
      <w:start w:val="1"/>
      <w:numFmt w:val="bullet"/>
      <w:lvlText w:val=""/>
      <w:lvlJc w:val="left"/>
      <w:pPr>
        <w:ind w:left="3960" w:hanging="360"/>
      </w:pPr>
      <w:rPr>
        <w:rFonts w:ascii="Wingdings" w:hAnsi="Wingdings" w:hint="default"/>
      </w:rPr>
    </w:lvl>
    <w:lvl w:ilvl="6" w:tplc="4356C362">
      <w:start w:val="1"/>
      <w:numFmt w:val="bullet"/>
      <w:lvlText w:val=""/>
      <w:lvlJc w:val="left"/>
      <w:pPr>
        <w:ind w:left="4680" w:hanging="360"/>
      </w:pPr>
      <w:rPr>
        <w:rFonts w:ascii="Symbol" w:hAnsi="Symbol" w:hint="default"/>
      </w:rPr>
    </w:lvl>
    <w:lvl w:ilvl="7" w:tplc="181C5FBE">
      <w:start w:val="1"/>
      <w:numFmt w:val="bullet"/>
      <w:lvlText w:val="o"/>
      <w:lvlJc w:val="left"/>
      <w:pPr>
        <w:ind w:left="5400" w:hanging="360"/>
      </w:pPr>
      <w:rPr>
        <w:rFonts w:ascii="Courier New" w:hAnsi="Courier New" w:hint="default"/>
      </w:rPr>
    </w:lvl>
    <w:lvl w:ilvl="8" w:tplc="81E4ADBC">
      <w:start w:val="1"/>
      <w:numFmt w:val="bullet"/>
      <w:lvlText w:val=""/>
      <w:lvlJc w:val="left"/>
      <w:pPr>
        <w:ind w:left="6120" w:hanging="360"/>
      </w:pPr>
      <w:rPr>
        <w:rFonts w:ascii="Wingdings" w:hAnsi="Wingdings" w:hint="default"/>
      </w:rPr>
    </w:lvl>
  </w:abstractNum>
  <w:abstractNum w:abstractNumId="41" w15:restartNumberingAfterBreak="0">
    <w:nsid w:val="303927AF"/>
    <w:multiLevelType w:val="multilevel"/>
    <w:tmpl w:val="4972262A"/>
    <w:numStyleLink w:val="HangingList"/>
  </w:abstractNum>
  <w:abstractNum w:abstractNumId="42" w15:restartNumberingAfterBreak="0">
    <w:nsid w:val="309C1A75"/>
    <w:multiLevelType w:val="hybridMultilevel"/>
    <w:tmpl w:val="72A6E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4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33AD32C2"/>
    <w:multiLevelType w:val="multilevel"/>
    <w:tmpl w:val="DA38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222ADB"/>
    <w:multiLevelType w:val="hybridMultilevel"/>
    <w:tmpl w:val="A6C6AC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42C3591"/>
    <w:multiLevelType w:val="hybridMultilevel"/>
    <w:tmpl w:val="69427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4B66643"/>
    <w:multiLevelType w:val="multilevel"/>
    <w:tmpl w:val="00A29E5C"/>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737"/>
      </w:pPr>
      <w:rPr>
        <w:rFonts w:hint="default"/>
      </w:rPr>
    </w:lvl>
    <w:lvl w:ilvl="3">
      <w:start w:val="1"/>
      <w:numFmt w:val="decimal"/>
      <w:lvlText w:val="%1.%2.%3.%4"/>
      <w:lvlJc w:val="left"/>
      <w:pPr>
        <w:ind w:left="2665" w:hanging="964"/>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9" w15:restartNumberingAfterBreak="0">
    <w:nsid w:val="351D6513"/>
    <w:multiLevelType w:val="hybridMultilevel"/>
    <w:tmpl w:val="CE8A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5496B60"/>
    <w:multiLevelType w:val="hybridMultilevel"/>
    <w:tmpl w:val="276CB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5518E6D"/>
    <w:multiLevelType w:val="multilevel"/>
    <w:tmpl w:val="FFFFFFFF"/>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2" w15:restartNumberingAfterBreak="0">
    <w:nsid w:val="366877F0"/>
    <w:multiLevelType w:val="hybridMultilevel"/>
    <w:tmpl w:val="F10AC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6907F53"/>
    <w:multiLevelType w:val="hybridMultilevel"/>
    <w:tmpl w:val="C35E7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390819FB"/>
    <w:multiLevelType w:val="hybridMultilevel"/>
    <w:tmpl w:val="D102F5A6"/>
    <w:lvl w:ilvl="0" w:tplc="AB66DE34">
      <w:start w:val="1"/>
      <w:numFmt w:val="decimal"/>
      <w:lvlText w:val="%1."/>
      <w:lvlJc w:val="left"/>
      <w:pPr>
        <w:ind w:left="1020" w:hanging="360"/>
      </w:pPr>
    </w:lvl>
    <w:lvl w:ilvl="1" w:tplc="EB8018EA">
      <w:start w:val="1"/>
      <w:numFmt w:val="decimal"/>
      <w:lvlText w:val="%2."/>
      <w:lvlJc w:val="left"/>
      <w:pPr>
        <w:ind w:left="1020" w:hanging="360"/>
      </w:pPr>
    </w:lvl>
    <w:lvl w:ilvl="2" w:tplc="3DB0FF34">
      <w:start w:val="1"/>
      <w:numFmt w:val="decimal"/>
      <w:lvlText w:val="%3."/>
      <w:lvlJc w:val="left"/>
      <w:pPr>
        <w:ind w:left="1020" w:hanging="360"/>
      </w:pPr>
    </w:lvl>
    <w:lvl w:ilvl="3" w:tplc="395A7D26">
      <w:start w:val="1"/>
      <w:numFmt w:val="decimal"/>
      <w:lvlText w:val="%4."/>
      <w:lvlJc w:val="left"/>
      <w:pPr>
        <w:ind w:left="1020" w:hanging="360"/>
      </w:pPr>
    </w:lvl>
    <w:lvl w:ilvl="4" w:tplc="B4F6E7FE">
      <w:start w:val="1"/>
      <w:numFmt w:val="decimal"/>
      <w:lvlText w:val="%5."/>
      <w:lvlJc w:val="left"/>
      <w:pPr>
        <w:ind w:left="1020" w:hanging="360"/>
      </w:pPr>
    </w:lvl>
    <w:lvl w:ilvl="5" w:tplc="88688BAE">
      <w:start w:val="1"/>
      <w:numFmt w:val="decimal"/>
      <w:lvlText w:val="%6."/>
      <w:lvlJc w:val="left"/>
      <w:pPr>
        <w:ind w:left="1020" w:hanging="360"/>
      </w:pPr>
    </w:lvl>
    <w:lvl w:ilvl="6" w:tplc="FC223768">
      <w:start w:val="1"/>
      <w:numFmt w:val="decimal"/>
      <w:lvlText w:val="%7."/>
      <w:lvlJc w:val="left"/>
      <w:pPr>
        <w:ind w:left="1020" w:hanging="360"/>
      </w:pPr>
    </w:lvl>
    <w:lvl w:ilvl="7" w:tplc="1CCAF722">
      <w:start w:val="1"/>
      <w:numFmt w:val="decimal"/>
      <w:lvlText w:val="%8."/>
      <w:lvlJc w:val="left"/>
      <w:pPr>
        <w:ind w:left="1020" w:hanging="360"/>
      </w:pPr>
    </w:lvl>
    <w:lvl w:ilvl="8" w:tplc="7E90D02C">
      <w:start w:val="1"/>
      <w:numFmt w:val="decimal"/>
      <w:lvlText w:val="%9."/>
      <w:lvlJc w:val="left"/>
      <w:pPr>
        <w:ind w:left="1020" w:hanging="360"/>
      </w:pPr>
    </w:lvl>
  </w:abstractNum>
  <w:abstractNum w:abstractNumId="56" w15:restartNumberingAfterBreak="0">
    <w:nsid w:val="397213C5"/>
    <w:multiLevelType w:val="hybridMultilevel"/>
    <w:tmpl w:val="341C6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01032"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01032"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9" w15:restartNumberingAfterBreak="0">
    <w:nsid w:val="3ACC6471"/>
    <w:multiLevelType w:val="multilevel"/>
    <w:tmpl w:val="28E8CB1E"/>
    <w:lvl w:ilvl="0">
      <w:start w:val="1"/>
      <w:numFmt w:val="bullet"/>
      <w:lvlText w:val=""/>
      <w:lvlJc w:val="left"/>
      <w:pPr>
        <w:ind w:left="480" w:hanging="48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0" w15:restartNumberingAfterBreak="0">
    <w:nsid w:val="3B346A00"/>
    <w:multiLevelType w:val="hybridMultilevel"/>
    <w:tmpl w:val="AB987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3B892A89"/>
    <w:multiLevelType w:val="hybridMultilevel"/>
    <w:tmpl w:val="1DD00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C177A14"/>
    <w:multiLevelType w:val="hybridMultilevel"/>
    <w:tmpl w:val="51AED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F544AFC"/>
    <w:multiLevelType w:val="hybridMultilevel"/>
    <w:tmpl w:val="FDF2EF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02A3EAD"/>
    <w:multiLevelType w:val="hybridMultilevel"/>
    <w:tmpl w:val="1CD6A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04A0C94"/>
    <w:multiLevelType w:val="hybridMultilevel"/>
    <w:tmpl w:val="534C0D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1AB6BF1"/>
    <w:multiLevelType w:val="hybridMultilevel"/>
    <w:tmpl w:val="B3345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01032"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8" w15:restartNumberingAfterBreak="0">
    <w:nsid w:val="42242A2D"/>
    <w:multiLevelType w:val="hybridMultilevel"/>
    <w:tmpl w:val="8D522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22C4318"/>
    <w:multiLevelType w:val="multilevel"/>
    <w:tmpl w:val="98D23008"/>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0" w15:restartNumberingAfterBreak="0">
    <w:nsid w:val="43246CDA"/>
    <w:multiLevelType w:val="multilevel"/>
    <w:tmpl w:val="00A29E5C"/>
    <w:styleLink w:val="LstHeadings"/>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737"/>
      </w:pPr>
      <w:rPr>
        <w:rFonts w:hint="default"/>
      </w:rPr>
    </w:lvl>
    <w:lvl w:ilvl="3">
      <w:start w:val="1"/>
      <w:numFmt w:val="decimal"/>
      <w:lvlText w:val="%1.%2.%3.%4"/>
      <w:lvlJc w:val="left"/>
      <w:pPr>
        <w:ind w:left="2665" w:hanging="964"/>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71" w15:restartNumberingAfterBreak="0">
    <w:nsid w:val="45226B27"/>
    <w:multiLevelType w:val="hybridMultilevel"/>
    <w:tmpl w:val="DCB25B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5994E22"/>
    <w:multiLevelType w:val="multilevel"/>
    <w:tmpl w:val="8D209878"/>
    <w:lvl w:ilvl="0">
      <w:start w:val="1"/>
      <w:numFmt w:val="bullet"/>
      <w:lvlText w:val=""/>
      <w:lvlJc w:val="left"/>
      <w:pPr>
        <w:ind w:left="480" w:hanging="48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3" w15:restartNumberingAfterBreak="0">
    <w:nsid w:val="460437D0"/>
    <w:multiLevelType w:val="hybridMultilevel"/>
    <w:tmpl w:val="75965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462E203A"/>
    <w:multiLevelType w:val="hybridMultilevel"/>
    <w:tmpl w:val="354CEEBA"/>
    <w:lvl w:ilvl="0" w:tplc="183C3E6E">
      <w:start w:val="1"/>
      <w:numFmt w:val="bullet"/>
      <w:lvlText w:val="•"/>
      <w:lvlJc w:val="left"/>
      <w:pPr>
        <w:tabs>
          <w:tab w:val="num" w:pos="720"/>
        </w:tabs>
        <w:ind w:left="720" w:hanging="360"/>
      </w:pPr>
      <w:rPr>
        <w:rFonts w:ascii="Arial" w:hAnsi="Arial" w:hint="default"/>
      </w:rPr>
    </w:lvl>
    <w:lvl w:ilvl="1" w:tplc="56A8DB70" w:tentative="1">
      <w:start w:val="1"/>
      <w:numFmt w:val="bullet"/>
      <w:lvlText w:val="•"/>
      <w:lvlJc w:val="left"/>
      <w:pPr>
        <w:tabs>
          <w:tab w:val="num" w:pos="1440"/>
        </w:tabs>
        <w:ind w:left="1440" w:hanging="360"/>
      </w:pPr>
      <w:rPr>
        <w:rFonts w:ascii="Arial" w:hAnsi="Arial" w:hint="default"/>
      </w:rPr>
    </w:lvl>
    <w:lvl w:ilvl="2" w:tplc="E8326D80" w:tentative="1">
      <w:start w:val="1"/>
      <w:numFmt w:val="bullet"/>
      <w:lvlText w:val="•"/>
      <w:lvlJc w:val="left"/>
      <w:pPr>
        <w:tabs>
          <w:tab w:val="num" w:pos="2160"/>
        </w:tabs>
        <w:ind w:left="2160" w:hanging="360"/>
      </w:pPr>
      <w:rPr>
        <w:rFonts w:ascii="Arial" w:hAnsi="Arial" w:hint="default"/>
      </w:rPr>
    </w:lvl>
    <w:lvl w:ilvl="3" w:tplc="21EA7B5A" w:tentative="1">
      <w:start w:val="1"/>
      <w:numFmt w:val="bullet"/>
      <w:lvlText w:val="•"/>
      <w:lvlJc w:val="left"/>
      <w:pPr>
        <w:tabs>
          <w:tab w:val="num" w:pos="2880"/>
        </w:tabs>
        <w:ind w:left="2880" w:hanging="360"/>
      </w:pPr>
      <w:rPr>
        <w:rFonts w:ascii="Arial" w:hAnsi="Arial" w:hint="default"/>
      </w:rPr>
    </w:lvl>
    <w:lvl w:ilvl="4" w:tplc="AA341714" w:tentative="1">
      <w:start w:val="1"/>
      <w:numFmt w:val="bullet"/>
      <w:lvlText w:val="•"/>
      <w:lvlJc w:val="left"/>
      <w:pPr>
        <w:tabs>
          <w:tab w:val="num" w:pos="3600"/>
        </w:tabs>
        <w:ind w:left="3600" w:hanging="360"/>
      </w:pPr>
      <w:rPr>
        <w:rFonts w:ascii="Arial" w:hAnsi="Arial" w:hint="default"/>
      </w:rPr>
    </w:lvl>
    <w:lvl w:ilvl="5" w:tplc="D8FCE228" w:tentative="1">
      <w:start w:val="1"/>
      <w:numFmt w:val="bullet"/>
      <w:lvlText w:val="•"/>
      <w:lvlJc w:val="left"/>
      <w:pPr>
        <w:tabs>
          <w:tab w:val="num" w:pos="4320"/>
        </w:tabs>
        <w:ind w:left="4320" w:hanging="360"/>
      </w:pPr>
      <w:rPr>
        <w:rFonts w:ascii="Arial" w:hAnsi="Arial" w:hint="default"/>
      </w:rPr>
    </w:lvl>
    <w:lvl w:ilvl="6" w:tplc="BE485FE2" w:tentative="1">
      <w:start w:val="1"/>
      <w:numFmt w:val="bullet"/>
      <w:lvlText w:val="•"/>
      <w:lvlJc w:val="left"/>
      <w:pPr>
        <w:tabs>
          <w:tab w:val="num" w:pos="5040"/>
        </w:tabs>
        <w:ind w:left="5040" w:hanging="360"/>
      </w:pPr>
      <w:rPr>
        <w:rFonts w:ascii="Arial" w:hAnsi="Arial" w:hint="default"/>
      </w:rPr>
    </w:lvl>
    <w:lvl w:ilvl="7" w:tplc="B5BA14A6" w:tentative="1">
      <w:start w:val="1"/>
      <w:numFmt w:val="bullet"/>
      <w:lvlText w:val="•"/>
      <w:lvlJc w:val="left"/>
      <w:pPr>
        <w:tabs>
          <w:tab w:val="num" w:pos="5760"/>
        </w:tabs>
        <w:ind w:left="5760" w:hanging="360"/>
      </w:pPr>
      <w:rPr>
        <w:rFonts w:ascii="Arial" w:hAnsi="Arial" w:hint="default"/>
      </w:rPr>
    </w:lvl>
    <w:lvl w:ilvl="8" w:tplc="9DE851E6"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46835D66"/>
    <w:multiLevelType w:val="hybridMultilevel"/>
    <w:tmpl w:val="930A4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7233BE0"/>
    <w:multiLevelType w:val="hybridMultilevel"/>
    <w:tmpl w:val="4F249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AA27F2E"/>
    <w:multiLevelType w:val="multilevel"/>
    <w:tmpl w:val="BD3E64C2"/>
    <w:name w:val="Bullets"/>
    <w:lvl w:ilvl="0">
      <w:start w:val="1"/>
      <w:numFmt w:val="bullet"/>
      <w:lvlText w:val="•"/>
      <w:lvlJc w:val="left"/>
      <w:pPr>
        <w:ind w:left="397" w:hanging="397"/>
      </w:pPr>
      <w:rPr>
        <w:rFonts w:ascii="Arial" w:hAnsi="Arial" w:hint="default"/>
      </w:rPr>
    </w:lvl>
    <w:lvl w:ilvl="1">
      <w:start w:val="1"/>
      <w:numFmt w:val="bullet"/>
      <w:lvlText w:val="-"/>
      <w:lvlJc w:val="left"/>
      <w:pPr>
        <w:ind w:left="794" w:hanging="397"/>
      </w:pPr>
      <w:rPr>
        <w:rFonts w:ascii="Arial" w:hAnsi="Arial" w:hint="default"/>
      </w:rPr>
    </w:lvl>
    <w:lvl w:ilvl="2">
      <w:start w:val="1"/>
      <w:numFmt w:val="bullet"/>
      <w:lvlText w:val="◦"/>
      <w:lvlJc w:val="left"/>
      <w:pPr>
        <w:ind w:left="1191" w:hanging="397"/>
      </w:pPr>
      <w:rPr>
        <w:rFonts w:ascii="Arial" w:hAnsi="Arial" w:hint="default"/>
      </w:rPr>
    </w:lvl>
    <w:lvl w:ilvl="3">
      <w:start w:val="1"/>
      <w:numFmt w:val="bullet"/>
      <w:lvlText w:val="▪"/>
      <w:lvlJc w:val="left"/>
      <w:pPr>
        <w:ind w:left="1588" w:hanging="397"/>
      </w:pPr>
      <w:rPr>
        <w:rFonts w:ascii="Arial" w:hAnsi="Arial" w:hint="default"/>
      </w:rPr>
    </w:lvl>
    <w:lvl w:ilvl="4">
      <w:start w:val="1"/>
      <w:numFmt w:val="bullet"/>
      <w:lvlText w:val="o"/>
      <w:lvlJc w:val="left"/>
      <w:pPr>
        <w:tabs>
          <w:tab w:val="num" w:pos="2155"/>
        </w:tabs>
        <w:ind w:left="1985" w:hanging="397"/>
      </w:pPr>
      <w:rPr>
        <w:rFonts w:ascii="Courier New" w:hAnsi="Courier New" w:cs="Courier New" w:hint="default"/>
      </w:rPr>
    </w:lvl>
    <w:lvl w:ilvl="5">
      <w:start w:val="1"/>
      <w:numFmt w:val="bullet"/>
      <w:lvlText w:val=""/>
      <w:lvlJc w:val="left"/>
      <w:pPr>
        <w:tabs>
          <w:tab w:val="num" w:pos="2552"/>
        </w:tabs>
        <w:ind w:left="2382" w:hanging="397"/>
      </w:pPr>
      <w:rPr>
        <w:rFonts w:ascii="Wingdings" w:hAnsi="Wingdings" w:hint="default"/>
      </w:rPr>
    </w:lvl>
    <w:lvl w:ilvl="6">
      <w:start w:val="1"/>
      <w:numFmt w:val="bullet"/>
      <w:lvlText w:val=""/>
      <w:lvlJc w:val="left"/>
      <w:pPr>
        <w:tabs>
          <w:tab w:val="num" w:pos="2949"/>
        </w:tabs>
        <w:ind w:left="2779" w:hanging="397"/>
      </w:pPr>
      <w:rPr>
        <w:rFonts w:ascii="Symbol" w:hAnsi="Symbol" w:hint="default"/>
      </w:rPr>
    </w:lvl>
    <w:lvl w:ilvl="7">
      <w:start w:val="1"/>
      <w:numFmt w:val="bullet"/>
      <w:lvlText w:val="o"/>
      <w:lvlJc w:val="left"/>
      <w:pPr>
        <w:tabs>
          <w:tab w:val="num" w:pos="3346"/>
        </w:tabs>
        <w:ind w:left="3176" w:hanging="397"/>
      </w:pPr>
      <w:rPr>
        <w:rFonts w:ascii="Courier New" w:hAnsi="Courier New" w:cs="Courier New" w:hint="default"/>
      </w:rPr>
    </w:lvl>
    <w:lvl w:ilvl="8">
      <w:start w:val="1"/>
      <w:numFmt w:val="bullet"/>
      <w:lvlText w:val=""/>
      <w:lvlJc w:val="left"/>
      <w:pPr>
        <w:tabs>
          <w:tab w:val="num" w:pos="3743"/>
        </w:tabs>
        <w:ind w:left="3573" w:hanging="397"/>
      </w:pPr>
      <w:rPr>
        <w:rFonts w:ascii="Wingdings" w:hAnsi="Wingdings" w:hint="default"/>
      </w:rPr>
    </w:lvl>
  </w:abstractNum>
  <w:abstractNum w:abstractNumId="78" w15:restartNumberingAfterBreak="0">
    <w:nsid w:val="4B9F679D"/>
    <w:multiLevelType w:val="multilevel"/>
    <w:tmpl w:val="9218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E380AB1"/>
    <w:multiLevelType w:val="multilevel"/>
    <w:tmpl w:val="ECEE2290"/>
    <w:styleLink w:val="LstLegalNumbering"/>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bullet"/>
      <w:lvlText w:val="-"/>
      <w:lvlJc w:val="left"/>
      <w:pPr>
        <w:ind w:left="1588" w:hanging="397"/>
      </w:pPr>
      <w:rPr>
        <w:rFonts w:ascii="Arial" w:hAnsi="Arial" w:hint="default"/>
      </w:rPr>
    </w:lvl>
    <w:lvl w:ilvl="4">
      <w:start w:val="1"/>
      <w:numFmt w:val="bullet"/>
      <w:lvlText w:val="o"/>
      <w:lvlJc w:val="left"/>
      <w:pPr>
        <w:ind w:left="1985" w:hanging="397"/>
      </w:pPr>
      <w:rPr>
        <w:rFonts w:ascii="Courier New" w:hAnsi="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8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81" w15:restartNumberingAfterBreak="0">
    <w:nsid w:val="533157A3"/>
    <w:multiLevelType w:val="multilevel"/>
    <w:tmpl w:val="4BDCB4EA"/>
    <w:name w:val="NumberedHeadings"/>
    <w:lvl w:ilvl="0">
      <w:start w:val="1"/>
      <w:numFmt w:val="decimal"/>
      <w:lvlText w:val="%1."/>
      <w:lvlJc w:val="left"/>
      <w:pPr>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794" w:hanging="794"/>
      </w:pPr>
      <w:rPr>
        <w:rFonts w:hint="default"/>
      </w:rPr>
    </w:lvl>
    <w:lvl w:ilvl="3">
      <w:start w:val="1"/>
      <w:numFmt w:val="none"/>
      <w:lvlText w:val=""/>
      <w:lvlJc w:val="left"/>
      <w:pPr>
        <w:ind w:left="0" w:firstLine="0"/>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82" w15:restartNumberingAfterBreak="0">
    <w:nsid w:val="538E3C13"/>
    <w:multiLevelType w:val="hybridMultilevel"/>
    <w:tmpl w:val="EE3AC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3E120D8"/>
    <w:multiLevelType w:val="hybridMultilevel"/>
    <w:tmpl w:val="72E2E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552B09EB"/>
    <w:multiLevelType w:val="hybridMultilevel"/>
    <w:tmpl w:val="6D4EA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55630579"/>
    <w:multiLevelType w:val="hybridMultilevel"/>
    <w:tmpl w:val="43D0D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5680327F"/>
    <w:multiLevelType w:val="hybridMultilevel"/>
    <w:tmpl w:val="534C0DEA"/>
    <w:styleLink w:val="LstBullet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92817A7"/>
    <w:multiLevelType w:val="multilevel"/>
    <w:tmpl w:val="22F212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90" w15:restartNumberingAfterBreak="0">
    <w:nsid w:val="59DB7B8D"/>
    <w:multiLevelType w:val="hybridMultilevel"/>
    <w:tmpl w:val="237A4448"/>
    <w:lvl w:ilvl="0" w:tplc="0324D82A">
      <w:start w:val="1"/>
      <w:numFmt w:val="decimal"/>
      <w:lvlText w:val="%1)"/>
      <w:lvlJc w:val="left"/>
      <w:pPr>
        <w:ind w:left="1020" w:hanging="360"/>
      </w:pPr>
    </w:lvl>
    <w:lvl w:ilvl="1" w:tplc="6D188BE2">
      <w:start w:val="1"/>
      <w:numFmt w:val="decimal"/>
      <w:lvlText w:val="%2)"/>
      <w:lvlJc w:val="left"/>
      <w:pPr>
        <w:ind w:left="1020" w:hanging="360"/>
      </w:pPr>
    </w:lvl>
    <w:lvl w:ilvl="2" w:tplc="D2A49944">
      <w:start w:val="1"/>
      <w:numFmt w:val="decimal"/>
      <w:lvlText w:val="%3)"/>
      <w:lvlJc w:val="left"/>
      <w:pPr>
        <w:ind w:left="1020" w:hanging="360"/>
      </w:pPr>
    </w:lvl>
    <w:lvl w:ilvl="3" w:tplc="40E87506">
      <w:start w:val="1"/>
      <w:numFmt w:val="decimal"/>
      <w:lvlText w:val="%4)"/>
      <w:lvlJc w:val="left"/>
      <w:pPr>
        <w:ind w:left="1020" w:hanging="360"/>
      </w:pPr>
    </w:lvl>
    <w:lvl w:ilvl="4" w:tplc="E93A18D4">
      <w:start w:val="1"/>
      <w:numFmt w:val="decimal"/>
      <w:lvlText w:val="%5)"/>
      <w:lvlJc w:val="left"/>
      <w:pPr>
        <w:ind w:left="1020" w:hanging="360"/>
      </w:pPr>
    </w:lvl>
    <w:lvl w:ilvl="5" w:tplc="F9F0FE5C">
      <w:start w:val="1"/>
      <w:numFmt w:val="decimal"/>
      <w:lvlText w:val="%6)"/>
      <w:lvlJc w:val="left"/>
      <w:pPr>
        <w:ind w:left="1020" w:hanging="360"/>
      </w:pPr>
    </w:lvl>
    <w:lvl w:ilvl="6" w:tplc="D6D2E848">
      <w:start w:val="1"/>
      <w:numFmt w:val="decimal"/>
      <w:lvlText w:val="%7)"/>
      <w:lvlJc w:val="left"/>
      <w:pPr>
        <w:ind w:left="1020" w:hanging="360"/>
      </w:pPr>
    </w:lvl>
    <w:lvl w:ilvl="7" w:tplc="CFAC8E30">
      <w:start w:val="1"/>
      <w:numFmt w:val="decimal"/>
      <w:lvlText w:val="%8)"/>
      <w:lvlJc w:val="left"/>
      <w:pPr>
        <w:ind w:left="1020" w:hanging="360"/>
      </w:pPr>
    </w:lvl>
    <w:lvl w:ilvl="8" w:tplc="3B8A8464">
      <w:start w:val="1"/>
      <w:numFmt w:val="decimal"/>
      <w:lvlText w:val="%9)"/>
      <w:lvlJc w:val="left"/>
      <w:pPr>
        <w:ind w:left="1020" w:hanging="360"/>
      </w:pPr>
    </w:lvl>
  </w:abstractNum>
  <w:abstractNum w:abstractNumId="91" w15:restartNumberingAfterBreak="0">
    <w:nsid w:val="5A872B52"/>
    <w:multiLevelType w:val="hybridMultilevel"/>
    <w:tmpl w:val="3CC23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3" w15:restartNumberingAfterBreak="0">
    <w:nsid w:val="5B627FC5"/>
    <w:multiLevelType w:val="hybridMultilevel"/>
    <w:tmpl w:val="D64E1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5BBC0867"/>
    <w:multiLevelType w:val="multilevel"/>
    <w:tmpl w:val="BAB2C698"/>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Wingdings" w:hAnsi="Wingding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96" w15:restartNumberingAfterBreak="0">
    <w:nsid w:val="5F743310"/>
    <w:multiLevelType w:val="hybridMultilevel"/>
    <w:tmpl w:val="590C7C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7" w15:restartNumberingAfterBreak="0">
    <w:nsid w:val="5FE46E26"/>
    <w:multiLevelType w:val="multilevel"/>
    <w:tmpl w:val="E134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06F5C21"/>
    <w:multiLevelType w:val="multilevel"/>
    <w:tmpl w:val="8D209878"/>
    <w:lvl w:ilvl="0">
      <w:start w:val="1"/>
      <w:numFmt w:val="bullet"/>
      <w:lvlText w:val=""/>
      <w:lvlJc w:val="left"/>
      <w:pPr>
        <w:ind w:left="480" w:hanging="48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9" w15:restartNumberingAfterBreak="0">
    <w:nsid w:val="60AE358D"/>
    <w:multiLevelType w:val="hybridMultilevel"/>
    <w:tmpl w:val="65D8B0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61387C37"/>
    <w:multiLevelType w:val="multilevel"/>
    <w:tmpl w:val="ECEE2290"/>
    <w:styleLink w:val="LstStandardNumbering"/>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bullet"/>
      <w:lvlText w:val="-"/>
      <w:lvlJc w:val="left"/>
      <w:pPr>
        <w:ind w:left="1588" w:hanging="397"/>
      </w:pPr>
      <w:rPr>
        <w:rFonts w:ascii="Arial" w:hAnsi="Arial" w:hint="default"/>
      </w:rPr>
    </w:lvl>
    <w:lvl w:ilvl="4">
      <w:start w:val="1"/>
      <w:numFmt w:val="bullet"/>
      <w:lvlText w:val="o"/>
      <w:lvlJc w:val="left"/>
      <w:pPr>
        <w:ind w:left="1985" w:hanging="397"/>
      </w:pPr>
      <w:rPr>
        <w:rFonts w:ascii="Courier New" w:hAnsi="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1" w15:restartNumberingAfterBreak="0">
    <w:nsid w:val="617C218B"/>
    <w:multiLevelType w:val="hybridMultilevel"/>
    <w:tmpl w:val="066A8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01032" w:themeColor="text2"/>
      </w:rPr>
    </w:lvl>
    <w:lvl w:ilvl="1">
      <w:start w:val="1"/>
      <w:numFmt w:val="bullet"/>
      <w:lvlText w:val="–"/>
      <w:lvlJc w:val="left"/>
      <w:pPr>
        <w:ind w:left="539" w:hanging="227"/>
      </w:pPr>
      <w:rPr>
        <w:rFonts w:ascii="Arial" w:hAnsi="Arial" w:hint="default"/>
        <w:color w:val="001032"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10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01032" w:themeColor="text2"/>
        <w:sz w:val="32"/>
      </w:rPr>
    </w:lvl>
    <w:lvl w:ilvl="1">
      <w:start w:val="1"/>
      <w:numFmt w:val="decimal"/>
      <w:lvlText w:val="%2."/>
      <w:lvlJc w:val="left"/>
      <w:pPr>
        <w:tabs>
          <w:tab w:val="num" w:pos="992"/>
        </w:tabs>
        <w:ind w:left="992" w:hanging="992"/>
      </w:pPr>
      <w:rPr>
        <w:rFonts w:hint="default"/>
        <w:b w:val="0"/>
        <w:i w:val="0"/>
        <w:color w:val="001032"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04" w15:restartNumberingAfterBreak="0">
    <w:nsid w:val="677C4997"/>
    <w:multiLevelType w:val="multilevel"/>
    <w:tmpl w:val="F366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8D92A3F"/>
    <w:multiLevelType w:val="hybridMultilevel"/>
    <w:tmpl w:val="FBF200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6" w15:restartNumberingAfterBreak="0">
    <w:nsid w:val="69A237BB"/>
    <w:multiLevelType w:val="hybridMultilevel"/>
    <w:tmpl w:val="87B00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6D47128A"/>
    <w:multiLevelType w:val="hybridMultilevel"/>
    <w:tmpl w:val="DC402090"/>
    <w:lvl w:ilvl="0" w:tplc="855ED758">
      <w:start w:val="1"/>
      <w:numFmt w:val="bullet"/>
      <w:lvlText w:val=""/>
      <w:lvlJc w:val="left"/>
      <w:pPr>
        <w:ind w:left="1440" w:hanging="360"/>
      </w:pPr>
      <w:rPr>
        <w:rFonts w:ascii="Symbol" w:hAnsi="Symbol"/>
      </w:rPr>
    </w:lvl>
    <w:lvl w:ilvl="1" w:tplc="FD80E23C">
      <w:start w:val="1"/>
      <w:numFmt w:val="bullet"/>
      <w:lvlText w:val=""/>
      <w:lvlJc w:val="left"/>
      <w:pPr>
        <w:ind w:left="1440" w:hanging="360"/>
      </w:pPr>
      <w:rPr>
        <w:rFonts w:ascii="Symbol" w:hAnsi="Symbol"/>
      </w:rPr>
    </w:lvl>
    <w:lvl w:ilvl="2" w:tplc="A1AE0CB4">
      <w:start w:val="1"/>
      <w:numFmt w:val="bullet"/>
      <w:lvlText w:val=""/>
      <w:lvlJc w:val="left"/>
      <w:pPr>
        <w:ind w:left="1440" w:hanging="360"/>
      </w:pPr>
      <w:rPr>
        <w:rFonts w:ascii="Symbol" w:hAnsi="Symbol"/>
      </w:rPr>
    </w:lvl>
    <w:lvl w:ilvl="3" w:tplc="9B48B234">
      <w:start w:val="1"/>
      <w:numFmt w:val="bullet"/>
      <w:lvlText w:val=""/>
      <w:lvlJc w:val="left"/>
      <w:pPr>
        <w:ind w:left="1440" w:hanging="360"/>
      </w:pPr>
      <w:rPr>
        <w:rFonts w:ascii="Symbol" w:hAnsi="Symbol"/>
      </w:rPr>
    </w:lvl>
    <w:lvl w:ilvl="4" w:tplc="F9A82D7C">
      <w:start w:val="1"/>
      <w:numFmt w:val="bullet"/>
      <w:lvlText w:val=""/>
      <w:lvlJc w:val="left"/>
      <w:pPr>
        <w:ind w:left="1440" w:hanging="360"/>
      </w:pPr>
      <w:rPr>
        <w:rFonts w:ascii="Symbol" w:hAnsi="Symbol"/>
      </w:rPr>
    </w:lvl>
    <w:lvl w:ilvl="5" w:tplc="38F0A3B6">
      <w:start w:val="1"/>
      <w:numFmt w:val="bullet"/>
      <w:lvlText w:val=""/>
      <w:lvlJc w:val="left"/>
      <w:pPr>
        <w:ind w:left="1440" w:hanging="360"/>
      </w:pPr>
      <w:rPr>
        <w:rFonts w:ascii="Symbol" w:hAnsi="Symbol"/>
      </w:rPr>
    </w:lvl>
    <w:lvl w:ilvl="6" w:tplc="175437BC">
      <w:start w:val="1"/>
      <w:numFmt w:val="bullet"/>
      <w:lvlText w:val=""/>
      <w:lvlJc w:val="left"/>
      <w:pPr>
        <w:ind w:left="1440" w:hanging="360"/>
      </w:pPr>
      <w:rPr>
        <w:rFonts w:ascii="Symbol" w:hAnsi="Symbol"/>
      </w:rPr>
    </w:lvl>
    <w:lvl w:ilvl="7" w:tplc="77F6946C">
      <w:start w:val="1"/>
      <w:numFmt w:val="bullet"/>
      <w:lvlText w:val=""/>
      <w:lvlJc w:val="left"/>
      <w:pPr>
        <w:ind w:left="1440" w:hanging="360"/>
      </w:pPr>
      <w:rPr>
        <w:rFonts w:ascii="Symbol" w:hAnsi="Symbol"/>
      </w:rPr>
    </w:lvl>
    <w:lvl w:ilvl="8" w:tplc="95206F84">
      <w:start w:val="1"/>
      <w:numFmt w:val="bullet"/>
      <w:lvlText w:val=""/>
      <w:lvlJc w:val="left"/>
      <w:pPr>
        <w:ind w:left="1440" w:hanging="360"/>
      </w:pPr>
      <w:rPr>
        <w:rFonts w:ascii="Symbol" w:hAnsi="Symbol"/>
      </w:rPr>
    </w:lvl>
  </w:abstractNum>
  <w:abstractNum w:abstractNumId="108" w15:restartNumberingAfterBreak="0">
    <w:nsid w:val="6E07C403"/>
    <w:multiLevelType w:val="hybridMultilevel"/>
    <w:tmpl w:val="FFFFFFFF"/>
    <w:lvl w:ilvl="0" w:tplc="784C5710">
      <w:start w:val="1"/>
      <w:numFmt w:val="bullet"/>
      <w:lvlText w:val=""/>
      <w:lvlJc w:val="left"/>
      <w:pPr>
        <w:ind w:left="720" w:hanging="360"/>
      </w:pPr>
      <w:rPr>
        <w:rFonts w:ascii="Symbol" w:hAnsi="Symbol" w:hint="default"/>
      </w:rPr>
    </w:lvl>
    <w:lvl w:ilvl="1" w:tplc="95F433CA">
      <w:start w:val="1"/>
      <w:numFmt w:val="bullet"/>
      <w:lvlText w:val="o"/>
      <w:lvlJc w:val="left"/>
      <w:pPr>
        <w:ind w:left="1440" w:hanging="360"/>
      </w:pPr>
      <w:rPr>
        <w:rFonts w:ascii="Courier New" w:hAnsi="Courier New" w:hint="default"/>
      </w:rPr>
    </w:lvl>
    <w:lvl w:ilvl="2" w:tplc="190C3F1C">
      <w:start w:val="1"/>
      <w:numFmt w:val="bullet"/>
      <w:lvlText w:val=""/>
      <w:lvlJc w:val="left"/>
      <w:pPr>
        <w:ind w:left="2160" w:hanging="360"/>
      </w:pPr>
      <w:rPr>
        <w:rFonts w:ascii="Wingdings" w:hAnsi="Wingdings" w:hint="default"/>
      </w:rPr>
    </w:lvl>
    <w:lvl w:ilvl="3" w:tplc="91F6EE38">
      <w:start w:val="1"/>
      <w:numFmt w:val="bullet"/>
      <w:lvlText w:val=""/>
      <w:lvlJc w:val="left"/>
      <w:pPr>
        <w:ind w:left="2880" w:hanging="360"/>
      </w:pPr>
      <w:rPr>
        <w:rFonts w:ascii="Symbol" w:hAnsi="Symbol" w:hint="default"/>
      </w:rPr>
    </w:lvl>
    <w:lvl w:ilvl="4" w:tplc="7C1468B8">
      <w:start w:val="1"/>
      <w:numFmt w:val="bullet"/>
      <w:lvlText w:val="o"/>
      <w:lvlJc w:val="left"/>
      <w:pPr>
        <w:ind w:left="3600" w:hanging="360"/>
      </w:pPr>
      <w:rPr>
        <w:rFonts w:ascii="Courier New" w:hAnsi="Courier New" w:hint="default"/>
      </w:rPr>
    </w:lvl>
    <w:lvl w:ilvl="5" w:tplc="E2A69E9A">
      <w:start w:val="1"/>
      <w:numFmt w:val="bullet"/>
      <w:lvlText w:val=""/>
      <w:lvlJc w:val="left"/>
      <w:pPr>
        <w:ind w:left="4320" w:hanging="360"/>
      </w:pPr>
      <w:rPr>
        <w:rFonts w:ascii="Wingdings" w:hAnsi="Wingdings" w:hint="default"/>
      </w:rPr>
    </w:lvl>
    <w:lvl w:ilvl="6" w:tplc="ED684A0E">
      <w:start w:val="1"/>
      <w:numFmt w:val="bullet"/>
      <w:lvlText w:val=""/>
      <w:lvlJc w:val="left"/>
      <w:pPr>
        <w:ind w:left="5040" w:hanging="360"/>
      </w:pPr>
      <w:rPr>
        <w:rFonts w:ascii="Symbol" w:hAnsi="Symbol" w:hint="default"/>
      </w:rPr>
    </w:lvl>
    <w:lvl w:ilvl="7" w:tplc="8714AD04">
      <w:start w:val="1"/>
      <w:numFmt w:val="bullet"/>
      <w:lvlText w:val="o"/>
      <w:lvlJc w:val="left"/>
      <w:pPr>
        <w:ind w:left="5760" w:hanging="360"/>
      </w:pPr>
      <w:rPr>
        <w:rFonts w:ascii="Courier New" w:hAnsi="Courier New" w:hint="default"/>
      </w:rPr>
    </w:lvl>
    <w:lvl w:ilvl="8" w:tplc="FB1C0792">
      <w:start w:val="1"/>
      <w:numFmt w:val="bullet"/>
      <w:lvlText w:val=""/>
      <w:lvlJc w:val="left"/>
      <w:pPr>
        <w:ind w:left="6480" w:hanging="360"/>
      </w:pPr>
      <w:rPr>
        <w:rFonts w:ascii="Wingdings" w:hAnsi="Wingdings" w:hint="default"/>
      </w:rPr>
    </w:lvl>
  </w:abstractNum>
  <w:abstractNum w:abstractNumId="109" w15:restartNumberingAfterBreak="0">
    <w:nsid w:val="6E2C6467"/>
    <w:multiLevelType w:val="hybridMultilevel"/>
    <w:tmpl w:val="0B1EF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715062E0"/>
    <w:multiLevelType w:val="multilevel"/>
    <w:tmpl w:val="CEB8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27F375B"/>
    <w:multiLevelType w:val="hybridMultilevel"/>
    <w:tmpl w:val="9F9482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1F4E5C28">
      <w:start w:val="8"/>
      <w:numFmt w:val="bullet"/>
      <w:lvlText w:val="-"/>
      <w:lvlJc w:val="left"/>
      <w:pPr>
        <w:ind w:left="1800" w:hanging="36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2" w15:restartNumberingAfterBreak="0">
    <w:nsid w:val="73C63E33"/>
    <w:multiLevelType w:val="hybridMultilevel"/>
    <w:tmpl w:val="DDAA68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7408251A"/>
    <w:multiLevelType w:val="hybridMultilevel"/>
    <w:tmpl w:val="FFFFFFFF"/>
    <w:lvl w:ilvl="0" w:tplc="40D80852">
      <w:start w:val="1"/>
      <w:numFmt w:val="bullet"/>
      <w:lvlText w:val="·"/>
      <w:lvlJc w:val="left"/>
      <w:pPr>
        <w:ind w:left="720" w:hanging="360"/>
      </w:pPr>
      <w:rPr>
        <w:rFonts w:ascii="Symbol" w:hAnsi="Symbol" w:hint="default"/>
      </w:rPr>
    </w:lvl>
    <w:lvl w:ilvl="1" w:tplc="6AC2085C">
      <w:start w:val="1"/>
      <w:numFmt w:val="bullet"/>
      <w:lvlText w:val="o"/>
      <w:lvlJc w:val="left"/>
      <w:pPr>
        <w:ind w:left="1440" w:hanging="360"/>
      </w:pPr>
      <w:rPr>
        <w:rFonts w:ascii="Courier New" w:hAnsi="Courier New" w:hint="default"/>
      </w:rPr>
    </w:lvl>
    <w:lvl w:ilvl="2" w:tplc="19FC262E">
      <w:start w:val="1"/>
      <w:numFmt w:val="bullet"/>
      <w:lvlText w:val=""/>
      <w:lvlJc w:val="left"/>
      <w:pPr>
        <w:ind w:left="2160" w:hanging="360"/>
      </w:pPr>
      <w:rPr>
        <w:rFonts w:ascii="Wingdings" w:hAnsi="Wingdings" w:hint="default"/>
      </w:rPr>
    </w:lvl>
    <w:lvl w:ilvl="3" w:tplc="0F88476A">
      <w:start w:val="1"/>
      <w:numFmt w:val="bullet"/>
      <w:lvlText w:val=""/>
      <w:lvlJc w:val="left"/>
      <w:pPr>
        <w:ind w:left="2880" w:hanging="360"/>
      </w:pPr>
      <w:rPr>
        <w:rFonts w:ascii="Symbol" w:hAnsi="Symbol" w:hint="default"/>
      </w:rPr>
    </w:lvl>
    <w:lvl w:ilvl="4" w:tplc="107CADDA">
      <w:start w:val="1"/>
      <w:numFmt w:val="bullet"/>
      <w:lvlText w:val="o"/>
      <w:lvlJc w:val="left"/>
      <w:pPr>
        <w:ind w:left="3600" w:hanging="360"/>
      </w:pPr>
      <w:rPr>
        <w:rFonts w:ascii="Courier New" w:hAnsi="Courier New" w:hint="default"/>
      </w:rPr>
    </w:lvl>
    <w:lvl w:ilvl="5" w:tplc="165AEB08">
      <w:start w:val="1"/>
      <w:numFmt w:val="bullet"/>
      <w:lvlText w:val=""/>
      <w:lvlJc w:val="left"/>
      <w:pPr>
        <w:ind w:left="4320" w:hanging="360"/>
      </w:pPr>
      <w:rPr>
        <w:rFonts w:ascii="Wingdings" w:hAnsi="Wingdings" w:hint="default"/>
      </w:rPr>
    </w:lvl>
    <w:lvl w:ilvl="6" w:tplc="502C2952">
      <w:start w:val="1"/>
      <w:numFmt w:val="bullet"/>
      <w:lvlText w:val=""/>
      <w:lvlJc w:val="left"/>
      <w:pPr>
        <w:ind w:left="5040" w:hanging="360"/>
      </w:pPr>
      <w:rPr>
        <w:rFonts w:ascii="Symbol" w:hAnsi="Symbol" w:hint="default"/>
      </w:rPr>
    </w:lvl>
    <w:lvl w:ilvl="7" w:tplc="7236DC68">
      <w:start w:val="1"/>
      <w:numFmt w:val="bullet"/>
      <w:lvlText w:val="o"/>
      <w:lvlJc w:val="left"/>
      <w:pPr>
        <w:ind w:left="5760" w:hanging="360"/>
      </w:pPr>
      <w:rPr>
        <w:rFonts w:ascii="Courier New" w:hAnsi="Courier New" w:hint="default"/>
      </w:rPr>
    </w:lvl>
    <w:lvl w:ilvl="8" w:tplc="0B8A1978">
      <w:start w:val="1"/>
      <w:numFmt w:val="bullet"/>
      <w:lvlText w:val=""/>
      <w:lvlJc w:val="left"/>
      <w:pPr>
        <w:ind w:left="6480" w:hanging="360"/>
      </w:pPr>
      <w:rPr>
        <w:rFonts w:ascii="Wingdings" w:hAnsi="Wingdings" w:hint="default"/>
      </w:rPr>
    </w:lvl>
  </w:abstractNum>
  <w:abstractNum w:abstractNumId="114" w15:restartNumberingAfterBreak="0">
    <w:nsid w:val="740D6C06"/>
    <w:multiLevelType w:val="hybridMultilevel"/>
    <w:tmpl w:val="D706A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11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1032"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01032" w:themeColor="text2"/>
        <w:position w:val="2"/>
        <w:sz w:val="20"/>
      </w:rPr>
    </w:lvl>
    <w:lvl w:ilvl="2">
      <w:start w:val="1"/>
      <w:numFmt w:val="bullet"/>
      <w:lvlText w:val="–"/>
      <w:lvlJc w:val="left"/>
      <w:pPr>
        <w:tabs>
          <w:tab w:val="num" w:pos="1361"/>
        </w:tabs>
        <w:ind w:left="1361" w:hanging="340"/>
      </w:pPr>
      <w:rPr>
        <w:rFonts w:ascii="Arial" w:hAnsi="Arial" w:hint="default"/>
        <w:color w:val="00103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7" w15:restartNumberingAfterBreak="0">
    <w:nsid w:val="779615E8"/>
    <w:multiLevelType w:val="hybridMultilevel"/>
    <w:tmpl w:val="1A2EA3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794B741B"/>
    <w:multiLevelType w:val="multilevel"/>
    <w:tmpl w:val="0CAC95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7A931997"/>
    <w:multiLevelType w:val="multilevel"/>
    <w:tmpl w:val="B666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BDA2976"/>
    <w:multiLevelType w:val="hybridMultilevel"/>
    <w:tmpl w:val="A23A1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7C133366"/>
    <w:multiLevelType w:val="hybridMultilevel"/>
    <w:tmpl w:val="6390F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7CF17E4D"/>
    <w:multiLevelType w:val="multilevel"/>
    <w:tmpl w:val="57DC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D0B504E"/>
    <w:multiLevelType w:val="multilevel"/>
    <w:tmpl w:val="7C183DDC"/>
    <w:name w:val="Bullets2"/>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bullet"/>
      <w:lvlText w:val="-"/>
      <w:lvlJc w:val="left"/>
      <w:pPr>
        <w:ind w:left="1588" w:hanging="397"/>
      </w:pPr>
      <w:rPr>
        <w:rFonts w:ascii="Arial" w:hAnsi="Arial" w:hint="default"/>
      </w:rPr>
    </w:lvl>
    <w:lvl w:ilvl="4">
      <w:start w:val="1"/>
      <w:numFmt w:val="bullet"/>
      <w:lvlText w:val="o"/>
      <w:lvlJc w:val="left"/>
      <w:pPr>
        <w:ind w:left="1985" w:hanging="397"/>
      </w:pPr>
      <w:rPr>
        <w:rFonts w:ascii="Courier New" w:hAnsi="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01032"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25" w15:restartNumberingAfterBreak="0">
    <w:nsid w:val="7EC47695"/>
    <w:multiLevelType w:val="hybridMultilevel"/>
    <w:tmpl w:val="2C146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7F203158"/>
    <w:multiLevelType w:val="hybridMultilevel"/>
    <w:tmpl w:val="77B83EE0"/>
    <w:lvl w:ilvl="0" w:tplc="9C805F6C">
      <w:start w:val="1"/>
      <w:numFmt w:val="bullet"/>
      <w:lvlText w:val=""/>
      <w:lvlJc w:val="left"/>
      <w:pPr>
        <w:ind w:left="1020" w:hanging="360"/>
      </w:pPr>
      <w:rPr>
        <w:rFonts w:ascii="Symbol" w:hAnsi="Symbol"/>
      </w:rPr>
    </w:lvl>
    <w:lvl w:ilvl="1" w:tplc="2D28BD6A">
      <w:start w:val="1"/>
      <w:numFmt w:val="bullet"/>
      <w:lvlText w:val=""/>
      <w:lvlJc w:val="left"/>
      <w:pPr>
        <w:ind w:left="1020" w:hanging="360"/>
      </w:pPr>
      <w:rPr>
        <w:rFonts w:ascii="Symbol" w:hAnsi="Symbol"/>
      </w:rPr>
    </w:lvl>
    <w:lvl w:ilvl="2" w:tplc="34504E6A">
      <w:start w:val="1"/>
      <w:numFmt w:val="bullet"/>
      <w:lvlText w:val=""/>
      <w:lvlJc w:val="left"/>
      <w:pPr>
        <w:ind w:left="1020" w:hanging="360"/>
      </w:pPr>
      <w:rPr>
        <w:rFonts w:ascii="Symbol" w:hAnsi="Symbol"/>
      </w:rPr>
    </w:lvl>
    <w:lvl w:ilvl="3" w:tplc="86226D34">
      <w:start w:val="1"/>
      <w:numFmt w:val="bullet"/>
      <w:lvlText w:val=""/>
      <w:lvlJc w:val="left"/>
      <w:pPr>
        <w:ind w:left="1020" w:hanging="360"/>
      </w:pPr>
      <w:rPr>
        <w:rFonts w:ascii="Symbol" w:hAnsi="Symbol"/>
      </w:rPr>
    </w:lvl>
    <w:lvl w:ilvl="4" w:tplc="DB8C08BE">
      <w:start w:val="1"/>
      <w:numFmt w:val="bullet"/>
      <w:lvlText w:val=""/>
      <w:lvlJc w:val="left"/>
      <w:pPr>
        <w:ind w:left="1020" w:hanging="360"/>
      </w:pPr>
      <w:rPr>
        <w:rFonts w:ascii="Symbol" w:hAnsi="Symbol"/>
      </w:rPr>
    </w:lvl>
    <w:lvl w:ilvl="5" w:tplc="C8E6B544">
      <w:start w:val="1"/>
      <w:numFmt w:val="bullet"/>
      <w:lvlText w:val=""/>
      <w:lvlJc w:val="left"/>
      <w:pPr>
        <w:ind w:left="1020" w:hanging="360"/>
      </w:pPr>
      <w:rPr>
        <w:rFonts w:ascii="Symbol" w:hAnsi="Symbol"/>
      </w:rPr>
    </w:lvl>
    <w:lvl w:ilvl="6" w:tplc="7FB6C7D8">
      <w:start w:val="1"/>
      <w:numFmt w:val="bullet"/>
      <w:lvlText w:val=""/>
      <w:lvlJc w:val="left"/>
      <w:pPr>
        <w:ind w:left="1020" w:hanging="360"/>
      </w:pPr>
      <w:rPr>
        <w:rFonts w:ascii="Symbol" w:hAnsi="Symbol"/>
      </w:rPr>
    </w:lvl>
    <w:lvl w:ilvl="7" w:tplc="5672E0D0">
      <w:start w:val="1"/>
      <w:numFmt w:val="bullet"/>
      <w:lvlText w:val=""/>
      <w:lvlJc w:val="left"/>
      <w:pPr>
        <w:ind w:left="1020" w:hanging="360"/>
      </w:pPr>
      <w:rPr>
        <w:rFonts w:ascii="Symbol" w:hAnsi="Symbol"/>
      </w:rPr>
    </w:lvl>
    <w:lvl w:ilvl="8" w:tplc="2D64DB6C">
      <w:start w:val="1"/>
      <w:numFmt w:val="bullet"/>
      <w:lvlText w:val=""/>
      <w:lvlJc w:val="left"/>
      <w:pPr>
        <w:ind w:left="1020" w:hanging="360"/>
      </w:pPr>
      <w:rPr>
        <w:rFonts w:ascii="Symbol" w:hAnsi="Symbol"/>
      </w:rPr>
    </w:lvl>
  </w:abstractNum>
  <w:num w:numId="1" w16cid:durableId="974215733">
    <w:abstractNumId w:val="34"/>
  </w:num>
  <w:num w:numId="2" w16cid:durableId="42020749">
    <w:abstractNumId w:val="95"/>
  </w:num>
  <w:num w:numId="3" w16cid:durableId="270548580">
    <w:abstractNumId w:val="7"/>
  </w:num>
  <w:num w:numId="4" w16cid:durableId="1763456571">
    <w:abstractNumId w:val="35"/>
  </w:num>
  <w:num w:numId="5" w16cid:durableId="1458254607">
    <w:abstractNumId w:val="100"/>
  </w:num>
  <w:num w:numId="6" w16cid:durableId="208999996">
    <w:abstractNumId w:val="41"/>
  </w:num>
  <w:num w:numId="7" w16cid:durableId="1177766193">
    <w:abstractNumId w:val="79"/>
  </w:num>
  <w:num w:numId="8" w16cid:durableId="1181048319">
    <w:abstractNumId w:val="70"/>
  </w:num>
  <w:num w:numId="9" w16cid:durableId="121964129">
    <w:abstractNumId w:val="93"/>
  </w:num>
  <w:num w:numId="10" w16cid:durableId="1592011496">
    <w:abstractNumId w:val="76"/>
  </w:num>
  <w:num w:numId="11" w16cid:durableId="292056336">
    <w:abstractNumId w:val="71"/>
  </w:num>
  <w:num w:numId="12" w16cid:durableId="30962271">
    <w:abstractNumId w:val="112"/>
  </w:num>
  <w:num w:numId="13" w16cid:durableId="545220371">
    <w:abstractNumId w:val="15"/>
  </w:num>
  <w:num w:numId="14" w16cid:durableId="704906761">
    <w:abstractNumId w:val="16"/>
  </w:num>
  <w:num w:numId="15" w16cid:durableId="1991013051">
    <w:abstractNumId w:val="60"/>
  </w:num>
  <w:num w:numId="16" w16cid:durableId="129323831">
    <w:abstractNumId w:val="28"/>
  </w:num>
  <w:num w:numId="17" w16cid:durableId="411511365">
    <w:abstractNumId w:val="68"/>
  </w:num>
  <w:num w:numId="18" w16cid:durableId="104543988">
    <w:abstractNumId w:val="101"/>
  </w:num>
  <w:num w:numId="19" w16cid:durableId="1114597522">
    <w:abstractNumId w:val="5"/>
  </w:num>
  <w:num w:numId="20" w16cid:durableId="1899440315">
    <w:abstractNumId w:val="65"/>
  </w:num>
  <w:num w:numId="21" w16cid:durableId="2007702463">
    <w:abstractNumId w:val="86"/>
  </w:num>
  <w:num w:numId="22" w16cid:durableId="1171869917">
    <w:abstractNumId w:val="117"/>
  </w:num>
  <w:num w:numId="23" w16cid:durableId="105778655">
    <w:abstractNumId w:val="73"/>
  </w:num>
  <w:num w:numId="24" w16cid:durableId="117456754">
    <w:abstractNumId w:val="32"/>
  </w:num>
  <w:num w:numId="25" w16cid:durableId="1440025228">
    <w:abstractNumId w:val="62"/>
  </w:num>
  <w:num w:numId="26" w16cid:durableId="821192293">
    <w:abstractNumId w:val="111"/>
  </w:num>
  <w:num w:numId="27" w16cid:durableId="519588731">
    <w:abstractNumId w:val="27"/>
  </w:num>
  <w:num w:numId="28" w16cid:durableId="531959824">
    <w:abstractNumId w:val="110"/>
  </w:num>
  <w:num w:numId="29" w16cid:durableId="1872372906">
    <w:abstractNumId w:val="38"/>
  </w:num>
  <w:num w:numId="30" w16cid:durableId="1280062152">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31" w16cid:durableId="374932459">
    <w:abstractNumId w:val="121"/>
  </w:num>
  <w:num w:numId="32" w16cid:durableId="1212771621">
    <w:abstractNumId w:val="107"/>
  </w:num>
  <w:num w:numId="33" w16cid:durableId="1865902998">
    <w:abstractNumId w:val="49"/>
  </w:num>
  <w:num w:numId="34" w16cid:durableId="1848209444">
    <w:abstractNumId w:val="106"/>
  </w:num>
  <w:num w:numId="35" w16cid:durableId="947080753">
    <w:abstractNumId w:val="99"/>
  </w:num>
  <w:num w:numId="36" w16cid:durableId="895553634">
    <w:abstractNumId w:val="30"/>
  </w:num>
  <w:num w:numId="37" w16cid:durableId="427584783">
    <w:abstractNumId w:val="59"/>
  </w:num>
  <w:num w:numId="38" w16cid:durableId="122582540">
    <w:abstractNumId w:val="8"/>
  </w:num>
  <w:num w:numId="39" w16cid:durableId="827792430">
    <w:abstractNumId w:val="17"/>
  </w:num>
  <w:num w:numId="40" w16cid:durableId="589242416">
    <w:abstractNumId w:val="48"/>
  </w:num>
  <w:num w:numId="41" w16cid:durableId="938100944">
    <w:abstractNumId w:val="12"/>
  </w:num>
  <w:num w:numId="42" w16cid:durableId="932670879">
    <w:abstractNumId w:val="61"/>
  </w:num>
  <w:num w:numId="43" w16cid:durableId="1263226856">
    <w:abstractNumId w:val="18"/>
  </w:num>
  <w:num w:numId="44" w16cid:durableId="54864865">
    <w:abstractNumId w:val="113"/>
  </w:num>
  <w:num w:numId="45" w16cid:durableId="873156874">
    <w:abstractNumId w:val="119"/>
  </w:num>
  <w:num w:numId="46" w16cid:durableId="1625114589">
    <w:abstractNumId w:val="46"/>
  </w:num>
  <w:num w:numId="47" w16cid:durableId="491524764">
    <w:abstractNumId w:val="42"/>
  </w:num>
  <w:num w:numId="48" w16cid:durableId="1622954933">
    <w:abstractNumId w:val="104"/>
  </w:num>
  <w:num w:numId="49" w16cid:durableId="1729569273">
    <w:abstractNumId w:val="11"/>
  </w:num>
  <w:num w:numId="50" w16cid:durableId="1015615089">
    <w:abstractNumId w:val="72"/>
  </w:num>
  <w:num w:numId="51" w16cid:durableId="1398167496">
    <w:abstractNumId w:val="98"/>
  </w:num>
  <w:num w:numId="52" w16cid:durableId="825703096">
    <w:abstractNumId w:val="91"/>
  </w:num>
  <w:num w:numId="53" w16cid:durableId="1413696826">
    <w:abstractNumId w:val="45"/>
  </w:num>
  <w:num w:numId="54" w16cid:durableId="600645757">
    <w:abstractNumId w:val="6"/>
  </w:num>
  <w:num w:numId="55" w16cid:durableId="2145344090">
    <w:abstractNumId w:val="105"/>
  </w:num>
  <w:num w:numId="56" w16cid:durableId="1600404146">
    <w:abstractNumId w:val="114"/>
  </w:num>
  <w:num w:numId="57" w16cid:durableId="904341161">
    <w:abstractNumId w:val="20"/>
  </w:num>
  <w:num w:numId="58" w16cid:durableId="1155949159">
    <w:abstractNumId w:val="26"/>
  </w:num>
  <w:num w:numId="59" w16cid:durableId="9766267">
    <w:abstractNumId w:val="108"/>
  </w:num>
  <w:num w:numId="60" w16cid:durableId="1619217063">
    <w:abstractNumId w:val="51"/>
  </w:num>
  <w:num w:numId="61" w16cid:durableId="567882304">
    <w:abstractNumId w:val="40"/>
  </w:num>
  <w:num w:numId="62" w16cid:durableId="369689685">
    <w:abstractNumId w:val="96"/>
  </w:num>
  <w:num w:numId="63" w16cid:durableId="844251168">
    <w:abstractNumId w:val="66"/>
  </w:num>
  <w:num w:numId="64" w16cid:durableId="945625458">
    <w:abstractNumId w:val="74"/>
  </w:num>
  <w:num w:numId="65" w16cid:durableId="1902061966">
    <w:abstractNumId w:val="94"/>
  </w:num>
  <w:num w:numId="66" w16cid:durableId="1669871310">
    <w:abstractNumId w:val="69"/>
  </w:num>
  <w:num w:numId="67" w16cid:durableId="915749633">
    <w:abstractNumId w:val="118"/>
  </w:num>
  <w:num w:numId="68" w16cid:durableId="1273782325">
    <w:abstractNumId w:val="87"/>
  </w:num>
  <w:num w:numId="69" w16cid:durableId="1524319945">
    <w:abstractNumId w:val="10"/>
  </w:num>
  <w:num w:numId="70" w16cid:durableId="1674720744">
    <w:abstractNumId w:val="56"/>
  </w:num>
  <w:num w:numId="71" w16cid:durableId="1049233397">
    <w:abstractNumId w:val="120"/>
  </w:num>
  <w:num w:numId="72" w16cid:durableId="1319381739">
    <w:abstractNumId w:val="50"/>
  </w:num>
  <w:num w:numId="73" w16cid:durableId="351028553">
    <w:abstractNumId w:val="53"/>
  </w:num>
  <w:num w:numId="74" w16cid:durableId="747920623">
    <w:abstractNumId w:val="126"/>
  </w:num>
  <w:num w:numId="75" w16cid:durableId="1551306902">
    <w:abstractNumId w:val="25"/>
  </w:num>
  <w:num w:numId="76" w16cid:durableId="16742050">
    <w:abstractNumId w:val="24"/>
  </w:num>
  <w:num w:numId="77" w16cid:durableId="1020886742">
    <w:abstractNumId w:val="122"/>
  </w:num>
  <w:num w:numId="78" w16cid:durableId="1094279890">
    <w:abstractNumId w:val="85"/>
  </w:num>
  <w:num w:numId="79" w16cid:durableId="292560396">
    <w:abstractNumId w:val="109"/>
  </w:num>
  <w:num w:numId="80" w16cid:durableId="120196084">
    <w:abstractNumId w:val="52"/>
  </w:num>
  <w:num w:numId="81" w16cid:durableId="673730371">
    <w:abstractNumId w:val="2"/>
  </w:num>
  <w:num w:numId="82" w16cid:durableId="736517343">
    <w:abstractNumId w:val="37"/>
  </w:num>
  <w:num w:numId="83" w16cid:durableId="1812210453">
    <w:abstractNumId w:val="63"/>
  </w:num>
  <w:num w:numId="84" w16cid:durableId="255750007">
    <w:abstractNumId w:val="125"/>
  </w:num>
  <w:num w:numId="85" w16cid:durableId="281693684">
    <w:abstractNumId w:val="83"/>
  </w:num>
  <w:num w:numId="86" w16cid:durableId="554590391">
    <w:abstractNumId w:val="31"/>
  </w:num>
  <w:num w:numId="87" w16cid:durableId="1665359151">
    <w:abstractNumId w:val="14"/>
  </w:num>
  <w:num w:numId="88" w16cid:durableId="911041697">
    <w:abstractNumId w:val="82"/>
  </w:num>
  <w:num w:numId="89" w16cid:durableId="1051613312">
    <w:abstractNumId w:val="90"/>
  </w:num>
  <w:num w:numId="90" w16cid:durableId="1035230303">
    <w:abstractNumId w:val="1"/>
  </w:num>
  <w:num w:numId="91" w16cid:durableId="1998528344">
    <w:abstractNumId w:val="33"/>
  </w:num>
  <w:num w:numId="92" w16cid:durableId="1339112769">
    <w:abstractNumId w:val="21"/>
  </w:num>
  <w:num w:numId="93" w16cid:durableId="1246527230">
    <w:abstractNumId w:val="29"/>
  </w:num>
  <w:num w:numId="94" w16cid:durableId="1837451263">
    <w:abstractNumId w:val="0"/>
  </w:num>
  <w:num w:numId="95" w16cid:durableId="1438597812">
    <w:abstractNumId w:val="55"/>
  </w:num>
  <w:num w:numId="96" w16cid:durableId="1545360824">
    <w:abstractNumId w:val="64"/>
  </w:num>
  <w:num w:numId="97" w16cid:durableId="259265183">
    <w:abstractNumId w:val="23"/>
  </w:num>
  <w:num w:numId="98" w16cid:durableId="830681492">
    <w:abstractNumId w:val="47"/>
  </w:num>
  <w:num w:numId="99" w16cid:durableId="448622486">
    <w:abstractNumId w:val="36"/>
  </w:num>
  <w:num w:numId="100" w16cid:durableId="1293100167">
    <w:abstractNumId w:val="4"/>
  </w:num>
  <w:num w:numId="101" w16cid:durableId="2025015347">
    <w:abstractNumId w:val="13"/>
  </w:num>
  <w:num w:numId="102" w16cid:durableId="1318992621">
    <w:abstractNumId w:val="84"/>
  </w:num>
  <w:num w:numId="103" w16cid:durableId="1403676330">
    <w:abstractNumId w:val="97"/>
  </w:num>
  <w:num w:numId="104" w16cid:durableId="1323124019">
    <w:abstractNumId w:val="78"/>
  </w:num>
  <w:num w:numId="105" w16cid:durableId="1781678658">
    <w:abstractNumId w:val="19"/>
  </w:num>
  <w:num w:numId="106" w16cid:durableId="638339164">
    <w:abstractNumId w:val="7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efaultTableStyle w:val="TableGrid1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9C65B8"/>
    <w:rsid w:val="000000E7"/>
    <w:rsid w:val="00000194"/>
    <w:rsid w:val="000002E2"/>
    <w:rsid w:val="000004B1"/>
    <w:rsid w:val="00000627"/>
    <w:rsid w:val="0000073B"/>
    <w:rsid w:val="000007D3"/>
    <w:rsid w:val="000007E5"/>
    <w:rsid w:val="000008F7"/>
    <w:rsid w:val="000009B6"/>
    <w:rsid w:val="00000A3C"/>
    <w:rsid w:val="00000C0B"/>
    <w:rsid w:val="00000C9C"/>
    <w:rsid w:val="00000EFD"/>
    <w:rsid w:val="00000FA4"/>
    <w:rsid w:val="000011D2"/>
    <w:rsid w:val="00001443"/>
    <w:rsid w:val="000014BD"/>
    <w:rsid w:val="000014D9"/>
    <w:rsid w:val="00001576"/>
    <w:rsid w:val="00001797"/>
    <w:rsid w:val="00001851"/>
    <w:rsid w:val="0000199A"/>
    <w:rsid w:val="00001A87"/>
    <w:rsid w:val="00001B04"/>
    <w:rsid w:val="00001CA2"/>
    <w:rsid w:val="00001DFD"/>
    <w:rsid w:val="00001E67"/>
    <w:rsid w:val="00001FD3"/>
    <w:rsid w:val="000020B9"/>
    <w:rsid w:val="000025C8"/>
    <w:rsid w:val="000025F0"/>
    <w:rsid w:val="000026F9"/>
    <w:rsid w:val="0000280E"/>
    <w:rsid w:val="0000281B"/>
    <w:rsid w:val="000028F4"/>
    <w:rsid w:val="00002B4B"/>
    <w:rsid w:val="00002BC9"/>
    <w:rsid w:val="00002C8D"/>
    <w:rsid w:val="00002CFA"/>
    <w:rsid w:val="00002F86"/>
    <w:rsid w:val="000034C5"/>
    <w:rsid w:val="000035F6"/>
    <w:rsid w:val="00003724"/>
    <w:rsid w:val="00003779"/>
    <w:rsid w:val="00003782"/>
    <w:rsid w:val="00003813"/>
    <w:rsid w:val="0000389D"/>
    <w:rsid w:val="00003B01"/>
    <w:rsid w:val="00003EB5"/>
    <w:rsid w:val="00003F05"/>
    <w:rsid w:val="00003FAF"/>
    <w:rsid w:val="000041B3"/>
    <w:rsid w:val="00004213"/>
    <w:rsid w:val="00004327"/>
    <w:rsid w:val="000043FA"/>
    <w:rsid w:val="00004429"/>
    <w:rsid w:val="0000464D"/>
    <w:rsid w:val="00004810"/>
    <w:rsid w:val="000049E2"/>
    <w:rsid w:val="00004A68"/>
    <w:rsid w:val="00004ADD"/>
    <w:rsid w:val="00004B34"/>
    <w:rsid w:val="00004D8F"/>
    <w:rsid w:val="00004DA2"/>
    <w:rsid w:val="00004DE1"/>
    <w:rsid w:val="00004EB4"/>
    <w:rsid w:val="00004EEE"/>
    <w:rsid w:val="00005056"/>
    <w:rsid w:val="000053B9"/>
    <w:rsid w:val="00005665"/>
    <w:rsid w:val="0000583B"/>
    <w:rsid w:val="00005886"/>
    <w:rsid w:val="00005A1A"/>
    <w:rsid w:val="000060A2"/>
    <w:rsid w:val="000062FE"/>
    <w:rsid w:val="00006366"/>
    <w:rsid w:val="000063EE"/>
    <w:rsid w:val="000064D1"/>
    <w:rsid w:val="000065C6"/>
    <w:rsid w:val="0000662F"/>
    <w:rsid w:val="000068CA"/>
    <w:rsid w:val="00006994"/>
    <w:rsid w:val="00006A06"/>
    <w:rsid w:val="00006BA7"/>
    <w:rsid w:val="00006C34"/>
    <w:rsid w:val="00006C90"/>
    <w:rsid w:val="00006CDE"/>
    <w:rsid w:val="00006CF1"/>
    <w:rsid w:val="00006CF8"/>
    <w:rsid w:val="00007136"/>
    <w:rsid w:val="0000736B"/>
    <w:rsid w:val="000074A1"/>
    <w:rsid w:val="0000756D"/>
    <w:rsid w:val="00007591"/>
    <w:rsid w:val="000077C8"/>
    <w:rsid w:val="000078B8"/>
    <w:rsid w:val="00007C29"/>
    <w:rsid w:val="00007DFF"/>
    <w:rsid w:val="00007F5C"/>
    <w:rsid w:val="00010070"/>
    <w:rsid w:val="0001017D"/>
    <w:rsid w:val="000101E8"/>
    <w:rsid w:val="00010346"/>
    <w:rsid w:val="00010377"/>
    <w:rsid w:val="000103DA"/>
    <w:rsid w:val="000105A9"/>
    <w:rsid w:val="00010712"/>
    <w:rsid w:val="00010869"/>
    <w:rsid w:val="0001091E"/>
    <w:rsid w:val="00010A61"/>
    <w:rsid w:val="00010DC6"/>
    <w:rsid w:val="00010E1A"/>
    <w:rsid w:val="00010F89"/>
    <w:rsid w:val="0001111F"/>
    <w:rsid w:val="00011306"/>
    <w:rsid w:val="000113D6"/>
    <w:rsid w:val="00011441"/>
    <w:rsid w:val="000115DE"/>
    <w:rsid w:val="000116CA"/>
    <w:rsid w:val="000119B2"/>
    <w:rsid w:val="00011C29"/>
    <w:rsid w:val="00011E4D"/>
    <w:rsid w:val="00011E90"/>
    <w:rsid w:val="00011F46"/>
    <w:rsid w:val="00012064"/>
    <w:rsid w:val="0001216C"/>
    <w:rsid w:val="000121E4"/>
    <w:rsid w:val="0001233B"/>
    <w:rsid w:val="0001239C"/>
    <w:rsid w:val="000123E5"/>
    <w:rsid w:val="0001258C"/>
    <w:rsid w:val="000125A5"/>
    <w:rsid w:val="00012693"/>
    <w:rsid w:val="00012804"/>
    <w:rsid w:val="00012909"/>
    <w:rsid w:val="000129AE"/>
    <w:rsid w:val="00012A7D"/>
    <w:rsid w:val="00012B15"/>
    <w:rsid w:val="00012E50"/>
    <w:rsid w:val="00012E9D"/>
    <w:rsid w:val="00012EDD"/>
    <w:rsid w:val="00012EF9"/>
    <w:rsid w:val="00012F87"/>
    <w:rsid w:val="00012FFB"/>
    <w:rsid w:val="000130AA"/>
    <w:rsid w:val="000130BD"/>
    <w:rsid w:val="000132FF"/>
    <w:rsid w:val="00013C91"/>
    <w:rsid w:val="00013CBA"/>
    <w:rsid w:val="00013CBF"/>
    <w:rsid w:val="00013E55"/>
    <w:rsid w:val="00013ECD"/>
    <w:rsid w:val="00013F49"/>
    <w:rsid w:val="00013F6B"/>
    <w:rsid w:val="00014289"/>
    <w:rsid w:val="00014322"/>
    <w:rsid w:val="000146FD"/>
    <w:rsid w:val="000147DB"/>
    <w:rsid w:val="0001480A"/>
    <w:rsid w:val="00014AD2"/>
    <w:rsid w:val="00014C5A"/>
    <w:rsid w:val="00014E0F"/>
    <w:rsid w:val="00014E4E"/>
    <w:rsid w:val="00014ECA"/>
    <w:rsid w:val="000152AC"/>
    <w:rsid w:val="00015343"/>
    <w:rsid w:val="0001550B"/>
    <w:rsid w:val="00015516"/>
    <w:rsid w:val="00015646"/>
    <w:rsid w:val="00015A71"/>
    <w:rsid w:val="00015B22"/>
    <w:rsid w:val="00015E35"/>
    <w:rsid w:val="000160AB"/>
    <w:rsid w:val="000160D3"/>
    <w:rsid w:val="000160DB"/>
    <w:rsid w:val="00016364"/>
    <w:rsid w:val="0001655F"/>
    <w:rsid w:val="00016563"/>
    <w:rsid w:val="0001673B"/>
    <w:rsid w:val="00016883"/>
    <w:rsid w:val="00016D01"/>
    <w:rsid w:val="00016DCE"/>
    <w:rsid w:val="00016EE1"/>
    <w:rsid w:val="00016F2F"/>
    <w:rsid w:val="00016FA9"/>
    <w:rsid w:val="00017121"/>
    <w:rsid w:val="000171A6"/>
    <w:rsid w:val="00017224"/>
    <w:rsid w:val="00017249"/>
    <w:rsid w:val="00017682"/>
    <w:rsid w:val="000176D2"/>
    <w:rsid w:val="000176FE"/>
    <w:rsid w:val="00017700"/>
    <w:rsid w:val="0001791C"/>
    <w:rsid w:val="000179B4"/>
    <w:rsid w:val="000179B7"/>
    <w:rsid w:val="00017B4C"/>
    <w:rsid w:val="00017B79"/>
    <w:rsid w:val="00017C72"/>
    <w:rsid w:val="00017CA1"/>
    <w:rsid w:val="00017E02"/>
    <w:rsid w:val="00017E78"/>
    <w:rsid w:val="00017ECD"/>
    <w:rsid w:val="00020011"/>
    <w:rsid w:val="000200E9"/>
    <w:rsid w:val="00020166"/>
    <w:rsid w:val="000202AA"/>
    <w:rsid w:val="00020425"/>
    <w:rsid w:val="0002048A"/>
    <w:rsid w:val="000210CD"/>
    <w:rsid w:val="000210F2"/>
    <w:rsid w:val="00021102"/>
    <w:rsid w:val="00021161"/>
    <w:rsid w:val="000212F5"/>
    <w:rsid w:val="00021336"/>
    <w:rsid w:val="000213FC"/>
    <w:rsid w:val="00021595"/>
    <w:rsid w:val="000217AC"/>
    <w:rsid w:val="00021890"/>
    <w:rsid w:val="00021C98"/>
    <w:rsid w:val="00021CE7"/>
    <w:rsid w:val="00021E4A"/>
    <w:rsid w:val="00021F27"/>
    <w:rsid w:val="00021F6E"/>
    <w:rsid w:val="000220CE"/>
    <w:rsid w:val="00022159"/>
    <w:rsid w:val="0002215E"/>
    <w:rsid w:val="000221C6"/>
    <w:rsid w:val="000223BD"/>
    <w:rsid w:val="000224F8"/>
    <w:rsid w:val="000225CA"/>
    <w:rsid w:val="0002274E"/>
    <w:rsid w:val="0002292C"/>
    <w:rsid w:val="00022948"/>
    <w:rsid w:val="00022C48"/>
    <w:rsid w:val="00022CAE"/>
    <w:rsid w:val="00022DAF"/>
    <w:rsid w:val="00022E91"/>
    <w:rsid w:val="00022F8F"/>
    <w:rsid w:val="00022FC9"/>
    <w:rsid w:val="0002311F"/>
    <w:rsid w:val="0002313E"/>
    <w:rsid w:val="00023198"/>
    <w:rsid w:val="00023212"/>
    <w:rsid w:val="000232E5"/>
    <w:rsid w:val="000233E1"/>
    <w:rsid w:val="000233EB"/>
    <w:rsid w:val="000234EF"/>
    <w:rsid w:val="00023619"/>
    <w:rsid w:val="00023667"/>
    <w:rsid w:val="000236DE"/>
    <w:rsid w:val="000237CD"/>
    <w:rsid w:val="000237D4"/>
    <w:rsid w:val="00023839"/>
    <w:rsid w:val="00023B2B"/>
    <w:rsid w:val="00023C88"/>
    <w:rsid w:val="00023F17"/>
    <w:rsid w:val="0002427F"/>
    <w:rsid w:val="000244F9"/>
    <w:rsid w:val="0002455E"/>
    <w:rsid w:val="00024789"/>
    <w:rsid w:val="000247CC"/>
    <w:rsid w:val="000249E5"/>
    <w:rsid w:val="00024A76"/>
    <w:rsid w:val="00024DE5"/>
    <w:rsid w:val="00024DF9"/>
    <w:rsid w:val="00024F9A"/>
    <w:rsid w:val="000250F6"/>
    <w:rsid w:val="000253A3"/>
    <w:rsid w:val="0002542D"/>
    <w:rsid w:val="000254FB"/>
    <w:rsid w:val="00025639"/>
    <w:rsid w:val="0002589B"/>
    <w:rsid w:val="000258DD"/>
    <w:rsid w:val="00025C0A"/>
    <w:rsid w:val="00025E2B"/>
    <w:rsid w:val="00025F17"/>
    <w:rsid w:val="00025FBF"/>
    <w:rsid w:val="0002608A"/>
    <w:rsid w:val="000262D8"/>
    <w:rsid w:val="0002636E"/>
    <w:rsid w:val="000263F1"/>
    <w:rsid w:val="000265EA"/>
    <w:rsid w:val="00026676"/>
    <w:rsid w:val="0002689A"/>
    <w:rsid w:val="000268D3"/>
    <w:rsid w:val="00026B1E"/>
    <w:rsid w:val="00026D06"/>
    <w:rsid w:val="00026D89"/>
    <w:rsid w:val="00026DC2"/>
    <w:rsid w:val="00026F37"/>
    <w:rsid w:val="00026F44"/>
    <w:rsid w:val="00026F6C"/>
    <w:rsid w:val="00027089"/>
    <w:rsid w:val="00027160"/>
    <w:rsid w:val="000271C8"/>
    <w:rsid w:val="000272E8"/>
    <w:rsid w:val="000273C5"/>
    <w:rsid w:val="0002754A"/>
    <w:rsid w:val="000277A5"/>
    <w:rsid w:val="00027949"/>
    <w:rsid w:val="00027BDF"/>
    <w:rsid w:val="00027DE0"/>
    <w:rsid w:val="00027E44"/>
    <w:rsid w:val="00027F82"/>
    <w:rsid w:val="00027FC0"/>
    <w:rsid w:val="00030214"/>
    <w:rsid w:val="0003043B"/>
    <w:rsid w:val="00030440"/>
    <w:rsid w:val="00030557"/>
    <w:rsid w:val="000306F3"/>
    <w:rsid w:val="00030753"/>
    <w:rsid w:val="00030A2F"/>
    <w:rsid w:val="00030A38"/>
    <w:rsid w:val="00030A76"/>
    <w:rsid w:val="00030BF2"/>
    <w:rsid w:val="00030C33"/>
    <w:rsid w:val="00030C86"/>
    <w:rsid w:val="00030D28"/>
    <w:rsid w:val="00030DE7"/>
    <w:rsid w:val="00030EC4"/>
    <w:rsid w:val="00030EE3"/>
    <w:rsid w:val="000312AD"/>
    <w:rsid w:val="00031366"/>
    <w:rsid w:val="000313A4"/>
    <w:rsid w:val="000313B2"/>
    <w:rsid w:val="00031484"/>
    <w:rsid w:val="000314E4"/>
    <w:rsid w:val="00031556"/>
    <w:rsid w:val="00031765"/>
    <w:rsid w:val="00031832"/>
    <w:rsid w:val="00031871"/>
    <w:rsid w:val="00031878"/>
    <w:rsid w:val="000318B7"/>
    <w:rsid w:val="00031A1B"/>
    <w:rsid w:val="00031AC3"/>
    <w:rsid w:val="00031B70"/>
    <w:rsid w:val="00031EFD"/>
    <w:rsid w:val="0003235A"/>
    <w:rsid w:val="00032442"/>
    <w:rsid w:val="00032616"/>
    <w:rsid w:val="00032A85"/>
    <w:rsid w:val="00032B7B"/>
    <w:rsid w:val="00032D6E"/>
    <w:rsid w:val="00032E36"/>
    <w:rsid w:val="00032FF7"/>
    <w:rsid w:val="00033011"/>
    <w:rsid w:val="00033034"/>
    <w:rsid w:val="000331F6"/>
    <w:rsid w:val="0003320D"/>
    <w:rsid w:val="000332EC"/>
    <w:rsid w:val="00033306"/>
    <w:rsid w:val="0003342E"/>
    <w:rsid w:val="00033437"/>
    <w:rsid w:val="000334E1"/>
    <w:rsid w:val="000337A3"/>
    <w:rsid w:val="00033813"/>
    <w:rsid w:val="000338D7"/>
    <w:rsid w:val="000339A2"/>
    <w:rsid w:val="00033BEB"/>
    <w:rsid w:val="00033E04"/>
    <w:rsid w:val="00033E6C"/>
    <w:rsid w:val="00033FA8"/>
    <w:rsid w:val="000343D3"/>
    <w:rsid w:val="00034502"/>
    <w:rsid w:val="00034542"/>
    <w:rsid w:val="00034862"/>
    <w:rsid w:val="00034988"/>
    <w:rsid w:val="00034A43"/>
    <w:rsid w:val="00034ADC"/>
    <w:rsid w:val="00034E7A"/>
    <w:rsid w:val="00035128"/>
    <w:rsid w:val="00035462"/>
    <w:rsid w:val="0003554C"/>
    <w:rsid w:val="000355F9"/>
    <w:rsid w:val="000356AC"/>
    <w:rsid w:val="00035707"/>
    <w:rsid w:val="0003595E"/>
    <w:rsid w:val="00035990"/>
    <w:rsid w:val="000359F3"/>
    <w:rsid w:val="00035A19"/>
    <w:rsid w:val="00035F61"/>
    <w:rsid w:val="000363FB"/>
    <w:rsid w:val="00036429"/>
    <w:rsid w:val="00036A7F"/>
    <w:rsid w:val="00036D45"/>
    <w:rsid w:val="0003703B"/>
    <w:rsid w:val="0003714C"/>
    <w:rsid w:val="0003735A"/>
    <w:rsid w:val="000374E9"/>
    <w:rsid w:val="000375BF"/>
    <w:rsid w:val="0003764A"/>
    <w:rsid w:val="000377FB"/>
    <w:rsid w:val="000378DD"/>
    <w:rsid w:val="000378EF"/>
    <w:rsid w:val="0003797B"/>
    <w:rsid w:val="00037A0D"/>
    <w:rsid w:val="00037B30"/>
    <w:rsid w:val="00037B67"/>
    <w:rsid w:val="00037EAD"/>
    <w:rsid w:val="00040001"/>
    <w:rsid w:val="000400C2"/>
    <w:rsid w:val="00040200"/>
    <w:rsid w:val="00040490"/>
    <w:rsid w:val="00040534"/>
    <w:rsid w:val="0004063A"/>
    <w:rsid w:val="00040713"/>
    <w:rsid w:val="00040790"/>
    <w:rsid w:val="000408B7"/>
    <w:rsid w:val="00040A07"/>
    <w:rsid w:val="00040A8D"/>
    <w:rsid w:val="00040DD4"/>
    <w:rsid w:val="00040EB4"/>
    <w:rsid w:val="000410C2"/>
    <w:rsid w:val="0004118A"/>
    <w:rsid w:val="000411A2"/>
    <w:rsid w:val="000411FC"/>
    <w:rsid w:val="0004135C"/>
    <w:rsid w:val="00041548"/>
    <w:rsid w:val="000415EE"/>
    <w:rsid w:val="00041613"/>
    <w:rsid w:val="0004162A"/>
    <w:rsid w:val="00041805"/>
    <w:rsid w:val="00041987"/>
    <w:rsid w:val="00041A80"/>
    <w:rsid w:val="00041CC3"/>
    <w:rsid w:val="00041FEB"/>
    <w:rsid w:val="00042038"/>
    <w:rsid w:val="00042231"/>
    <w:rsid w:val="00042342"/>
    <w:rsid w:val="0004238E"/>
    <w:rsid w:val="00042488"/>
    <w:rsid w:val="00042581"/>
    <w:rsid w:val="000426BF"/>
    <w:rsid w:val="000427F2"/>
    <w:rsid w:val="00042903"/>
    <w:rsid w:val="000429D4"/>
    <w:rsid w:val="00042A1E"/>
    <w:rsid w:val="00042A83"/>
    <w:rsid w:val="00042CCB"/>
    <w:rsid w:val="00042CEC"/>
    <w:rsid w:val="00042E85"/>
    <w:rsid w:val="00042F28"/>
    <w:rsid w:val="000430C8"/>
    <w:rsid w:val="00043167"/>
    <w:rsid w:val="00043244"/>
    <w:rsid w:val="00043268"/>
    <w:rsid w:val="00043594"/>
    <w:rsid w:val="000435A8"/>
    <w:rsid w:val="00043984"/>
    <w:rsid w:val="00043A71"/>
    <w:rsid w:val="00043B15"/>
    <w:rsid w:val="00043BFE"/>
    <w:rsid w:val="00043C11"/>
    <w:rsid w:val="00043EA3"/>
    <w:rsid w:val="000442CE"/>
    <w:rsid w:val="000442E4"/>
    <w:rsid w:val="000442FF"/>
    <w:rsid w:val="000443FC"/>
    <w:rsid w:val="000444AC"/>
    <w:rsid w:val="00044537"/>
    <w:rsid w:val="00044745"/>
    <w:rsid w:val="0004476B"/>
    <w:rsid w:val="00044913"/>
    <w:rsid w:val="00044950"/>
    <w:rsid w:val="00044A9A"/>
    <w:rsid w:val="00044B33"/>
    <w:rsid w:val="00044BA6"/>
    <w:rsid w:val="00044BA9"/>
    <w:rsid w:val="00044C0A"/>
    <w:rsid w:val="00044C0D"/>
    <w:rsid w:val="00044CBE"/>
    <w:rsid w:val="00044D92"/>
    <w:rsid w:val="00044DAF"/>
    <w:rsid w:val="0004507D"/>
    <w:rsid w:val="0004534B"/>
    <w:rsid w:val="000453AA"/>
    <w:rsid w:val="00045462"/>
    <w:rsid w:val="000456B5"/>
    <w:rsid w:val="0004596D"/>
    <w:rsid w:val="00045B1D"/>
    <w:rsid w:val="00045BA2"/>
    <w:rsid w:val="00045BD0"/>
    <w:rsid w:val="00045CED"/>
    <w:rsid w:val="00045EE4"/>
    <w:rsid w:val="00046025"/>
    <w:rsid w:val="000464C1"/>
    <w:rsid w:val="000464CB"/>
    <w:rsid w:val="0004675A"/>
    <w:rsid w:val="00046847"/>
    <w:rsid w:val="00046B6F"/>
    <w:rsid w:val="000471E7"/>
    <w:rsid w:val="00047348"/>
    <w:rsid w:val="00047383"/>
    <w:rsid w:val="0004742E"/>
    <w:rsid w:val="000474BB"/>
    <w:rsid w:val="0004762D"/>
    <w:rsid w:val="0004789C"/>
    <w:rsid w:val="00047AD0"/>
    <w:rsid w:val="00047D4F"/>
    <w:rsid w:val="00047DD4"/>
    <w:rsid w:val="00047E67"/>
    <w:rsid w:val="00047F6E"/>
    <w:rsid w:val="000500E4"/>
    <w:rsid w:val="00050468"/>
    <w:rsid w:val="00050507"/>
    <w:rsid w:val="00050573"/>
    <w:rsid w:val="00050640"/>
    <w:rsid w:val="00050646"/>
    <w:rsid w:val="00050673"/>
    <w:rsid w:val="00050713"/>
    <w:rsid w:val="000508A2"/>
    <w:rsid w:val="00050912"/>
    <w:rsid w:val="000509F5"/>
    <w:rsid w:val="00050A40"/>
    <w:rsid w:val="00050D58"/>
    <w:rsid w:val="00050D99"/>
    <w:rsid w:val="00050EA4"/>
    <w:rsid w:val="00050EDC"/>
    <w:rsid w:val="0005107B"/>
    <w:rsid w:val="0005115B"/>
    <w:rsid w:val="0005136D"/>
    <w:rsid w:val="00051583"/>
    <w:rsid w:val="0005168C"/>
    <w:rsid w:val="00051825"/>
    <w:rsid w:val="00051AFF"/>
    <w:rsid w:val="00051B73"/>
    <w:rsid w:val="00051BFC"/>
    <w:rsid w:val="00051C86"/>
    <w:rsid w:val="00051D5C"/>
    <w:rsid w:val="00051E0F"/>
    <w:rsid w:val="00052079"/>
    <w:rsid w:val="000520A6"/>
    <w:rsid w:val="0005213F"/>
    <w:rsid w:val="000521DA"/>
    <w:rsid w:val="00052416"/>
    <w:rsid w:val="00052454"/>
    <w:rsid w:val="0005252A"/>
    <w:rsid w:val="00052760"/>
    <w:rsid w:val="000529FB"/>
    <w:rsid w:val="00052A9B"/>
    <w:rsid w:val="00052BA4"/>
    <w:rsid w:val="00052BE1"/>
    <w:rsid w:val="00052D42"/>
    <w:rsid w:val="00052F13"/>
    <w:rsid w:val="000530E5"/>
    <w:rsid w:val="000530F6"/>
    <w:rsid w:val="0005315B"/>
    <w:rsid w:val="000531B6"/>
    <w:rsid w:val="000532A1"/>
    <w:rsid w:val="00053590"/>
    <w:rsid w:val="00053820"/>
    <w:rsid w:val="00053945"/>
    <w:rsid w:val="00053C58"/>
    <w:rsid w:val="00053DA1"/>
    <w:rsid w:val="00053E80"/>
    <w:rsid w:val="000540E5"/>
    <w:rsid w:val="0005412E"/>
    <w:rsid w:val="0005414E"/>
    <w:rsid w:val="0005421F"/>
    <w:rsid w:val="00054331"/>
    <w:rsid w:val="0005443A"/>
    <w:rsid w:val="00054594"/>
    <w:rsid w:val="00054889"/>
    <w:rsid w:val="000549F6"/>
    <w:rsid w:val="00054C98"/>
    <w:rsid w:val="00054D2A"/>
    <w:rsid w:val="00054EA5"/>
    <w:rsid w:val="00054F47"/>
    <w:rsid w:val="00054F75"/>
    <w:rsid w:val="000551FE"/>
    <w:rsid w:val="00055263"/>
    <w:rsid w:val="000554E1"/>
    <w:rsid w:val="00055502"/>
    <w:rsid w:val="00055562"/>
    <w:rsid w:val="00055568"/>
    <w:rsid w:val="000559E8"/>
    <w:rsid w:val="00055A0B"/>
    <w:rsid w:val="00055C17"/>
    <w:rsid w:val="00056024"/>
    <w:rsid w:val="000561E8"/>
    <w:rsid w:val="00056222"/>
    <w:rsid w:val="000563C9"/>
    <w:rsid w:val="000564BF"/>
    <w:rsid w:val="000567D4"/>
    <w:rsid w:val="00056A83"/>
    <w:rsid w:val="00056B5D"/>
    <w:rsid w:val="00056D0A"/>
    <w:rsid w:val="00056E13"/>
    <w:rsid w:val="00056F1A"/>
    <w:rsid w:val="0005708B"/>
    <w:rsid w:val="0005709C"/>
    <w:rsid w:val="00057313"/>
    <w:rsid w:val="0005745B"/>
    <w:rsid w:val="00057461"/>
    <w:rsid w:val="000574CC"/>
    <w:rsid w:val="00057557"/>
    <w:rsid w:val="0005759E"/>
    <w:rsid w:val="0005768A"/>
    <w:rsid w:val="00057784"/>
    <w:rsid w:val="000578AE"/>
    <w:rsid w:val="000578D9"/>
    <w:rsid w:val="00057B46"/>
    <w:rsid w:val="00057BB2"/>
    <w:rsid w:val="00057C60"/>
    <w:rsid w:val="00057DFB"/>
    <w:rsid w:val="00057EF4"/>
    <w:rsid w:val="00060132"/>
    <w:rsid w:val="000601AD"/>
    <w:rsid w:val="0006029C"/>
    <w:rsid w:val="0006037B"/>
    <w:rsid w:val="000603C6"/>
    <w:rsid w:val="00060489"/>
    <w:rsid w:val="000604DF"/>
    <w:rsid w:val="000606E5"/>
    <w:rsid w:val="00060762"/>
    <w:rsid w:val="000607EC"/>
    <w:rsid w:val="00060B9F"/>
    <w:rsid w:val="00061258"/>
    <w:rsid w:val="000614E3"/>
    <w:rsid w:val="00061849"/>
    <w:rsid w:val="000618ED"/>
    <w:rsid w:val="00061B31"/>
    <w:rsid w:val="00061C69"/>
    <w:rsid w:val="00061EC6"/>
    <w:rsid w:val="00062106"/>
    <w:rsid w:val="000624EA"/>
    <w:rsid w:val="00062597"/>
    <w:rsid w:val="00062777"/>
    <w:rsid w:val="0006283A"/>
    <w:rsid w:val="00062A6F"/>
    <w:rsid w:val="00062ACC"/>
    <w:rsid w:val="000630F2"/>
    <w:rsid w:val="000631F3"/>
    <w:rsid w:val="00063314"/>
    <w:rsid w:val="0006337B"/>
    <w:rsid w:val="000633A7"/>
    <w:rsid w:val="0006340F"/>
    <w:rsid w:val="000634B5"/>
    <w:rsid w:val="000634D0"/>
    <w:rsid w:val="00063808"/>
    <w:rsid w:val="000638E3"/>
    <w:rsid w:val="00063BA5"/>
    <w:rsid w:val="00063CA5"/>
    <w:rsid w:val="00063EFA"/>
    <w:rsid w:val="00064099"/>
    <w:rsid w:val="0006411F"/>
    <w:rsid w:val="0006414B"/>
    <w:rsid w:val="000641F0"/>
    <w:rsid w:val="000644E3"/>
    <w:rsid w:val="00064713"/>
    <w:rsid w:val="0006484B"/>
    <w:rsid w:val="00064879"/>
    <w:rsid w:val="00064924"/>
    <w:rsid w:val="00064B25"/>
    <w:rsid w:val="00064B43"/>
    <w:rsid w:val="00064C0C"/>
    <w:rsid w:val="00064DF9"/>
    <w:rsid w:val="00064EDA"/>
    <w:rsid w:val="00064F2E"/>
    <w:rsid w:val="00064FF7"/>
    <w:rsid w:val="000651FE"/>
    <w:rsid w:val="00065412"/>
    <w:rsid w:val="0006542E"/>
    <w:rsid w:val="0006546A"/>
    <w:rsid w:val="0006569F"/>
    <w:rsid w:val="000658C7"/>
    <w:rsid w:val="00065AF1"/>
    <w:rsid w:val="00065D5E"/>
    <w:rsid w:val="000660E5"/>
    <w:rsid w:val="000662BB"/>
    <w:rsid w:val="000662BF"/>
    <w:rsid w:val="00066365"/>
    <w:rsid w:val="00066423"/>
    <w:rsid w:val="000664D2"/>
    <w:rsid w:val="00066532"/>
    <w:rsid w:val="000667D3"/>
    <w:rsid w:val="000667FF"/>
    <w:rsid w:val="00066817"/>
    <w:rsid w:val="00066A4B"/>
    <w:rsid w:val="00066AF7"/>
    <w:rsid w:val="00066C06"/>
    <w:rsid w:val="00066D16"/>
    <w:rsid w:val="00066E0A"/>
    <w:rsid w:val="00066E8F"/>
    <w:rsid w:val="000671DC"/>
    <w:rsid w:val="000674D8"/>
    <w:rsid w:val="00067531"/>
    <w:rsid w:val="00067577"/>
    <w:rsid w:val="000675B0"/>
    <w:rsid w:val="0006776D"/>
    <w:rsid w:val="0006799B"/>
    <w:rsid w:val="00067A55"/>
    <w:rsid w:val="00067C62"/>
    <w:rsid w:val="00067E00"/>
    <w:rsid w:val="00070118"/>
    <w:rsid w:val="00070541"/>
    <w:rsid w:val="00070789"/>
    <w:rsid w:val="00070794"/>
    <w:rsid w:val="0007089F"/>
    <w:rsid w:val="0007097C"/>
    <w:rsid w:val="00070AE0"/>
    <w:rsid w:val="00070B42"/>
    <w:rsid w:val="00070DDE"/>
    <w:rsid w:val="00070E22"/>
    <w:rsid w:val="00070E8E"/>
    <w:rsid w:val="00071153"/>
    <w:rsid w:val="000712FF"/>
    <w:rsid w:val="000713CE"/>
    <w:rsid w:val="00071640"/>
    <w:rsid w:val="0007166A"/>
    <w:rsid w:val="0007192F"/>
    <w:rsid w:val="00071DF4"/>
    <w:rsid w:val="00071EF3"/>
    <w:rsid w:val="00072057"/>
    <w:rsid w:val="0007205B"/>
    <w:rsid w:val="00072151"/>
    <w:rsid w:val="00072166"/>
    <w:rsid w:val="00072196"/>
    <w:rsid w:val="000721E2"/>
    <w:rsid w:val="0007247D"/>
    <w:rsid w:val="000724B1"/>
    <w:rsid w:val="00072758"/>
    <w:rsid w:val="00072799"/>
    <w:rsid w:val="0007282C"/>
    <w:rsid w:val="0007284D"/>
    <w:rsid w:val="00072A3B"/>
    <w:rsid w:val="00072B80"/>
    <w:rsid w:val="00072C42"/>
    <w:rsid w:val="00072CE0"/>
    <w:rsid w:val="000731F2"/>
    <w:rsid w:val="0007351A"/>
    <w:rsid w:val="0007363E"/>
    <w:rsid w:val="00073B28"/>
    <w:rsid w:val="00073ECD"/>
    <w:rsid w:val="00074035"/>
    <w:rsid w:val="00074041"/>
    <w:rsid w:val="000740AA"/>
    <w:rsid w:val="000742D0"/>
    <w:rsid w:val="00074415"/>
    <w:rsid w:val="00074445"/>
    <w:rsid w:val="000745A9"/>
    <w:rsid w:val="00074617"/>
    <w:rsid w:val="00074758"/>
    <w:rsid w:val="000747BC"/>
    <w:rsid w:val="00074A97"/>
    <w:rsid w:val="00074EF6"/>
    <w:rsid w:val="00074F0E"/>
    <w:rsid w:val="0007505D"/>
    <w:rsid w:val="000751B0"/>
    <w:rsid w:val="000759FF"/>
    <w:rsid w:val="00075AD5"/>
    <w:rsid w:val="00075B3F"/>
    <w:rsid w:val="00075C42"/>
    <w:rsid w:val="00075C46"/>
    <w:rsid w:val="00075C51"/>
    <w:rsid w:val="00075C8B"/>
    <w:rsid w:val="00075C90"/>
    <w:rsid w:val="00075E60"/>
    <w:rsid w:val="00075ED6"/>
    <w:rsid w:val="0007616A"/>
    <w:rsid w:val="00076287"/>
    <w:rsid w:val="000762EE"/>
    <w:rsid w:val="000764DD"/>
    <w:rsid w:val="0007655A"/>
    <w:rsid w:val="000766C9"/>
    <w:rsid w:val="000767B2"/>
    <w:rsid w:val="000769FE"/>
    <w:rsid w:val="00076C24"/>
    <w:rsid w:val="00076CEC"/>
    <w:rsid w:val="00076DD3"/>
    <w:rsid w:val="00076F9A"/>
    <w:rsid w:val="00076FA5"/>
    <w:rsid w:val="000770CD"/>
    <w:rsid w:val="000770D3"/>
    <w:rsid w:val="000770EF"/>
    <w:rsid w:val="00077182"/>
    <w:rsid w:val="00077243"/>
    <w:rsid w:val="00077344"/>
    <w:rsid w:val="00077402"/>
    <w:rsid w:val="00077473"/>
    <w:rsid w:val="00077591"/>
    <w:rsid w:val="00077B54"/>
    <w:rsid w:val="00077C12"/>
    <w:rsid w:val="00077DE5"/>
    <w:rsid w:val="00077E62"/>
    <w:rsid w:val="00077F71"/>
    <w:rsid w:val="0008001B"/>
    <w:rsid w:val="00080082"/>
    <w:rsid w:val="000800A9"/>
    <w:rsid w:val="000802B3"/>
    <w:rsid w:val="0008034B"/>
    <w:rsid w:val="00080469"/>
    <w:rsid w:val="00080617"/>
    <w:rsid w:val="000809F5"/>
    <w:rsid w:val="00080B70"/>
    <w:rsid w:val="00080C0D"/>
    <w:rsid w:val="00080CB5"/>
    <w:rsid w:val="00080ECB"/>
    <w:rsid w:val="00080F99"/>
    <w:rsid w:val="00080FA2"/>
    <w:rsid w:val="00080FF1"/>
    <w:rsid w:val="000810BC"/>
    <w:rsid w:val="000811A8"/>
    <w:rsid w:val="00081295"/>
    <w:rsid w:val="000812BF"/>
    <w:rsid w:val="00081303"/>
    <w:rsid w:val="00081396"/>
    <w:rsid w:val="00081425"/>
    <w:rsid w:val="00081990"/>
    <w:rsid w:val="00081A10"/>
    <w:rsid w:val="00081BC4"/>
    <w:rsid w:val="00081F86"/>
    <w:rsid w:val="00082092"/>
    <w:rsid w:val="00082122"/>
    <w:rsid w:val="00082138"/>
    <w:rsid w:val="0008218F"/>
    <w:rsid w:val="0008225A"/>
    <w:rsid w:val="000822AB"/>
    <w:rsid w:val="0008232C"/>
    <w:rsid w:val="0008247A"/>
    <w:rsid w:val="0008259A"/>
    <w:rsid w:val="000825DA"/>
    <w:rsid w:val="00082701"/>
    <w:rsid w:val="00082893"/>
    <w:rsid w:val="000829F6"/>
    <w:rsid w:val="00082A51"/>
    <w:rsid w:val="00082B24"/>
    <w:rsid w:val="00082B66"/>
    <w:rsid w:val="00082CAC"/>
    <w:rsid w:val="00082D43"/>
    <w:rsid w:val="00083093"/>
    <w:rsid w:val="000830DD"/>
    <w:rsid w:val="000831A4"/>
    <w:rsid w:val="0008326B"/>
    <w:rsid w:val="0008327D"/>
    <w:rsid w:val="0008349C"/>
    <w:rsid w:val="000835A2"/>
    <w:rsid w:val="0008383D"/>
    <w:rsid w:val="00083932"/>
    <w:rsid w:val="00083AA2"/>
    <w:rsid w:val="00083B94"/>
    <w:rsid w:val="00083BAA"/>
    <w:rsid w:val="00083C60"/>
    <w:rsid w:val="00083D9C"/>
    <w:rsid w:val="00083DE5"/>
    <w:rsid w:val="00084277"/>
    <w:rsid w:val="00084308"/>
    <w:rsid w:val="0008436A"/>
    <w:rsid w:val="0008437C"/>
    <w:rsid w:val="000843C6"/>
    <w:rsid w:val="000844C8"/>
    <w:rsid w:val="00084862"/>
    <w:rsid w:val="00084956"/>
    <w:rsid w:val="00084998"/>
    <w:rsid w:val="00084AEC"/>
    <w:rsid w:val="00084EB0"/>
    <w:rsid w:val="00084EDF"/>
    <w:rsid w:val="000850BE"/>
    <w:rsid w:val="000851AC"/>
    <w:rsid w:val="00085269"/>
    <w:rsid w:val="00085378"/>
    <w:rsid w:val="00085598"/>
    <w:rsid w:val="00085CB2"/>
    <w:rsid w:val="00085FC3"/>
    <w:rsid w:val="0008625C"/>
    <w:rsid w:val="00086309"/>
    <w:rsid w:val="0008639C"/>
    <w:rsid w:val="00086400"/>
    <w:rsid w:val="0008641F"/>
    <w:rsid w:val="00086679"/>
    <w:rsid w:val="0008678B"/>
    <w:rsid w:val="00086938"/>
    <w:rsid w:val="00086B19"/>
    <w:rsid w:val="00086C5B"/>
    <w:rsid w:val="00086D62"/>
    <w:rsid w:val="00086DD0"/>
    <w:rsid w:val="00086E30"/>
    <w:rsid w:val="00086FC0"/>
    <w:rsid w:val="0008715D"/>
    <w:rsid w:val="0008733D"/>
    <w:rsid w:val="00087369"/>
    <w:rsid w:val="0008744A"/>
    <w:rsid w:val="0008754A"/>
    <w:rsid w:val="000876CE"/>
    <w:rsid w:val="00087971"/>
    <w:rsid w:val="000879C5"/>
    <w:rsid w:val="00087A90"/>
    <w:rsid w:val="00087CA4"/>
    <w:rsid w:val="00087CE5"/>
    <w:rsid w:val="000901EE"/>
    <w:rsid w:val="000904B4"/>
    <w:rsid w:val="00090775"/>
    <w:rsid w:val="000907F5"/>
    <w:rsid w:val="00090971"/>
    <w:rsid w:val="00090C31"/>
    <w:rsid w:val="00090C7F"/>
    <w:rsid w:val="00090D20"/>
    <w:rsid w:val="00090D68"/>
    <w:rsid w:val="00090DF3"/>
    <w:rsid w:val="00091032"/>
    <w:rsid w:val="00091060"/>
    <w:rsid w:val="00091062"/>
    <w:rsid w:val="000910A0"/>
    <w:rsid w:val="00091180"/>
    <w:rsid w:val="0009129D"/>
    <w:rsid w:val="00091438"/>
    <w:rsid w:val="000914D8"/>
    <w:rsid w:val="00091834"/>
    <w:rsid w:val="00091982"/>
    <w:rsid w:val="00091B22"/>
    <w:rsid w:val="00091BC2"/>
    <w:rsid w:val="00091C94"/>
    <w:rsid w:val="00091DDD"/>
    <w:rsid w:val="00091E26"/>
    <w:rsid w:val="00091E67"/>
    <w:rsid w:val="00091F22"/>
    <w:rsid w:val="00091F7F"/>
    <w:rsid w:val="00092068"/>
    <w:rsid w:val="0009208E"/>
    <w:rsid w:val="00092495"/>
    <w:rsid w:val="00092497"/>
    <w:rsid w:val="00092587"/>
    <w:rsid w:val="000927AA"/>
    <w:rsid w:val="000929DE"/>
    <w:rsid w:val="00092A77"/>
    <w:rsid w:val="00092F1C"/>
    <w:rsid w:val="00092FE3"/>
    <w:rsid w:val="000930DA"/>
    <w:rsid w:val="00093115"/>
    <w:rsid w:val="0009354C"/>
    <w:rsid w:val="0009364E"/>
    <w:rsid w:val="00093971"/>
    <w:rsid w:val="00093991"/>
    <w:rsid w:val="00093AB0"/>
    <w:rsid w:val="00093D74"/>
    <w:rsid w:val="00093DB2"/>
    <w:rsid w:val="00094166"/>
    <w:rsid w:val="00094206"/>
    <w:rsid w:val="0009422B"/>
    <w:rsid w:val="000942B4"/>
    <w:rsid w:val="0009457B"/>
    <w:rsid w:val="00094693"/>
    <w:rsid w:val="00094979"/>
    <w:rsid w:val="00094C04"/>
    <w:rsid w:val="00094C92"/>
    <w:rsid w:val="00094F99"/>
    <w:rsid w:val="00095051"/>
    <w:rsid w:val="00095154"/>
    <w:rsid w:val="000953A7"/>
    <w:rsid w:val="000953B2"/>
    <w:rsid w:val="000953D0"/>
    <w:rsid w:val="0009564F"/>
    <w:rsid w:val="00095721"/>
    <w:rsid w:val="000958FA"/>
    <w:rsid w:val="00095915"/>
    <w:rsid w:val="00095948"/>
    <w:rsid w:val="00095AD6"/>
    <w:rsid w:val="00095B99"/>
    <w:rsid w:val="00095D7A"/>
    <w:rsid w:val="00095DFA"/>
    <w:rsid w:val="00095E75"/>
    <w:rsid w:val="00096073"/>
    <w:rsid w:val="0009619C"/>
    <w:rsid w:val="000962A0"/>
    <w:rsid w:val="0009636C"/>
    <w:rsid w:val="00096425"/>
    <w:rsid w:val="00096509"/>
    <w:rsid w:val="0009652C"/>
    <w:rsid w:val="0009658E"/>
    <w:rsid w:val="000965E1"/>
    <w:rsid w:val="0009662D"/>
    <w:rsid w:val="000966E3"/>
    <w:rsid w:val="00096A37"/>
    <w:rsid w:val="00096B62"/>
    <w:rsid w:val="00096C3C"/>
    <w:rsid w:val="00096F69"/>
    <w:rsid w:val="00097178"/>
    <w:rsid w:val="000971A5"/>
    <w:rsid w:val="000973CA"/>
    <w:rsid w:val="000975A1"/>
    <w:rsid w:val="000975DE"/>
    <w:rsid w:val="000975E0"/>
    <w:rsid w:val="00097770"/>
    <w:rsid w:val="0009779E"/>
    <w:rsid w:val="000978B9"/>
    <w:rsid w:val="000978FB"/>
    <w:rsid w:val="00097AA3"/>
    <w:rsid w:val="00097C7A"/>
    <w:rsid w:val="00097D42"/>
    <w:rsid w:val="00097E17"/>
    <w:rsid w:val="00097FEE"/>
    <w:rsid w:val="000A00DB"/>
    <w:rsid w:val="000A016A"/>
    <w:rsid w:val="000A0216"/>
    <w:rsid w:val="000A02CF"/>
    <w:rsid w:val="000A043A"/>
    <w:rsid w:val="000A048A"/>
    <w:rsid w:val="000A04FF"/>
    <w:rsid w:val="000A071F"/>
    <w:rsid w:val="000A0734"/>
    <w:rsid w:val="000A0772"/>
    <w:rsid w:val="000A07D4"/>
    <w:rsid w:val="000A07FE"/>
    <w:rsid w:val="000A0943"/>
    <w:rsid w:val="000A0968"/>
    <w:rsid w:val="000A0984"/>
    <w:rsid w:val="000A09D9"/>
    <w:rsid w:val="000A0A64"/>
    <w:rsid w:val="000A0D39"/>
    <w:rsid w:val="000A0E7A"/>
    <w:rsid w:val="000A0F78"/>
    <w:rsid w:val="000A10B2"/>
    <w:rsid w:val="000A10B3"/>
    <w:rsid w:val="000A10CA"/>
    <w:rsid w:val="000A1138"/>
    <w:rsid w:val="000A1316"/>
    <w:rsid w:val="000A131E"/>
    <w:rsid w:val="000A178F"/>
    <w:rsid w:val="000A19AC"/>
    <w:rsid w:val="000A1A10"/>
    <w:rsid w:val="000A1ADB"/>
    <w:rsid w:val="000A1D05"/>
    <w:rsid w:val="000A1D8B"/>
    <w:rsid w:val="000A1DFF"/>
    <w:rsid w:val="000A1FE9"/>
    <w:rsid w:val="000A2360"/>
    <w:rsid w:val="000A2441"/>
    <w:rsid w:val="000A24C7"/>
    <w:rsid w:val="000A26CB"/>
    <w:rsid w:val="000A2707"/>
    <w:rsid w:val="000A2715"/>
    <w:rsid w:val="000A2847"/>
    <w:rsid w:val="000A2A5F"/>
    <w:rsid w:val="000A2BB4"/>
    <w:rsid w:val="000A2D01"/>
    <w:rsid w:val="000A2F15"/>
    <w:rsid w:val="000A2F9A"/>
    <w:rsid w:val="000A2F9E"/>
    <w:rsid w:val="000A313E"/>
    <w:rsid w:val="000A334A"/>
    <w:rsid w:val="000A3378"/>
    <w:rsid w:val="000A38BB"/>
    <w:rsid w:val="000A3DAF"/>
    <w:rsid w:val="000A3E63"/>
    <w:rsid w:val="000A3F2E"/>
    <w:rsid w:val="000A41FD"/>
    <w:rsid w:val="000A4426"/>
    <w:rsid w:val="000A45B3"/>
    <w:rsid w:val="000A4755"/>
    <w:rsid w:val="000A476B"/>
    <w:rsid w:val="000A47C6"/>
    <w:rsid w:val="000A4930"/>
    <w:rsid w:val="000A4AE9"/>
    <w:rsid w:val="000A4DD8"/>
    <w:rsid w:val="000A4EE4"/>
    <w:rsid w:val="000A4FCC"/>
    <w:rsid w:val="000A50C0"/>
    <w:rsid w:val="000A513C"/>
    <w:rsid w:val="000A519E"/>
    <w:rsid w:val="000A52A1"/>
    <w:rsid w:val="000A54CA"/>
    <w:rsid w:val="000A555C"/>
    <w:rsid w:val="000A55E9"/>
    <w:rsid w:val="000A55F4"/>
    <w:rsid w:val="000A5661"/>
    <w:rsid w:val="000A56E3"/>
    <w:rsid w:val="000A5BE5"/>
    <w:rsid w:val="000A5CAE"/>
    <w:rsid w:val="000A5D58"/>
    <w:rsid w:val="000A5DCB"/>
    <w:rsid w:val="000A607C"/>
    <w:rsid w:val="000A614D"/>
    <w:rsid w:val="000A62D6"/>
    <w:rsid w:val="000A630B"/>
    <w:rsid w:val="000A64D2"/>
    <w:rsid w:val="000A65C4"/>
    <w:rsid w:val="000A6796"/>
    <w:rsid w:val="000A6899"/>
    <w:rsid w:val="000A6943"/>
    <w:rsid w:val="000A6B61"/>
    <w:rsid w:val="000A6BAB"/>
    <w:rsid w:val="000A6D44"/>
    <w:rsid w:val="000A6DB2"/>
    <w:rsid w:val="000A6DD8"/>
    <w:rsid w:val="000A6F0A"/>
    <w:rsid w:val="000A7040"/>
    <w:rsid w:val="000A7092"/>
    <w:rsid w:val="000A7310"/>
    <w:rsid w:val="000A75DC"/>
    <w:rsid w:val="000A76E5"/>
    <w:rsid w:val="000A790B"/>
    <w:rsid w:val="000A7977"/>
    <w:rsid w:val="000A7984"/>
    <w:rsid w:val="000A79DF"/>
    <w:rsid w:val="000A7AB4"/>
    <w:rsid w:val="000A7B6D"/>
    <w:rsid w:val="000A7B89"/>
    <w:rsid w:val="000A7BAE"/>
    <w:rsid w:val="000A7C87"/>
    <w:rsid w:val="000A7D65"/>
    <w:rsid w:val="000A7D6F"/>
    <w:rsid w:val="000A7D91"/>
    <w:rsid w:val="000A7D96"/>
    <w:rsid w:val="000B0080"/>
    <w:rsid w:val="000B00C5"/>
    <w:rsid w:val="000B00D1"/>
    <w:rsid w:val="000B0193"/>
    <w:rsid w:val="000B02C8"/>
    <w:rsid w:val="000B04C8"/>
    <w:rsid w:val="000B0511"/>
    <w:rsid w:val="000B0529"/>
    <w:rsid w:val="000B061C"/>
    <w:rsid w:val="000B069E"/>
    <w:rsid w:val="000B07C0"/>
    <w:rsid w:val="000B0868"/>
    <w:rsid w:val="000B0911"/>
    <w:rsid w:val="000B092D"/>
    <w:rsid w:val="000B09E2"/>
    <w:rsid w:val="000B0AAC"/>
    <w:rsid w:val="000B0B5A"/>
    <w:rsid w:val="000B0C0D"/>
    <w:rsid w:val="000B1069"/>
    <w:rsid w:val="000B15ED"/>
    <w:rsid w:val="000B185A"/>
    <w:rsid w:val="000B1B5C"/>
    <w:rsid w:val="000B1B6E"/>
    <w:rsid w:val="000B1DE7"/>
    <w:rsid w:val="000B1E8A"/>
    <w:rsid w:val="000B1F3F"/>
    <w:rsid w:val="000B22BC"/>
    <w:rsid w:val="000B23BD"/>
    <w:rsid w:val="000B23D0"/>
    <w:rsid w:val="000B27EC"/>
    <w:rsid w:val="000B27FD"/>
    <w:rsid w:val="000B28C8"/>
    <w:rsid w:val="000B293B"/>
    <w:rsid w:val="000B2968"/>
    <w:rsid w:val="000B2AB0"/>
    <w:rsid w:val="000B2B3C"/>
    <w:rsid w:val="000B2E8C"/>
    <w:rsid w:val="000B2F69"/>
    <w:rsid w:val="000B2FDE"/>
    <w:rsid w:val="000B3089"/>
    <w:rsid w:val="000B31DF"/>
    <w:rsid w:val="000B3296"/>
    <w:rsid w:val="000B33E2"/>
    <w:rsid w:val="000B34B7"/>
    <w:rsid w:val="000B3519"/>
    <w:rsid w:val="000B3744"/>
    <w:rsid w:val="000B3809"/>
    <w:rsid w:val="000B382B"/>
    <w:rsid w:val="000B39B9"/>
    <w:rsid w:val="000B411A"/>
    <w:rsid w:val="000B418C"/>
    <w:rsid w:val="000B42AF"/>
    <w:rsid w:val="000B42E7"/>
    <w:rsid w:val="000B448A"/>
    <w:rsid w:val="000B44CE"/>
    <w:rsid w:val="000B4528"/>
    <w:rsid w:val="000B45EF"/>
    <w:rsid w:val="000B474D"/>
    <w:rsid w:val="000B47EE"/>
    <w:rsid w:val="000B488F"/>
    <w:rsid w:val="000B4B5F"/>
    <w:rsid w:val="000B4E3D"/>
    <w:rsid w:val="000B4E6A"/>
    <w:rsid w:val="000B4FB7"/>
    <w:rsid w:val="000B5060"/>
    <w:rsid w:val="000B51BB"/>
    <w:rsid w:val="000B5263"/>
    <w:rsid w:val="000B52FF"/>
    <w:rsid w:val="000B5333"/>
    <w:rsid w:val="000B57CE"/>
    <w:rsid w:val="000B58FB"/>
    <w:rsid w:val="000B591E"/>
    <w:rsid w:val="000B59BD"/>
    <w:rsid w:val="000B59CB"/>
    <w:rsid w:val="000B5A50"/>
    <w:rsid w:val="000B5AC1"/>
    <w:rsid w:val="000B5C9F"/>
    <w:rsid w:val="000B5CDC"/>
    <w:rsid w:val="000B5DCB"/>
    <w:rsid w:val="000B5EBE"/>
    <w:rsid w:val="000B5F27"/>
    <w:rsid w:val="000B6206"/>
    <w:rsid w:val="000B6253"/>
    <w:rsid w:val="000B6301"/>
    <w:rsid w:val="000B63AB"/>
    <w:rsid w:val="000B6465"/>
    <w:rsid w:val="000B657D"/>
    <w:rsid w:val="000B658E"/>
    <w:rsid w:val="000B65EE"/>
    <w:rsid w:val="000B6829"/>
    <w:rsid w:val="000B6905"/>
    <w:rsid w:val="000B6910"/>
    <w:rsid w:val="000B6A80"/>
    <w:rsid w:val="000B6B5B"/>
    <w:rsid w:val="000B6B84"/>
    <w:rsid w:val="000B6C2A"/>
    <w:rsid w:val="000B6CD0"/>
    <w:rsid w:val="000B6CE9"/>
    <w:rsid w:val="000B6EA1"/>
    <w:rsid w:val="000B6EDE"/>
    <w:rsid w:val="000B705A"/>
    <w:rsid w:val="000B71C6"/>
    <w:rsid w:val="000B7296"/>
    <w:rsid w:val="000B72DF"/>
    <w:rsid w:val="000B744B"/>
    <w:rsid w:val="000B7498"/>
    <w:rsid w:val="000B7679"/>
    <w:rsid w:val="000B76E4"/>
    <w:rsid w:val="000B78B9"/>
    <w:rsid w:val="000B7947"/>
    <w:rsid w:val="000B7B28"/>
    <w:rsid w:val="000B7B74"/>
    <w:rsid w:val="000B7BEC"/>
    <w:rsid w:val="000B7D8A"/>
    <w:rsid w:val="000BCE25"/>
    <w:rsid w:val="000C036C"/>
    <w:rsid w:val="000C03F3"/>
    <w:rsid w:val="000C043D"/>
    <w:rsid w:val="000C0556"/>
    <w:rsid w:val="000C067F"/>
    <w:rsid w:val="000C0687"/>
    <w:rsid w:val="000C07D5"/>
    <w:rsid w:val="000C08D2"/>
    <w:rsid w:val="000C098E"/>
    <w:rsid w:val="000C09D4"/>
    <w:rsid w:val="000C0B9A"/>
    <w:rsid w:val="000C0D08"/>
    <w:rsid w:val="000C0D4E"/>
    <w:rsid w:val="000C0E2D"/>
    <w:rsid w:val="000C1145"/>
    <w:rsid w:val="000C1291"/>
    <w:rsid w:val="000C13A5"/>
    <w:rsid w:val="000C142D"/>
    <w:rsid w:val="000C15E5"/>
    <w:rsid w:val="000C160A"/>
    <w:rsid w:val="000C1765"/>
    <w:rsid w:val="000C18EE"/>
    <w:rsid w:val="000C1A3A"/>
    <w:rsid w:val="000C1B01"/>
    <w:rsid w:val="000C1B7B"/>
    <w:rsid w:val="000C1CE4"/>
    <w:rsid w:val="000C1F8E"/>
    <w:rsid w:val="000C1F90"/>
    <w:rsid w:val="000C1FD4"/>
    <w:rsid w:val="000C20EF"/>
    <w:rsid w:val="000C2286"/>
    <w:rsid w:val="000C22C7"/>
    <w:rsid w:val="000C23C3"/>
    <w:rsid w:val="000C250F"/>
    <w:rsid w:val="000C258D"/>
    <w:rsid w:val="000C25EE"/>
    <w:rsid w:val="000C2681"/>
    <w:rsid w:val="000C2690"/>
    <w:rsid w:val="000C269E"/>
    <w:rsid w:val="000C27A5"/>
    <w:rsid w:val="000C2BAC"/>
    <w:rsid w:val="000C2BD3"/>
    <w:rsid w:val="000C2C02"/>
    <w:rsid w:val="000C2C5D"/>
    <w:rsid w:val="000C308B"/>
    <w:rsid w:val="000C31F5"/>
    <w:rsid w:val="000C31FC"/>
    <w:rsid w:val="000C3225"/>
    <w:rsid w:val="000C3307"/>
    <w:rsid w:val="000C3390"/>
    <w:rsid w:val="000C33C2"/>
    <w:rsid w:val="000C3586"/>
    <w:rsid w:val="000C3795"/>
    <w:rsid w:val="000C37D7"/>
    <w:rsid w:val="000C3827"/>
    <w:rsid w:val="000C3BB1"/>
    <w:rsid w:val="000C3CFB"/>
    <w:rsid w:val="000C3DAD"/>
    <w:rsid w:val="000C3DDC"/>
    <w:rsid w:val="000C3E00"/>
    <w:rsid w:val="000C401B"/>
    <w:rsid w:val="000C4032"/>
    <w:rsid w:val="000C41CB"/>
    <w:rsid w:val="000C440C"/>
    <w:rsid w:val="000C446D"/>
    <w:rsid w:val="000C4723"/>
    <w:rsid w:val="000C487C"/>
    <w:rsid w:val="000C4AFB"/>
    <w:rsid w:val="000C4B54"/>
    <w:rsid w:val="000C4C17"/>
    <w:rsid w:val="000C4E61"/>
    <w:rsid w:val="000C4E6B"/>
    <w:rsid w:val="000C5233"/>
    <w:rsid w:val="000C5311"/>
    <w:rsid w:val="000C558F"/>
    <w:rsid w:val="000C55ED"/>
    <w:rsid w:val="000C5641"/>
    <w:rsid w:val="000C5720"/>
    <w:rsid w:val="000C58ED"/>
    <w:rsid w:val="000C598C"/>
    <w:rsid w:val="000C59E1"/>
    <w:rsid w:val="000C59EB"/>
    <w:rsid w:val="000C5A9D"/>
    <w:rsid w:val="000C5EF9"/>
    <w:rsid w:val="000C602C"/>
    <w:rsid w:val="000C61D7"/>
    <w:rsid w:val="000C620E"/>
    <w:rsid w:val="000C629F"/>
    <w:rsid w:val="000C63D3"/>
    <w:rsid w:val="000C6559"/>
    <w:rsid w:val="000C6621"/>
    <w:rsid w:val="000C66FE"/>
    <w:rsid w:val="000C6707"/>
    <w:rsid w:val="000C68CF"/>
    <w:rsid w:val="000C68E7"/>
    <w:rsid w:val="000C6A59"/>
    <w:rsid w:val="000C6AF6"/>
    <w:rsid w:val="000C6B34"/>
    <w:rsid w:val="000C6C05"/>
    <w:rsid w:val="000C6E38"/>
    <w:rsid w:val="000C6EC7"/>
    <w:rsid w:val="000C6F28"/>
    <w:rsid w:val="000C7181"/>
    <w:rsid w:val="000C7213"/>
    <w:rsid w:val="000C7344"/>
    <w:rsid w:val="000C742A"/>
    <w:rsid w:val="000C782D"/>
    <w:rsid w:val="000C78E8"/>
    <w:rsid w:val="000C7911"/>
    <w:rsid w:val="000C79DC"/>
    <w:rsid w:val="000C7A85"/>
    <w:rsid w:val="000C7B64"/>
    <w:rsid w:val="000C7BB4"/>
    <w:rsid w:val="000C7C1C"/>
    <w:rsid w:val="000C7C2E"/>
    <w:rsid w:val="000C7DC1"/>
    <w:rsid w:val="000D01DB"/>
    <w:rsid w:val="000D0224"/>
    <w:rsid w:val="000D03EA"/>
    <w:rsid w:val="000D043D"/>
    <w:rsid w:val="000D0471"/>
    <w:rsid w:val="000D04B1"/>
    <w:rsid w:val="000D04C8"/>
    <w:rsid w:val="000D05C2"/>
    <w:rsid w:val="000D0A92"/>
    <w:rsid w:val="000D0B16"/>
    <w:rsid w:val="000D0B62"/>
    <w:rsid w:val="000D0CF9"/>
    <w:rsid w:val="000D0D80"/>
    <w:rsid w:val="000D0DF2"/>
    <w:rsid w:val="000D0E94"/>
    <w:rsid w:val="000D11B2"/>
    <w:rsid w:val="000D1243"/>
    <w:rsid w:val="000D12AE"/>
    <w:rsid w:val="000D1348"/>
    <w:rsid w:val="000D14D5"/>
    <w:rsid w:val="000D1613"/>
    <w:rsid w:val="000D167D"/>
    <w:rsid w:val="000D170F"/>
    <w:rsid w:val="000D19F1"/>
    <w:rsid w:val="000D1A73"/>
    <w:rsid w:val="000D1BEF"/>
    <w:rsid w:val="000D1C95"/>
    <w:rsid w:val="000D1CA8"/>
    <w:rsid w:val="000D1D04"/>
    <w:rsid w:val="000D1D8F"/>
    <w:rsid w:val="000D1DA0"/>
    <w:rsid w:val="000D2080"/>
    <w:rsid w:val="000D2323"/>
    <w:rsid w:val="000D2337"/>
    <w:rsid w:val="000D2953"/>
    <w:rsid w:val="000D2AC8"/>
    <w:rsid w:val="000D2B3D"/>
    <w:rsid w:val="000D2ED7"/>
    <w:rsid w:val="000D300E"/>
    <w:rsid w:val="000D3107"/>
    <w:rsid w:val="000D319F"/>
    <w:rsid w:val="000D35D2"/>
    <w:rsid w:val="000D36F9"/>
    <w:rsid w:val="000D380A"/>
    <w:rsid w:val="000D3881"/>
    <w:rsid w:val="000D3B07"/>
    <w:rsid w:val="000D3BA6"/>
    <w:rsid w:val="000D3CAE"/>
    <w:rsid w:val="000D3DE5"/>
    <w:rsid w:val="000D3E3E"/>
    <w:rsid w:val="000D40C7"/>
    <w:rsid w:val="000D4101"/>
    <w:rsid w:val="000D4226"/>
    <w:rsid w:val="000D4351"/>
    <w:rsid w:val="000D4523"/>
    <w:rsid w:val="000D4677"/>
    <w:rsid w:val="000D4768"/>
    <w:rsid w:val="000D48F6"/>
    <w:rsid w:val="000D4950"/>
    <w:rsid w:val="000D4960"/>
    <w:rsid w:val="000D4E93"/>
    <w:rsid w:val="000D4FFF"/>
    <w:rsid w:val="000D50FC"/>
    <w:rsid w:val="000D5967"/>
    <w:rsid w:val="000D5A8B"/>
    <w:rsid w:val="000D5B0D"/>
    <w:rsid w:val="000D5C33"/>
    <w:rsid w:val="000D5F7B"/>
    <w:rsid w:val="000D5FE6"/>
    <w:rsid w:val="000D608F"/>
    <w:rsid w:val="000D616D"/>
    <w:rsid w:val="000D6317"/>
    <w:rsid w:val="000D6361"/>
    <w:rsid w:val="000D63CC"/>
    <w:rsid w:val="000D6464"/>
    <w:rsid w:val="000D6482"/>
    <w:rsid w:val="000D66AF"/>
    <w:rsid w:val="000D6930"/>
    <w:rsid w:val="000D6C70"/>
    <w:rsid w:val="000D6E14"/>
    <w:rsid w:val="000D72C7"/>
    <w:rsid w:val="000D7383"/>
    <w:rsid w:val="000D73BF"/>
    <w:rsid w:val="000D73C9"/>
    <w:rsid w:val="000D753B"/>
    <w:rsid w:val="000D75AE"/>
    <w:rsid w:val="000D75C2"/>
    <w:rsid w:val="000D7A3A"/>
    <w:rsid w:val="000D7AE7"/>
    <w:rsid w:val="000D7BE5"/>
    <w:rsid w:val="000D7CF0"/>
    <w:rsid w:val="000D7F5B"/>
    <w:rsid w:val="000D7FC5"/>
    <w:rsid w:val="000E0068"/>
    <w:rsid w:val="000E0181"/>
    <w:rsid w:val="000E0290"/>
    <w:rsid w:val="000E032E"/>
    <w:rsid w:val="000E03C9"/>
    <w:rsid w:val="000E07D2"/>
    <w:rsid w:val="000E09B8"/>
    <w:rsid w:val="000E0A15"/>
    <w:rsid w:val="000E0C1E"/>
    <w:rsid w:val="000E0C7B"/>
    <w:rsid w:val="000E0CF5"/>
    <w:rsid w:val="000E0DA4"/>
    <w:rsid w:val="000E0E25"/>
    <w:rsid w:val="000E0EE4"/>
    <w:rsid w:val="000E0F05"/>
    <w:rsid w:val="000E0F13"/>
    <w:rsid w:val="000E0F5F"/>
    <w:rsid w:val="000E0FDC"/>
    <w:rsid w:val="000E10FC"/>
    <w:rsid w:val="000E133C"/>
    <w:rsid w:val="000E1569"/>
    <w:rsid w:val="000E15B3"/>
    <w:rsid w:val="000E1702"/>
    <w:rsid w:val="000E176E"/>
    <w:rsid w:val="000E1777"/>
    <w:rsid w:val="000E1817"/>
    <w:rsid w:val="000E191D"/>
    <w:rsid w:val="000E1A58"/>
    <w:rsid w:val="000E1BDC"/>
    <w:rsid w:val="000E1CDA"/>
    <w:rsid w:val="000E1F8B"/>
    <w:rsid w:val="000E1FF2"/>
    <w:rsid w:val="000E215C"/>
    <w:rsid w:val="000E2254"/>
    <w:rsid w:val="000E2534"/>
    <w:rsid w:val="000E25AF"/>
    <w:rsid w:val="000E25ED"/>
    <w:rsid w:val="000E26C7"/>
    <w:rsid w:val="000E2871"/>
    <w:rsid w:val="000E297A"/>
    <w:rsid w:val="000E29EA"/>
    <w:rsid w:val="000E2A28"/>
    <w:rsid w:val="000E2A73"/>
    <w:rsid w:val="000E2AE0"/>
    <w:rsid w:val="000E2BF0"/>
    <w:rsid w:val="000E2BFA"/>
    <w:rsid w:val="000E2CCE"/>
    <w:rsid w:val="000E2CDE"/>
    <w:rsid w:val="000E2E0E"/>
    <w:rsid w:val="000E2E35"/>
    <w:rsid w:val="000E2F22"/>
    <w:rsid w:val="000E300C"/>
    <w:rsid w:val="000E301D"/>
    <w:rsid w:val="000E3178"/>
    <w:rsid w:val="000E32BF"/>
    <w:rsid w:val="000E335C"/>
    <w:rsid w:val="000E35EE"/>
    <w:rsid w:val="000E3746"/>
    <w:rsid w:val="000E375F"/>
    <w:rsid w:val="000E38AA"/>
    <w:rsid w:val="000E38CF"/>
    <w:rsid w:val="000E38EC"/>
    <w:rsid w:val="000E39D8"/>
    <w:rsid w:val="000E3C80"/>
    <w:rsid w:val="000E3DCF"/>
    <w:rsid w:val="000E3DD4"/>
    <w:rsid w:val="000E3E30"/>
    <w:rsid w:val="000E3E35"/>
    <w:rsid w:val="000E3E93"/>
    <w:rsid w:val="000E3F50"/>
    <w:rsid w:val="000E4002"/>
    <w:rsid w:val="000E41D0"/>
    <w:rsid w:val="000E4410"/>
    <w:rsid w:val="000E4420"/>
    <w:rsid w:val="000E455A"/>
    <w:rsid w:val="000E460E"/>
    <w:rsid w:val="000E4797"/>
    <w:rsid w:val="000E4845"/>
    <w:rsid w:val="000E4941"/>
    <w:rsid w:val="000E4946"/>
    <w:rsid w:val="000E49DB"/>
    <w:rsid w:val="000E4ADD"/>
    <w:rsid w:val="000E4CB7"/>
    <w:rsid w:val="000E4F07"/>
    <w:rsid w:val="000E4F9B"/>
    <w:rsid w:val="000E5091"/>
    <w:rsid w:val="000E5300"/>
    <w:rsid w:val="000E5431"/>
    <w:rsid w:val="000E5634"/>
    <w:rsid w:val="000E56F2"/>
    <w:rsid w:val="000E57FF"/>
    <w:rsid w:val="000E5951"/>
    <w:rsid w:val="000E5A21"/>
    <w:rsid w:val="000E5A2F"/>
    <w:rsid w:val="000E5A99"/>
    <w:rsid w:val="000E5A9C"/>
    <w:rsid w:val="000E5AB4"/>
    <w:rsid w:val="000E5B5E"/>
    <w:rsid w:val="000E5F5A"/>
    <w:rsid w:val="000E5FFE"/>
    <w:rsid w:val="000E606E"/>
    <w:rsid w:val="000E609F"/>
    <w:rsid w:val="000E6459"/>
    <w:rsid w:val="000E64F9"/>
    <w:rsid w:val="000E6574"/>
    <w:rsid w:val="000E678A"/>
    <w:rsid w:val="000E67D5"/>
    <w:rsid w:val="000E6861"/>
    <w:rsid w:val="000E697B"/>
    <w:rsid w:val="000E69F0"/>
    <w:rsid w:val="000E6A14"/>
    <w:rsid w:val="000E6AC5"/>
    <w:rsid w:val="000E6C53"/>
    <w:rsid w:val="000E6F52"/>
    <w:rsid w:val="000E7012"/>
    <w:rsid w:val="000E72B5"/>
    <w:rsid w:val="000E73AC"/>
    <w:rsid w:val="000E74E3"/>
    <w:rsid w:val="000E78D9"/>
    <w:rsid w:val="000E79F7"/>
    <w:rsid w:val="000E7B1E"/>
    <w:rsid w:val="000E7BE7"/>
    <w:rsid w:val="000E7DB2"/>
    <w:rsid w:val="000E7FD2"/>
    <w:rsid w:val="000F000F"/>
    <w:rsid w:val="000F05BA"/>
    <w:rsid w:val="000F05DF"/>
    <w:rsid w:val="000F06AC"/>
    <w:rsid w:val="000F0765"/>
    <w:rsid w:val="000F0865"/>
    <w:rsid w:val="000F0977"/>
    <w:rsid w:val="000F09E7"/>
    <w:rsid w:val="000F0AB0"/>
    <w:rsid w:val="000F0AD2"/>
    <w:rsid w:val="000F0E03"/>
    <w:rsid w:val="000F1017"/>
    <w:rsid w:val="000F1232"/>
    <w:rsid w:val="000F1319"/>
    <w:rsid w:val="000F133B"/>
    <w:rsid w:val="000F13CD"/>
    <w:rsid w:val="000F149C"/>
    <w:rsid w:val="000F1600"/>
    <w:rsid w:val="000F1874"/>
    <w:rsid w:val="000F1972"/>
    <w:rsid w:val="000F19CD"/>
    <w:rsid w:val="000F1C4B"/>
    <w:rsid w:val="000F1D60"/>
    <w:rsid w:val="000F1DBE"/>
    <w:rsid w:val="000F1F96"/>
    <w:rsid w:val="000F21E9"/>
    <w:rsid w:val="000F223F"/>
    <w:rsid w:val="000F266A"/>
    <w:rsid w:val="000F2679"/>
    <w:rsid w:val="000F2949"/>
    <w:rsid w:val="000F2BEC"/>
    <w:rsid w:val="000F2CDC"/>
    <w:rsid w:val="000F2D4E"/>
    <w:rsid w:val="000F2D7D"/>
    <w:rsid w:val="000F3071"/>
    <w:rsid w:val="000F3165"/>
    <w:rsid w:val="000F31BF"/>
    <w:rsid w:val="000F32D6"/>
    <w:rsid w:val="000F3362"/>
    <w:rsid w:val="000F3410"/>
    <w:rsid w:val="000F3445"/>
    <w:rsid w:val="000F369C"/>
    <w:rsid w:val="000F373F"/>
    <w:rsid w:val="000F3BA3"/>
    <w:rsid w:val="000F3CB7"/>
    <w:rsid w:val="000F3DEA"/>
    <w:rsid w:val="000F3F15"/>
    <w:rsid w:val="000F3FF2"/>
    <w:rsid w:val="000F436A"/>
    <w:rsid w:val="000F45CD"/>
    <w:rsid w:val="000F45FB"/>
    <w:rsid w:val="000F476C"/>
    <w:rsid w:val="000F47F5"/>
    <w:rsid w:val="000F4A2D"/>
    <w:rsid w:val="000F4AF4"/>
    <w:rsid w:val="000F4CE9"/>
    <w:rsid w:val="000F4D26"/>
    <w:rsid w:val="000F4D59"/>
    <w:rsid w:val="000F50F1"/>
    <w:rsid w:val="000F51A7"/>
    <w:rsid w:val="000F53B5"/>
    <w:rsid w:val="000F5499"/>
    <w:rsid w:val="000F54CF"/>
    <w:rsid w:val="000F54F8"/>
    <w:rsid w:val="000F584D"/>
    <w:rsid w:val="000F59FB"/>
    <w:rsid w:val="000F5DBA"/>
    <w:rsid w:val="000F5E34"/>
    <w:rsid w:val="000F5E55"/>
    <w:rsid w:val="000F6006"/>
    <w:rsid w:val="000F6029"/>
    <w:rsid w:val="000F6093"/>
    <w:rsid w:val="000F60CD"/>
    <w:rsid w:val="000F60EE"/>
    <w:rsid w:val="000F6131"/>
    <w:rsid w:val="000F62B3"/>
    <w:rsid w:val="000F62C6"/>
    <w:rsid w:val="000F64E2"/>
    <w:rsid w:val="000F6541"/>
    <w:rsid w:val="000F6719"/>
    <w:rsid w:val="000F67A4"/>
    <w:rsid w:val="000F67D2"/>
    <w:rsid w:val="000F67F0"/>
    <w:rsid w:val="000F680A"/>
    <w:rsid w:val="000F682E"/>
    <w:rsid w:val="000F6982"/>
    <w:rsid w:val="000F6FAA"/>
    <w:rsid w:val="000F7034"/>
    <w:rsid w:val="000F7048"/>
    <w:rsid w:val="000F714D"/>
    <w:rsid w:val="000F7466"/>
    <w:rsid w:val="000F74FB"/>
    <w:rsid w:val="000F759B"/>
    <w:rsid w:val="000F7696"/>
    <w:rsid w:val="000F79DF"/>
    <w:rsid w:val="000F7B23"/>
    <w:rsid w:val="000F7B40"/>
    <w:rsid w:val="000F7BB5"/>
    <w:rsid w:val="000F7BF4"/>
    <w:rsid w:val="000F7C2D"/>
    <w:rsid w:val="000F7DB6"/>
    <w:rsid w:val="00100045"/>
    <w:rsid w:val="0010017F"/>
    <w:rsid w:val="001001C1"/>
    <w:rsid w:val="00100373"/>
    <w:rsid w:val="00100465"/>
    <w:rsid w:val="0010080B"/>
    <w:rsid w:val="0010083A"/>
    <w:rsid w:val="001008F3"/>
    <w:rsid w:val="00100AB4"/>
    <w:rsid w:val="00100B0D"/>
    <w:rsid w:val="00100B64"/>
    <w:rsid w:val="00100B7D"/>
    <w:rsid w:val="00100BAD"/>
    <w:rsid w:val="00100C58"/>
    <w:rsid w:val="0010108E"/>
    <w:rsid w:val="00101145"/>
    <w:rsid w:val="00101215"/>
    <w:rsid w:val="0010124D"/>
    <w:rsid w:val="001015DC"/>
    <w:rsid w:val="00101866"/>
    <w:rsid w:val="001018E4"/>
    <w:rsid w:val="00101976"/>
    <w:rsid w:val="00101A91"/>
    <w:rsid w:val="00101C56"/>
    <w:rsid w:val="00101D28"/>
    <w:rsid w:val="00101F60"/>
    <w:rsid w:val="001022CE"/>
    <w:rsid w:val="001023DE"/>
    <w:rsid w:val="001023F4"/>
    <w:rsid w:val="0010277D"/>
    <w:rsid w:val="00102781"/>
    <w:rsid w:val="0010294F"/>
    <w:rsid w:val="00102A78"/>
    <w:rsid w:val="00102A92"/>
    <w:rsid w:val="00102AFF"/>
    <w:rsid w:val="00102CB4"/>
    <w:rsid w:val="00103391"/>
    <w:rsid w:val="001033A1"/>
    <w:rsid w:val="00103415"/>
    <w:rsid w:val="00103426"/>
    <w:rsid w:val="001035B1"/>
    <w:rsid w:val="001037FC"/>
    <w:rsid w:val="00103B32"/>
    <w:rsid w:val="00103D45"/>
    <w:rsid w:val="00103E9C"/>
    <w:rsid w:val="001040B8"/>
    <w:rsid w:val="0010421C"/>
    <w:rsid w:val="0010427B"/>
    <w:rsid w:val="001042E1"/>
    <w:rsid w:val="001043DD"/>
    <w:rsid w:val="0010442A"/>
    <w:rsid w:val="001044C5"/>
    <w:rsid w:val="0010455D"/>
    <w:rsid w:val="0010480D"/>
    <w:rsid w:val="001049D1"/>
    <w:rsid w:val="00104B13"/>
    <w:rsid w:val="00104CE6"/>
    <w:rsid w:val="00104E1E"/>
    <w:rsid w:val="0010517B"/>
    <w:rsid w:val="001052D4"/>
    <w:rsid w:val="0010533A"/>
    <w:rsid w:val="00105877"/>
    <w:rsid w:val="0010588F"/>
    <w:rsid w:val="001058CD"/>
    <w:rsid w:val="001059A3"/>
    <w:rsid w:val="00105D01"/>
    <w:rsid w:val="00105E3E"/>
    <w:rsid w:val="00105E7D"/>
    <w:rsid w:val="00105F05"/>
    <w:rsid w:val="00105FBE"/>
    <w:rsid w:val="0010607E"/>
    <w:rsid w:val="00106284"/>
    <w:rsid w:val="001062DC"/>
    <w:rsid w:val="001062E6"/>
    <w:rsid w:val="00106351"/>
    <w:rsid w:val="001063BD"/>
    <w:rsid w:val="00106403"/>
    <w:rsid w:val="0010640D"/>
    <w:rsid w:val="0010649C"/>
    <w:rsid w:val="00106887"/>
    <w:rsid w:val="001068E2"/>
    <w:rsid w:val="00106B4F"/>
    <w:rsid w:val="00106BE5"/>
    <w:rsid w:val="00106D01"/>
    <w:rsid w:val="00106D7D"/>
    <w:rsid w:val="00106DB7"/>
    <w:rsid w:val="00106E10"/>
    <w:rsid w:val="00106E21"/>
    <w:rsid w:val="001070CF"/>
    <w:rsid w:val="00107136"/>
    <w:rsid w:val="0010714E"/>
    <w:rsid w:val="0010726F"/>
    <w:rsid w:val="0010737A"/>
    <w:rsid w:val="001073B4"/>
    <w:rsid w:val="001073E0"/>
    <w:rsid w:val="001075EE"/>
    <w:rsid w:val="00107784"/>
    <w:rsid w:val="00107947"/>
    <w:rsid w:val="001079E6"/>
    <w:rsid w:val="00107A12"/>
    <w:rsid w:val="00107C57"/>
    <w:rsid w:val="00107C8F"/>
    <w:rsid w:val="00107D82"/>
    <w:rsid w:val="00107D8D"/>
    <w:rsid w:val="00110097"/>
    <w:rsid w:val="001101C5"/>
    <w:rsid w:val="0011022C"/>
    <w:rsid w:val="001102A6"/>
    <w:rsid w:val="0011038E"/>
    <w:rsid w:val="001106CB"/>
    <w:rsid w:val="0011087C"/>
    <w:rsid w:val="001108FC"/>
    <w:rsid w:val="00110C7E"/>
    <w:rsid w:val="00110E7C"/>
    <w:rsid w:val="001110FB"/>
    <w:rsid w:val="00111142"/>
    <w:rsid w:val="0011114F"/>
    <w:rsid w:val="00111327"/>
    <w:rsid w:val="0011132C"/>
    <w:rsid w:val="00111331"/>
    <w:rsid w:val="00111427"/>
    <w:rsid w:val="001114BB"/>
    <w:rsid w:val="001115CD"/>
    <w:rsid w:val="00111885"/>
    <w:rsid w:val="00111C48"/>
    <w:rsid w:val="00111CB9"/>
    <w:rsid w:val="00111D31"/>
    <w:rsid w:val="001120AC"/>
    <w:rsid w:val="0011211E"/>
    <w:rsid w:val="001121ED"/>
    <w:rsid w:val="0011224F"/>
    <w:rsid w:val="0011236D"/>
    <w:rsid w:val="001123F9"/>
    <w:rsid w:val="001124E5"/>
    <w:rsid w:val="00112554"/>
    <w:rsid w:val="001126BF"/>
    <w:rsid w:val="0011276A"/>
    <w:rsid w:val="00112851"/>
    <w:rsid w:val="00112D06"/>
    <w:rsid w:val="00112EDB"/>
    <w:rsid w:val="001131A8"/>
    <w:rsid w:val="00113213"/>
    <w:rsid w:val="001132C5"/>
    <w:rsid w:val="0011331E"/>
    <w:rsid w:val="00113391"/>
    <w:rsid w:val="00113574"/>
    <w:rsid w:val="00113665"/>
    <w:rsid w:val="0011371C"/>
    <w:rsid w:val="0011374D"/>
    <w:rsid w:val="0011374F"/>
    <w:rsid w:val="00113784"/>
    <w:rsid w:val="001137A6"/>
    <w:rsid w:val="00113891"/>
    <w:rsid w:val="00113A48"/>
    <w:rsid w:val="00113C65"/>
    <w:rsid w:val="00113E31"/>
    <w:rsid w:val="00113F5C"/>
    <w:rsid w:val="00114085"/>
    <w:rsid w:val="001140F0"/>
    <w:rsid w:val="0011429D"/>
    <w:rsid w:val="001142E0"/>
    <w:rsid w:val="00114377"/>
    <w:rsid w:val="001143F9"/>
    <w:rsid w:val="0011462A"/>
    <w:rsid w:val="00114926"/>
    <w:rsid w:val="00115054"/>
    <w:rsid w:val="001151BA"/>
    <w:rsid w:val="001151DE"/>
    <w:rsid w:val="00115504"/>
    <w:rsid w:val="001156B1"/>
    <w:rsid w:val="001157FC"/>
    <w:rsid w:val="00115896"/>
    <w:rsid w:val="001159FF"/>
    <w:rsid w:val="00115A76"/>
    <w:rsid w:val="00115B35"/>
    <w:rsid w:val="00115BB2"/>
    <w:rsid w:val="00115C8A"/>
    <w:rsid w:val="00115DA8"/>
    <w:rsid w:val="00115E95"/>
    <w:rsid w:val="00115E9F"/>
    <w:rsid w:val="00115FB2"/>
    <w:rsid w:val="00116154"/>
    <w:rsid w:val="00116264"/>
    <w:rsid w:val="001162DD"/>
    <w:rsid w:val="0011639A"/>
    <w:rsid w:val="001163CA"/>
    <w:rsid w:val="00116654"/>
    <w:rsid w:val="001166EE"/>
    <w:rsid w:val="00116761"/>
    <w:rsid w:val="00116784"/>
    <w:rsid w:val="00116873"/>
    <w:rsid w:val="0011687B"/>
    <w:rsid w:val="001168D0"/>
    <w:rsid w:val="00116A0F"/>
    <w:rsid w:val="00116B72"/>
    <w:rsid w:val="00116BC5"/>
    <w:rsid w:val="00116CC4"/>
    <w:rsid w:val="00116D1B"/>
    <w:rsid w:val="00116E07"/>
    <w:rsid w:val="00116F95"/>
    <w:rsid w:val="00117213"/>
    <w:rsid w:val="00117363"/>
    <w:rsid w:val="0011742D"/>
    <w:rsid w:val="00117473"/>
    <w:rsid w:val="00117686"/>
    <w:rsid w:val="001176AC"/>
    <w:rsid w:val="001176D3"/>
    <w:rsid w:val="001177A8"/>
    <w:rsid w:val="0011786E"/>
    <w:rsid w:val="001178C0"/>
    <w:rsid w:val="00117B1A"/>
    <w:rsid w:val="00117B44"/>
    <w:rsid w:val="00117D35"/>
    <w:rsid w:val="00117D76"/>
    <w:rsid w:val="00117E76"/>
    <w:rsid w:val="00117F98"/>
    <w:rsid w:val="00120092"/>
    <w:rsid w:val="00120135"/>
    <w:rsid w:val="001202DE"/>
    <w:rsid w:val="0012041B"/>
    <w:rsid w:val="00120515"/>
    <w:rsid w:val="0012061E"/>
    <w:rsid w:val="00120627"/>
    <w:rsid w:val="001206DD"/>
    <w:rsid w:val="00120790"/>
    <w:rsid w:val="00120A49"/>
    <w:rsid w:val="00120B2E"/>
    <w:rsid w:val="00120BBA"/>
    <w:rsid w:val="00120D59"/>
    <w:rsid w:val="00121101"/>
    <w:rsid w:val="001212A7"/>
    <w:rsid w:val="00121439"/>
    <w:rsid w:val="001215F1"/>
    <w:rsid w:val="0012167C"/>
    <w:rsid w:val="001216CE"/>
    <w:rsid w:val="00121A59"/>
    <w:rsid w:val="00121EA7"/>
    <w:rsid w:val="0012208C"/>
    <w:rsid w:val="00122230"/>
    <w:rsid w:val="00122310"/>
    <w:rsid w:val="00122464"/>
    <w:rsid w:val="0012248E"/>
    <w:rsid w:val="00122533"/>
    <w:rsid w:val="001225B1"/>
    <w:rsid w:val="001226A7"/>
    <w:rsid w:val="00122740"/>
    <w:rsid w:val="00122765"/>
    <w:rsid w:val="00122859"/>
    <w:rsid w:val="001228BA"/>
    <w:rsid w:val="00122D43"/>
    <w:rsid w:val="00122EBB"/>
    <w:rsid w:val="00122EC6"/>
    <w:rsid w:val="001230A0"/>
    <w:rsid w:val="001231B3"/>
    <w:rsid w:val="00123263"/>
    <w:rsid w:val="001232B7"/>
    <w:rsid w:val="00123328"/>
    <w:rsid w:val="00123349"/>
    <w:rsid w:val="0012334E"/>
    <w:rsid w:val="00123359"/>
    <w:rsid w:val="0012362B"/>
    <w:rsid w:val="0012378D"/>
    <w:rsid w:val="001239BA"/>
    <w:rsid w:val="00123A92"/>
    <w:rsid w:val="00123ADD"/>
    <w:rsid w:val="00123BA5"/>
    <w:rsid w:val="00123D48"/>
    <w:rsid w:val="00123D53"/>
    <w:rsid w:val="00123DD7"/>
    <w:rsid w:val="00123EB4"/>
    <w:rsid w:val="00124088"/>
    <w:rsid w:val="001240EC"/>
    <w:rsid w:val="001242BC"/>
    <w:rsid w:val="00124314"/>
    <w:rsid w:val="001244D8"/>
    <w:rsid w:val="00124907"/>
    <w:rsid w:val="00124A3D"/>
    <w:rsid w:val="00124C4E"/>
    <w:rsid w:val="00124D96"/>
    <w:rsid w:val="00124E1C"/>
    <w:rsid w:val="00124E5C"/>
    <w:rsid w:val="00124EBB"/>
    <w:rsid w:val="0012508C"/>
    <w:rsid w:val="00125166"/>
    <w:rsid w:val="001252B3"/>
    <w:rsid w:val="00125329"/>
    <w:rsid w:val="00125446"/>
    <w:rsid w:val="0012568B"/>
    <w:rsid w:val="0012593D"/>
    <w:rsid w:val="00125A7E"/>
    <w:rsid w:val="0012610B"/>
    <w:rsid w:val="0012621D"/>
    <w:rsid w:val="00126298"/>
    <w:rsid w:val="001264DC"/>
    <w:rsid w:val="0012668E"/>
    <w:rsid w:val="00126702"/>
    <w:rsid w:val="001267C9"/>
    <w:rsid w:val="001268C6"/>
    <w:rsid w:val="001268DB"/>
    <w:rsid w:val="001268DF"/>
    <w:rsid w:val="001268EA"/>
    <w:rsid w:val="00126943"/>
    <w:rsid w:val="00126966"/>
    <w:rsid w:val="00126ACE"/>
    <w:rsid w:val="00126C52"/>
    <w:rsid w:val="00126CD5"/>
    <w:rsid w:val="00126D3B"/>
    <w:rsid w:val="00126EFB"/>
    <w:rsid w:val="00126F17"/>
    <w:rsid w:val="00126F9E"/>
    <w:rsid w:val="00127085"/>
    <w:rsid w:val="00127287"/>
    <w:rsid w:val="001279EF"/>
    <w:rsid w:val="00127F57"/>
    <w:rsid w:val="00127FD7"/>
    <w:rsid w:val="00129D83"/>
    <w:rsid w:val="0013006C"/>
    <w:rsid w:val="001302A8"/>
    <w:rsid w:val="001302C4"/>
    <w:rsid w:val="00130378"/>
    <w:rsid w:val="0013044E"/>
    <w:rsid w:val="0013049D"/>
    <w:rsid w:val="001306A6"/>
    <w:rsid w:val="0013071A"/>
    <w:rsid w:val="0013075E"/>
    <w:rsid w:val="001307E2"/>
    <w:rsid w:val="00130920"/>
    <w:rsid w:val="00130B14"/>
    <w:rsid w:val="00130F74"/>
    <w:rsid w:val="00131226"/>
    <w:rsid w:val="00131250"/>
    <w:rsid w:val="00131266"/>
    <w:rsid w:val="0013147D"/>
    <w:rsid w:val="00131673"/>
    <w:rsid w:val="00131A40"/>
    <w:rsid w:val="00131CA7"/>
    <w:rsid w:val="00131E73"/>
    <w:rsid w:val="00131F34"/>
    <w:rsid w:val="00131F51"/>
    <w:rsid w:val="0013207A"/>
    <w:rsid w:val="001320DB"/>
    <w:rsid w:val="00132141"/>
    <w:rsid w:val="00132180"/>
    <w:rsid w:val="001322A3"/>
    <w:rsid w:val="001322E7"/>
    <w:rsid w:val="00132534"/>
    <w:rsid w:val="001326B8"/>
    <w:rsid w:val="00132B85"/>
    <w:rsid w:val="00132BA8"/>
    <w:rsid w:val="00132C2F"/>
    <w:rsid w:val="00132ECF"/>
    <w:rsid w:val="0013305F"/>
    <w:rsid w:val="00133148"/>
    <w:rsid w:val="0013322F"/>
    <w:rsid w:val="0013324A"/>
    <w:rsid w:val="0013326E"/>
    <w:rsid w:val="0013331E"/>
    <w:rsid w:val="00133743"/>
    <w:rsid w:val="00133816"/>
    <w:rsid w:val="001339C0"/>
    <w:rsid w:val="00133C2E"/>
    <w:rsid w:val="00133CA2"/>
    <w:rsid w:val="00133CEB"/>
    <w:rsid w:val="00133D0D"/>
    <w:rsid w:val="00133DF4"/>
    <w:rsid w:val="00133E62"/>
    <w:rsid w:val="001342A4"/>
    <w:rsid w:val="00134380"/>
    <w:rsid w:val="00134648"/>
    <w:rsid w:val="0013476C"/>
    <w:rsid w:val="00134AB4"/>
    <w:rsid w:val="00134BBA"/>
    <w:rsid w:val="00134C0E"/>
    <w:rsid w:val="00134C67"/>
    <w:rsid w:val="00134FD0"/>
    <w:rsid w:val="00135031"/>
    <w:rsid w:val="001350A0"/>
    <w:rsid w:val="00135165"/>
    <w:rsid w:val="001351BE"/>
    <w:rsid w:val="00135312"/>
    <w:rsid w:val="00135340"/>
    <w:rsid w:val="001353A5"/>
    <w:rsid w:val="00135589"/>
    <w:rsid w:val="00135A21"/>
    <w:rsid w:val="00135ACB"/>
    <w:rsid w:val="00135B4A"/>
    <w:rsid w:val="00135B7A"/>
    <w:rsid w:val="00135BA5"/>
    <w:rsid w:val="00135CF8"/>
    <w:rsid w:val="00135D96"/>
    <w:rsid w:val="00135E2E"/>
    <w:rsid w:val="00135E4D"/>
    <w:rsid w:val="00135EFE"/>
    <w:rsid w:val="00135F29"/>
    <w:rsid w:val="00135FA1"/>
    <w:rsid w:val="00135FFD"/>
    <w:rsid w:val="0013602E"/>
    <w:rsid w:val="0013609B"/>
    <w:rsid w:val="00136201"/>
    <w:rsid w:val="00136306"/>
    <w:rsid w:val="00136397"/>
    <w:rsid w:val="00136449"/>
    <w:rsid w:val="00136534"/>
    <w:rsid w:val="0013667C"/>
    <w:rsid w:val="0013673C"/>
    <w:rsid w:val="001369EF"/>
    <w:rsid w:val="00136B31"/>
    <w:rsid w:val="00136B41"/>
    <w:rsid w:val="00136C15"/>
    <w:rsid w:val="00136F40"/>
    <w:rsid w:val="001372A4"/>
    <w:rsid w:val="0013737F"/>
    <w:rsid w:val="0013745B"/>
    <w:rsid w:val="00137520"/>
    <w:rsid w:val="0013771A"/>
    <w:rsid w:val="00137A24"/>
    <w:rsid w:val="00137AFB"/>
    <w:rsid w:val="00137B10"/>
    <w:rsid w:val="00137E05"/>
    <w:rsid w:val="00140288"/>
    <w:rsid w:val="001402D5"/>
    <w:rsid w:val="001403F4"/>
    <w:rsid w:val="00140432"/>
    <w:rsid w:val="001406CA"/>
    <w:rsid w:val="001409F1"/>
    <w:rsid w:val="00140C9B"/>
    <w:rsid w:val="00140F34"/>
    <w:rsid w:val="00140F64"/>
    <w:rsid w:val="001410A0"/>
    <w:rsid w:val="0014116A"/>
    <w:rsid w:val="00141184"/>
    <w:rsid w:val="001412F6"/>
    <w:rsid w:val="0014139B"/>
    <w:rsid w:val="001413B8"/>
    <w:rsid w:val="001415E5"/>
    <w:rsid w:val="0014179E"/>
    <w:rsid w:val="001417D9"/>
    <w:rsid w:val="001417FF"/>
    <w:rsid w:val="001419D8"/>
    <w:rsid w:val="00141A6F"/>
    <w:rsid w:val="00141CC9"/>
    <w:rsid w:val="00141E7F"/>
    <w:rsid w:val="00141EF0"/>
    <w:rsid w:val="00141F76"/>
    <w:rsid w:val="00141F9A"/>
    <w:rsid w:val="00141FC9"/>
    <w:rsid w:val="00141FEC"/>
    <w:rsid w:val="0014206C"/>
    <w:rsid w:val="0014215F"/>
    <w:rsid w:val="001421A5"/>
    <w:rsid w:val="001421FB"/>
    <w:rsid w:val="001422CA"/>
    <w:rsid w:val="00142589"/>
    <w:rsid w:val="00142597"/>
    <w:rsid w:val="0014261F"/>
    <w:rsid w:val="001427A5"/>
    <w:rsid w:val="00142873"/>
    <w:rsid w:val="00142974"/>
    <w:rsid w:val="00142A81"/>
    <w:rsid w:val="00142B51"/>
    <w:rsid w:val="00142C41"/>
    <w:rsid w:val="00142D10"/>
    <w:rsid w:val="00142D4A"/>
    <w:rsid w:val="00142E1F"/>
    <w:rsid w:val="00143040"/>
    <w:rsid w:val="001431A9"/>
    <w:rsid w:val="0014337D"/>
    <w:rsid w:val="001433D6"/>
    <w:rsid w:val="00143433"/>
    <w:rsid w:val="0014362D"/>
    <w:rsid w:val="0014385B"/>
    <w:rsid w:val="001438AF"/>
    <w:rsid w:val="001439B7"/>
    <w:rsid w:val="001439FA"/>
    <w:rsid w:val="00143CD4"/>
    <w:rsid w:val="00143DA4"/>
    <w:rsid w:val="00143E97"/>
    <w:rsid w:val="00144086"/>
    <w:rsid w:val="001444EF"/>
    <w:rsid w:val="00144531"/>
    <w:rsid w:val="00144787"/>
    <w:rsid w:val="00144A8A"/>
    <w:rsid w:val="00144B2D"/>
    <w:rsid w:val="00144C78"/>
    <w:rsid w:val="00144D1E"/>
    <w:rsid w:val="0014506F"/>
    <w:rsid w:val="0014513B"/>
    <w:rsid w:val="00145448"/>
    <w:rsid w:val="00145673"/>
    <w:rsid w:val="00145726"/>
    <w:rsid w:val="0014585A"/>
    <w:rsid w:val="0014595C"/>
    <w:rsid w:val="00145D2F"/>
    <w:rsid w:val="00145E1E"/>
    <w:rsid w:val="00145E8F"/>
    <w:rsid w:val="00145F1C"/>
    <w:rsid w:val="00145F74"/>
    <w:rsid w:val="00145F77"/>
    <w:rsid w:val="001462C3"/>
    <w:rsid w:val="0014642E"/>
    <w:rsid w:val="00146524"/>
    <w:rsid w:val="00146647"/>
    <w:rsid w:val="00146768"/>
    <w:rsid w:val="001468DF"/>
    <w:rsid w:val="00146947"/>
    <w:rsid w:val="00146B87"/>
    <w:rsid w:val="00146D3C"/>
    <w:rsid w:val="00146D3F"/>
    <w:rsid w:val="00146D64"/>
    <w:rsid w:val="00146E74"/>
    <w:rsid w:val="00146E85"/>
    <w:rsid w:val="00146F83"/>
    <w:rsid w:val="00147084"/>
    <w:rsid w:val="00147117"/>
    <w:rsid w:val="00147141"/>
    <w:rsid w:val="0014716E"/>
    <w:rsid w:val="001471C9"/>
    <w:rsid w:val="0014722D"/>
    <w:rsid w:val="001473A0"/>
    <w:rsid w:val="001474CE"/>
    <w:rsid w:val="001475FA"/>
    <w:rsid w:val="00147614"/>
    <w:rsid w:val="0014766C"/>
    <w:rsid w:val="0014771F"/>
    <w:rsid w:val="001478AB"/>
    <w:rsid w:val="00147B3B"/>
    <w:rsid w:val="00147D5D"/>
    <w:rsid w:val="001500AB"/>
    <w:rsid w:val="001500AE"/>
    <w:rsid w:val="001501F3"/>
    <w:rsid w:val="00150424"/>
    <w:rsid w:val="001504B9"/>
    <w:rsid w:val="00150738"/>
    <w:rsid w:val="001508A3"/>
    <w:rsid w:val="00150B32"/>
    <w:rsid w:val="00150C3D"/>
    <w:rsid w:val="00150C41"/>
    <w:rsid w:val="0015104A"/>
    <w:rsid w:val="0015106A"/>
    <w:rsid w:val="001511D2"/>
    <w:rsid w:val="001514DE"/>
    <w:rsid w:val="001515FE"/>
    <w:rsid w:val="00151647"/>
    <w:rsid w:val="00151A54"/>
    <w:rsid w:val="00151CDA"/>
    <w:rsid w:val="00151D16"/>
    <w:rsid w:val="00151D9E"/>
    <w:rsid w:val="00151F03"/>
    <w:rsid w:val="0015216E"/>
    <w:rsid w:val="0015233E"/>
    <w:rsid w:val="001523B7"/>
    <w:rsid w:val="00152682"/>
    <w:rsid w:val="00152800"/>
    <w:rsid w:val="001528A3"/>
    <w:rsid w:val="001528E3"/>
    <w:rsid w:val="00152A63"/>
    <w:rsid w:val="00152B54"/>
    <w:rsid w:val="00152BC3"/>
    <w:rsid w:val="00152C01"/>
    <w:rsid w:val="00152CC1"/>
    <w:rsid w:val="00152D1E"/>
    <w:rsid w:val="00153233"/>
    <w:rsid w:val="00153373"/>
    <w:rsid w:val="0015346B"/>
    <w:rsid w:val="001534DB"/>
    <w:rsid w:val="00153573"/>
    <w:rsid w:val="001536B2"/>
    <w:rsid w:val="0015375F"/>
    <w:rsid w:val="001537B6"/>
    <w:rsid w:val="00153890"/>
    <w:rsid w:val="00153DAC"/>
    <w:rsid w:val="001542C3"/>
    <w:rsid w:val="0015449F"/>
    <w:rsid w:val="001546D0"/>
    <w:rsid w:val="001546DA"/>
    <w:rsid w:val="001547A6"/>
    <w:rsid w:val="00154941"/>
    <w:rsid w:val="0015496A"/>
    <w:rsid w:val="001549EC"/>
    <w:rsid w:val="00154A17"/>
    <w:rsid w:val="00154ADB"/>
    <w:rsid w:val="00154BB1"/>
    <w:rsid w:val="00154BD3"/>
    <w:rsid w:val="00154CB2"/>
    <w:rsid w:val="00154D01"/>
    <w:rsid w:val="00154D20"/>
    <w:rsid w:val="00154F3C"/>
    <w:rsid w:val="00155048"/>
    <w:rsid w:val="001550B9"/>
    <w:rsid w:val="001550D9"/>
    <w:rsid w:val="00155152"/>
    <w:rsid w:val="00155192"/>
    <w:rsid w:val="001551F3"/>
    <w:rsid w:val="00155275"/>
    <w:rsid w:val="0015548C"/>
    <w:rsid w:val="001554F2"/>
    <w:rsid w:val="00155540"/>
    <w:rsid w:val="00155728"/>
    <w:rsid w:val="00155893"/>
    <w:rsid w:val="0015597A"/>
    <w:rsid w:val="00155B41"/>
    <w:rsid w:val="00155B62"/>
    <w:rsid w:val="00155B79"/>
    <w:rsid w:val="00155FEF"/>
    <w:rsid w:val="001560FA"/>
    <w:rsid w:val="00156246"/>
    <w:rsid w:val="001562C7"/>
    <w:rsid w:val="00156406"/>
    <w:rsid w:val="001564FD"/>
    <w:rsid w:val="00156544"/>
    <w:rsid w:val="00156545"/>
    <w:rsid w:val="001565DA"/>
    <w:rsid w:val="0015669A"/>
    <w:rsid w:val="00156B36"/>
    <w:rsid w:val="00156BC1"/>
    <w:rsid w:val="00156DF6"/>
    <w:rsid w:val="00156E01"/>
    <w:rsid w:val="00156F48"/>
    <w:rsid w:val="00156FDF"/>
    <w:rsid w:val="0015713D"/>
    <w:rsid w:val="001571C1"/>
    <w:rsid w:val="0015722E"/>
    <w:rsid w:val="0015724F"/>
    <w:rsid w:val="001574DD"/>
    <w:rsid w:val="0015764A"/>
    <w:rsid w:val="001577D9"/>
    <w:rsid w:val="00157B9B"/>
    <w:rsid w:val="00157BE7"/>
    <w:rsid w:val="00157E5C"/>
    <w:rsid w:val="00157F04"/>
    <w:rsid w:val="001601BB"/>
    <w:rsid w:val="0016034F"/>
    <w:rsid w:val="001604A3"/>
    <w:rsid w:val="00160539"/>
    <w:rsid w:val="00160684"/>
    <w:rsid w:val="001607F0"/>
    <w:rsid w:val="001607F7"/>
    <w:rsid w:val="001608E2"/>
    <w:rsid w:val="00160AC3"/>
    <w:rsid w:val="00160C09"/>
    <w:rsid w:val="00160CAB"/>
    <w:rsid w:val="00160D02"/>
    <w:rsid w:val="00160D6E"/>
    <w:rsid w:val="00160E08"/>
    <w:rsid w:val="00160EA5"/>
    <w:rsid w:val="00160FC6"/>
    <w:rsid w:val="00161016"/>
    <w:rsid w:val="00161069"/>
    <w:rsid w:val="0016112C"/>
    <w:rsid w:val="00161183"/>
    <w:rsid w:val="001611A9"/>
    <w:rsid w:val="001613FB"/>
    <w:rsid w:val="0016181F"/>
    <w:rsid w:val="001618D2"/>
    <w:rsid w:val="00161A09"/>
    <w:rsid w:val="00161A5A"/>
    <w:rsid w:val="00161B66"/>
    <w:rsid w:val="00161C57"/>
    <w:rsid w:val="00161CB8"/>
    <w:rsid w:val="00161CBE"/>
    <w:rsid w:val="00161D04"/>
    <w:rsid w:val="00162083"/>
    <w:rsid w:val="0016238C"/>
    <w:rsid w:val="001623F3"/>
    <w:rsid w:val="0016240D"/>
    <w:rsid w:val="00162508"/>
    <w:rsid w:val="001625CA"/>
    <w:rsid w:val="0016271B"/>
    <w:rsid w:val="0016276D"/>
    <w:rsid w:val="00162841"/>
    <w:rsid w:val="001629D0"/>
    <w:rsid w:val="00162EBC"/>
    <w:rsid w:val="00162F73"/>
    <w:rsid w:val="00162FC2"/>
    <w:rsid w:val="0016336A"/>
    <w:rsid w:val="001633E7"/>
    <w:rsid w:val="00163673"/>
    <w:rsid w:val="001636F2"/>
    <w:rsid w:val="001637E0"/>
    <w:rsid w:val="00163816"/>
    <w:rsid w:val="00163956"/>
    <w:rsid w:val="00163A5B"/>
    <w:rsid w:val="00163B1C"/>
    <w:rsid w:val="00163B32"/>
    <w:rsid w:val="00164012"/>
    <w:rsid w:val="0016422F"/>
    <w:rsid w:val="0016423F"/>
    <w:rsid w:val="0016442A"/>
    <w:rsid w:val="00164454"/>
    <w:rsid w:val="00164550"/>
    <w:rsid w:val="00164646"/>
    <w:rsid w:val="00164716"/>
    <w:rsid w:val="0016498B"/>
    <w:rsid w:val="00164A5C"/>
    <w:rsid w:val="00164F93"/>
    <w:rsid w:val="0016518B"/>
    <w:rsid w:val="0016531E"/>
    <w:rsid w:val="001655AD"/>
    <w:rsid w:val="00165694"/>
    <w:rsid w:val="0016576E"/>
    <w:rsid w:val="00165837"/>
    <w:rsid w:val="00165839"/>
    <w:rsid w:val="001658D5"/>
    <w:rsid w:val="00165D36"/>
    <w:rsid w:val="00165EB4"/>
    <w:rsid w:val="00165F54"/>
    <w:rsid w:val="00165F7D"/>
    <w:rsid w:val="00166097"/>
    <w:rsid w:val="00166165"/>
    <w:rsid w:val="00166465"/>
    <w:rsid w:val="001664D5"/>
    <w:rsid w:val="001664ED"/>
    <w:rsid w:val="0016653A"/>
    <w:rsid w:val="00166747"/>
    <w:rsid w:val="0016696E"/>
    <w:rsid w:val="00166AF3"/>
    <w:rsid w:val="00166CC4"/>
    <w:rsid w:val="00166D50"/>
    <w:rsid w:val="00166E6D"/>
    <w:rsid w:val="00166FE2"/>
    <w:rsid w:val="00167022"/>
    <w:rsid w:val="001670FF"/>
    <w:rsid w:val="0016711B"/>
    <w:rsid w:val="00167390"/>
    <w:rsid w:val="00167494"/>
    <w:rsid w:val="0016750B"/>
    <w:rsid w:val="001675B9"/>
    <w:rsid w:val="0016791A"/>
    <w:rsid w:val="00167976"/>
    <w:rsid w:val="00167C36"/>
    <w:rsid w:val="00167C57"/>
    <w:rsid w:val="00167E5C"/>
    <w:rsid w:val="00167F43"/>
    <w:rsid w:val="001700AB"/>
    <w:rsid w:val="00170176"/>
    <w:rsid w:val="00170236"/>
    <w:rsid w:val="00170255"/>
    <w:rsid w:val="001702D4"/>
    <w:rsid w:val="0017032F"/>
    <w:rsid w:val="0017045D"/>
    <w:rsid w:val="001704A4"/>
    <w:rsid w:val="00170630"/>
    <w:rsid w:val="001706E0"/>
    <w:rsid w:val="00170701"/>
    <w:rsid w:val="00170B17"/>
    <w:rsid w:val="00170B74"/>
    <w:rsid w:val="00170E07"/>
    <w:rsid w:val="00170E10"/>
    <w:rsid w:val="00171125"/>
    <w:rsid w:val="00171399"/>
    <w:rsid w:val="00171424"/>
    <w:rsid w:val="0017145F"/>
    <w:rsid w:val="0017177B"/>
    <w:rsid w:val="001717C8"/>
    <w:rsid w:val="00171853"/>
    <w:rsid w:val="00171A2C"/>
    <w:rsid w:val="00171AA0"/>
    <w:rsid w:val="00172016"/>
    <w:rsid w:val="0017208C"/>
    <w:rsid w:val="00172146"/>
    <w:rsid w:val="00172354"/>
    <w:rsid w:val="00172368"/>
    <w:rsid w:val="0017248D"/>
    <w:rsid w:val="001726D4"/>
    <w:rsid w:val="00172823"/>
    <w:rsid w:val="001728B5"/>
    <w:rsid w:val="001729E2"/>
    <w:rsid w:val="00172A7A"/>
    <w:rsid w:val="00172AD6"/>
    <w:rsid w:val="00172B14"/>
    <w:rsid w:val="00172DF0"/>
    <w:rsid w:val="00173045"/>
    <w:rsid w:val="001730DB"/>
    <w:rsid w:val="001733BC"/>
    <w:rsid w:val="00173417"/>
    <w:rsid w:val="0017353F"/>
    <w:rsid w:val="0017360D"/>
    <w:rsid w:val="0017370B"/>
    <w:rsid w:val="00173805"/>
    <w:rsid w:val="001739FA"/>
    <w:rsid w:val="00173AAC"/>
    <w:rsid w:val="00173ED9"/>
    <w:rsid w:val="00173F53"/>
    <w:rsid w:val="00173F59"/>
    <w:rsid w:val="00174052"/>
    <w:rsid w:val="0017449D"/>
    <w:rsid w:val="001744C9"/>
    <w:rsid w:val="001745CE"/>
    <w:rsid w:val="00174636"/>
    <w:rsid w:val="00174733"/>
    <w:rsid w:val="0017484F"/>
    <w:rsid w:val="001748EA"/>
    <w:rsid w:val="001748F8"/>
    <w:rsid w:val="001748FE"/>
    <w:rsid w:val="0017494F"/>
    <w:rsid w:val="001749D6"/>
    <w:rsid w:val="00174AEA"/>
    <w:rsid w:val="00174DE5"/>
    <w:rsid w:val="00174EC6"/>
    <w:rsid w:val="0017502C"/>
    <w:rsid w:val="0017504C"/>
    <w:rsid w:val="001750A0"/>
    <w:rsid w:val="00175113"/>
    <w:rsid w:val="0017512D"/>
    <w:rsid w:val="0017519A"/>
    <w:rsid w:val="001756A4"/>
    <w:rsid w:val="001759D4"/>
    <w:rsid w:val="00175A3A"/>
    <w:rsid w:val="00175A4A"/>
    <w:rsid w:val="00175A77"/>
    <w:rsid w:val="00175A79"/>
    <w:rsid w:val="00175B58"/>
    <w:rsid w:val="00175C4F"/>
    <w:rsid w:val="00175F49"/>
    <w:rsid w:val="0017612F"/>
    <w:rsid w:val="001762F8"/>
    <w:rsid w:val="001763D2"/>
    <w:rsid w:val="0017641B"/>
    <w:rsid w:val="001766D2"/>
    <w:rsid w:val="001768FA"/>
    <w:rsid w:val="00176A4B"/>
    <w:rsid w:val="00176C1F"/>
    <w:rsid w:val="00176E4C"/>
    <w:rsid w:val="00176ECD"/>
    <w:rsid w:val="00176EF3"/>
    <w:rsid w:val="00176FD4"/>
    <w:rsid w:val="001772D1"/>
    <w:rsid w:val="00177381"/>
    <w:rsid w:val="0017749D"/>
    <w:rsid w:val="00177547"/>
    <w:rsid w:val="00177682"/>
    <w:rsid w:val="00177761"/>
    <w:rsid w:val="001777AA"/>
    <w:rsid w:val="001778A7"/>
    <w:rsid w:val="001779ED"/>
    <w:rsid w:val="00177A04"/>
    <w:rsid w:val="00177AF7"/>
    <w:rsid w:val="00177B93"/>
    <w:rsid w:val="00177C9F"/>
    <w:rsid w:val="00177D9A"/>
    <w:rsid w:val="00177EE0"/>
    <w:rsid w:val="001802FB"/>
    <w:rsid w:val="0018034D"/>
    <w:rsid w:val="0018042D"/>
    <w:rsid w:val="0018078C"/>
    <w:rsid w:val="00180AE3"/>
    <w:rsid w:val="00180B3A"/>
    <w:rsid w:val="00180E8D"/>
    <w:rsid w:val="00180E92"/>
    <w:rsid w:val="00180F34"/>
    <w:rsid w:val="00180F36"/>
    <w:rsid w:val="00180FA8"/>
    <w:rsid w:val="00181094"/>
    <w:rsid w:val="001810EC"/>
    <w:rsid w:val="001813B0"/>
    <w:rsid w:val="001814D2"/>
    <w:rsid w:val="0018151E"/>
    <w:rsid w:val="001815A5"/>
    <w:rsid w:val="0018161D"/>
    <w:rsid w:val="00181700"/>
    <w:rsid w:val="001818D8"/>
    <w:rsid w:val="00181A88"/>
    <w:rsid w:val="00181BCA"/>
    <w:rsid w:val="00181FDF"/>
    <w:rsid w:val="00182014"/>
    <w:rsid w:val="00182126"/>
    <w:rsid w:val="0018218D"/>
    <w:rsid w:val="0018228E"/>
    <w:rsid w:val="0018229D"/>
    <w:rsid w:val="0018236A"/>
    <w:rsid w:val="0018239C"/>
    <w:rsid w:val="0018239D"/>
    <w:rsid w:val="001825CC"/>
    <w:rsid w:val="0018263F"/>
    <w:rsid w:val="001827CC"/>
    <w:rsid w:val="00182CA4"/>
    <w:rsid w:val="00182FE3"/>
    <w:rsid w:val="0018311F"/>
    <w:rsid w:val="00183171"/>
    <w:rsid w:val="00183315"/>
    <w:rsid w:val="0018345D"/>
    <w:rsid w:val="001834BB"/>
    <w:rsid w:val="0018352C"/>
    <w:rsid w:val="0018359C"/>
    <w:rsid w:val="00183A18"/>
    <w:rsid w:val="00183E56"/>
    <w:rsid w:val="00183ECA"/>
    <w:rsid w:val="00184025"/>
    <w:rsid w:val="001840F7"/>
    <w:rsid w:val="00184139"/>
    <w:rsid w:val="0018416F"/>
    <w:rsid w:val="0018425A"/>
    <w:rsid w:val="0018426D"/>
    <w:rsid w:val="00184283"/>
    <w:rsid w:val="001842F4"/>
    <w:rsid w:val="00184490"/>
    <w:rsid w:val="001844C6"/>
    <w:rsid w:val="0018450B"/>
    <w:rsid w:val="00184558"/>
    <w:rsid w:val="001845CA"/>
    <w:rsid w:val="001845EF"/>
    <w:rsid w:val="00184629"/>
    <w:rsid w:val="00184707"/>
    <w:rsid w:val="00184B03"/>
    <w:rsid w:val="00184B6E"/>
    <w:rsid w:val="00184D7C"/>
    <w:rsid w:val="00184D98"/>
    <w:rsid w:val="00184DD8"/>
    <w:rsid w:val="00185090"/>
    <w:rsid w:val="0018556F"/>
    <w:rsid w:val="0018570E"/>
    <w:rsid w:val="00185C17"/>
    <w:rsid w:val="00185D80"/>
    <w:rsid w:val="00185EE4"/>
    <w:rsid w:val="00185F9C"/>
    <w:rsid w:val="00186186"/>
    <w:rsid w:val="00186C0E"/>
    <w:rsid w:val="00186D1C"/>
    <w:rsid w:val="00186E68"/>
    <w:rsid w:val="00186EED"/>
    <w:rsid w:val="001870FC"/>
    <w:rsid w:val="001874D7"/>
    <w:rsid w:val="0018763B"/>
    <w:rsid w:val="00187762"/>
    <w:rsid w:val="001877F9"/>
    <w:rsid w:val="00187807"/>
    <w:rsid w:val="0018783A"/>
    <w:rsid w:val="0018793E"/>
    <w:rsid w:val="00187984"/>
    <w:rsid w:val="00187B9E"/>
    <w:rsid w:val="00187CA3"/>
    <w:rsid w:val="00187CF0"/>
    <w:rsid w:val="00187D08"/>
    <w:rsid w:val="00187DB5"/>
    <w:rsid w:val="00187E0E"/>
    <w:rsid w:val="00187E99"/>
    <w:rsid w:val="00187F61"/>
    <w:rsid w:val="00190047"/>
    <w:rsid w:val="00190118"/>
    <w:rsid w:val="0019011C"/>
    <w:rsid w:val="00190182"/>
    <w:rsid w:val="0019031B"/>
    <w:rsid w:val="001903CF"/>
    <w:rsid w:val="00190530"/>
    <w:rsid w:val="001908C6"/>
    <w:rsid w:val="00190906"/>
    <w:rsid w:val="001909AC"/>
    <w:rsid w:val="00190C17"/>
    <w:rsid w:val="00190E66"/>
    <w:rsid w:val="00190E69"/>
    <w:rsid w:val="00190F3D"/>
    <w:rsid w:val="001910A0"/>
    <w:rsid w:val="001910A2"/>
    <w:rsid w:val="00191188"/>
    <w:rsid w:val="001911BB"/>
    <w:rsid w:val="00191288"/>
    <w:rsid w:val="001912C4"/>
    <w:rsid w:val="00191307"/>
    <w:rsid w:val="00191308"/>
    <w:rsid w:val="0019137D"/>
    <w:rsid w:val="00191391"/>
    <w:rsid w:val="001913C3"/>
    <w:rsid w:val="00191695"/>
    <w:rsid w:val="00191837"/>
    <w:rsid w:val="00191A37"/>
    <w:rsid w:val="00191BCF"/>
    <w:rsid w:val="00191E69"/>
    <w:rsid w:val="00191E77"/>
    <w:rsid w:val="00191F2C"/>
    <w:rsid w:val="00191FEE"/>
    <w:rsid w:val="00192112"/>
    <w:rsid w:val="00192533"/>
    <w:rsid w:val="001925EA"/>
    <w:rsid w:val="0019276F"/>
    <w:rsid w:val="001928D8"/>
    <w:rsid w:val="00192BC4"/>
    <w:rsid w:val="00192CCE"/>
    <w:rsid w:val="00192F5A"/>
    <w:rsid w:val="00192F5C"/>
    <w:rsid w:val="00192F73"/>
    <w:rsid w:val="00192F78"/>
    <w:rsid w:val="00192F9D"/>
    <w:rsid w:val="00192FB3"/>
    <w:rsid w:val="0019312C"/>
    <w:rsid w:val="00193431"/>
    <w:rsid w:val="0019343D"/>
    <w:rsid w:val="00193745"/>
    <w:rsid w:val="00193906"/>
    <w:rsid w:val="00193AC4"/>
    <w:rsid w:val="00193F6A"/>
    <w:rsid w:val="00193FBA"/>
    <w:rsid w:val="00193FFA"/>
    <w:rsid w:val="00194012"/>
    <w:rsid w:val="00194013"/>
    <w:rsid w:val="0019417B"/>
    <w:rsid w:val="001941A0"/>
    <w:rsid w:val="001941D5"/>
    <w:rsid w:val="001942E7"/>
    <w:rsid w:val="0019447A"/>
    <w:rsid w:val="00194500"/>
    <w:rsid w:val="001945C8"/>
    <w:rsid w:val="00194812"/>
    <w:rsid w:val="0019498C"/>
    <w:rsid w:val="00194A9D"/>
    <w:rsid w:val="00194AA3"/>
    <w:rsid w:val="00194AAE"/>
    <w:rsid w:val="00194B60"/>
    <w:rsid w:val="00194BAA"/>
    <w:rsid w:val="00194BEE"/>
    <w:rsid w:val="00194BF8"/>
    <w:rsid w:val="00194C24"/>
    <w:rsid w:val="00194ED3"/>
    <w:rsid w:val="00194F24"/>
    <w:rsid w:val="00195061"/>
    <w:rsid w:val="00195183"/>
    <w:rsid w:val="00195391"/>
    <w:rsid w:val="0019552E"/>
    <w:rsid w:val="0019564C"/>
    <w:rsid w:val="0019567F"/>
    <w:rsid w:val="001957C8"/>
    <w:rsid w:val="001957DE"/>
    <w:rsid w:val="00195995"/>
    <w:rsid w:val="001959D3"/>
    <w:rsid w:val="00195A1D"/>
    <w:rsid w:val="00195AAD"/>
    <w:rsid w:val="00195ABE"/>
    <w:rsid w:val="00195B7B"/>
    <w:rsid w:val="00195C5C"/>
    <w:rsid w:val="00195D19"/>
    <w:rsid w:val="00195E13"/>
    <w:rsid w:val="00195E33"/>
    <w:rsid w:val="00195E65"/>
    <w:rsid w:val="00195F2B"/>
    <w:rsid w:val="001965BC"/>
    <w:rsid w:val="0019671F"/>
    <w:rsid w:val="001968DF"/>
    <w:rsid w:val="0019692C"/>
    <w:rsid w:val="00196AEB"/>
    <w:rsid w:val="00196FF2"/>
    <w:rsid w:val="00197037"/>
    <w:rsid w:val="00197096"/>
    <w:rsid w:val="00197105"/>
    <w:rsid w:val="00197164"/>
    <w:rsid w:val="0019716C"/>
    <w:rsid w:val="00197549"/>
    <w:rsid w:val="00197556"/>
    <w:rsid w:val="0019756C"/>
    <w:rsid w:val="001976C9"/>
    <w:rsid w:val="0019778A"/>
    <w:rsid w:val="00197A2F"/>
    <w:rsid w:val="00197B93"/>
    <w:rsid w:val="00197C57"/>
    <w:rsid w:val="00197D54"/>
    <w:rsid w:val="001A00CD"/>
    <w:rsid w:val="001A0630"/>
    <w:rsid w:val="001A07D3"/>
    <w:rsid w:val="001A0B31"/>
    <w:rsid w:val="001A0CC3"/>
    <w:rsid w:val="001A0DB5"/>
    <w:rsid w:val="001A0E00"/>
    <w:rsid w:val="001A0E72"/>
    <w:rsid w:val="001A0EA3"/>
    <w:rsid w:val="001A0F32"/>
    <w:rsid w:val="001A0FC3"/>
    <w:rsid w:val="001A13FB"/>
    <w:rsid w:val="001A13FC"/>
    <w:rsid w:val="001A163A"/>
    <w:rsid w:val="001A1728"/>
    <w:rsid w:val="001A19C7"/>
    <w:rsid w:val="001A1A3D"/>
    <w:rsid w:val="001A1D2B"/>
    <w:rsid w:val="001A1D6E"/>
    <w:rsid w:val="001A1D8A"/>
    <w:rsid w:val="001A1DAE"/>
    <w:rsid w:val="001A1E2F"/>
    <w:rsid w:val="001A1E50"/>
    <w:rsid w:val="001A1EEC"/>
    <w:rsid w:val="001A1F2F"/>
    <w:rsid w:val="001A2024"/>
    <w:rsid w:val="001A21E8"/>
    <w:rsid w:val="001A2223"/>
    <w:rsid w:val="001A26B9"/>
    <w:rsid w:val="001A26CA"/>
    <w:rsid w:val="001A26DF"/>
    <w:rsid w:val="001A2704"/>
    <w:rsid w:val="001A2748"/>
    <w:rsid w:val="001A2895"/>
    <w:rsid w:val="001A2973"/>
    <w:rsid w:val="001A29C8"/>
    <w:rsid w:val="001A2D8B"/>
    <w:rsid w:val="001A30E9"/>
    <w:rsid w:val="001A326D"/>
    <w:rsid w:val="001A3352"/>
    <w:rsid w:val="001A33B4"/>
    <w:rsid w:val="001A3567"/>
    <w:rsid w:val="001A3695"/>
    <w:rsid w:val="001A3857"/>
    <w:rsid w:val="001A3925"/>
    <w:rsid w:val="001A3C86"/>
    <w:rsid w:val="001A3D4D"/>
    <w:rsid w:val="001A3D55"/>
    <w:rsid w:val="001A3DBA"/>
    <w:rsid w:val="001A3EF6"/>
    <w:rsid w:val="001A3FED"/>
    <w:rsid w:val="001A412B"/>
    <w:rsid w:val="001A46A7"/>
    <w:rsid w:val="001A473C"/>
    <w:rsid w:val="001A4A7B"/>
    <w:rsid w:val="001A4BBC"/>
    <w:rsid w:val="001A4D27"/>
    <w:rsid w:val="001A4DD4"/>
    <w:rsid w:val="001A4F98"/>
    <w:rsid w:val="001A51C0"/>
    <w:rsid w:val="001A51E8"/>
    <w:rsid w:val="001A528E"/>
    <w:rsid w:val="001A5539"/>
    <w:rsid w:val="001A568D"/>
    <w:rsid w:val="001A5693"/>
    <w:rsid w:val="001A59BB"/>
    <w:rsid w:val="001A5B61"/>
    <w:rsid w:val="001A5FA4"/>
    <w:rsid w:val="001A60AE"/>
    <w:rsid w:val="001A6104"/>
    <w:rsid w:val="001A6161"/>
    <w:rsid w:val="001A63B0"/>
    <w:rsid w:val="001A63E5"/>
    <w:rsid w:val="001A6496"/>
    <w:rsid w:val="001A649F"/>
    <w:rsid w:val="001A653B"/>
    <w:rsid w:val="001A6553"/>
    <w:rsid w:val="001A65A6"/>
    <w:rsid w:val="001A65C4"/>
    <w:rsid w:val="001A6982"/>
    <w:rsid w:val="001A6B09"/>
    <w:rsid w:val="001A6EB2"/>
    <w:rsid w:val="001A6EF2"/>
    <w:rsid w:val="001A6FF5"/>
    <w:rsid w:val="001A718E"/>
    <w:rsid w:val="001A7191"/>
    <w:rsid w:val="001A71E1"/>
    <w:rsid w:val="001A78AE"/>
    <w:rsid w:val="001A79F7"/>
    <w:rsid w:val="001A7E34"/>
    <w:rsid w:val="001B008F"/>
    <w:rsid w:val="001B017B"/>
    <w:rsid w:val="001B01E7"/>
    <w:rsid w:val="001B02F4"/>
    <w:rsid w:val="001B045A"/>
    <w:rsid w:val="001B072A"/>
    <w:rsid w:val="001B08FF"/>
    <w:rsid w:val="001B0900"/>
    <w:rsid w:val="001B0B8E"/>
    <w:rsid w:val="001B0D69"/>
    <w:rsid w:val="001B1184"/>
    <w:rsid w:val="001B1471"/>
    <w:rsid w:val="001B1487"/>
    <w:rsid w:val="001B17E7"/>
    <w:rsid w:val="001B183C"/>
    <w:rsid w:val="001B1892"/>
    <w:rsid w:val="001B18F5"/>
    <w:rsid w:val="001B1992"/>
    <w:rsid w:val="001B19C2"/>
    <w:rsid w:val="001B1B2B"/>
    <w:rsid w:val="001B1B40"/>
    <w:rsid w:val="001B1B45"/>
    <w:rsid w:val="001B1BAD"/>
    <w:rsid w:val="001B1C12"/>
    <w:rsid w:val="001B1EE0"/>
    <w:rsid w:val="001B207B"/>
    <w:rsid w:val="001B259C"/>
    <w:rsid w:val="001B26DE"/>
    <w:rsid w:val="001B26EA"/>
    <w:rsid w:val="001B27E7"/>
    <w:rsid w:val="001B2845"/>
    <w:rsid w:val="001B2AD7"/>
    <w:rsid w:val="001B2BC6"/>
    <w:rsid w:val="001B2D49"/>
    <w:rsid w:val="001B2DC3"/>
    <w:rsid w:val="001B2ED3"/>
    <w:rsid w:val="001B31E2"/>
    <w:rsid w:val="001B3222"/>
    <w:rsid w:val="001B3278"/>
    <w:rsid w:val="001B32D1"/>
    <w:rsid w:val="001B32F6"/>
    <w:rsid w:val="001B330C"/>
    <w:rsid w:val="001B3448"/>
    <w:rsid w:val="001B374E"/>
    <w:rsid w:val="001B3BA0"/>
    <w:rsid w:val="001B3C04"/>
    <w:rsid w:val="001B3D8A"/>
    <w:rsid w:val="001B3F1D"/>
    <w:rsid w:val="001B3FE1"/>
    <w:rsid w:val="001B42C3"/>
    <w:rsid w:val="001B4564"/>
    <w:rsid w:val="001B4670"/>
    <w:rsid w:val="001B470D"/>
    <w:rsid w:val="001B4806"/>
    <w:rsid w:val="001B480C"/>
    <w:rsid w:val="001B4983"/>
    <w:rsid w:val="001B4E4D"/>
    <w:rsid w:val="001B4E90"/>
    <w:rsid w:val="001B4EA6"/>
    <w:rsid w:val="001B4F48"/>
    <w:rsid w:val="001B4F4C"/>
    <w:rsid w:val="001B5175"/>
    <w:rsid w:val="001B5177"/>
    <w:rsid w:val="001B5196"/>
    <w:rsid w:val="001B5406"/>
    <w:rsid w:val="001B5603"/>
    <w:rsid w:val="001B582F"/>
    <w:rsid w:val="001B5877"/>
    <w:rsid w:val="001B59D6"/>
    <w:rsid w:val="001B5A5E"/>
    <w:rsid w:val="001B5A75"/>
    <w:rsid w:val="001B5AE9"/>
    <w:rsid w:val="001B5BA5"/>
    <w:rsid w:val="001B5D08"/>
    <w:rsid w:val="001B5D49"/>
    <w:rsid w:val="001B5F29"/>
    <w:rsid w:val="001B5F3E"/>
    <w:rsid w:val="001B60BA"/>
    <w:rsid w:val="001B630A"/>
    <w:rsid w:val="001B694A"/>
    <w:rsid w:val="001B699B"/>
    <w:rsid w:val="001B6ADE"/>
    <w:rsid w:val="001B6C35"/>
    <w:rsid w:val="001B6D41"/>
    <w:rsid w:val="001B6E7E"/>
    <w:rsid w:val="001B7030"/>
    <w:rsid w:val="001B7536"/>
    <w:rsid w:val="001B75FA"/>
    <w:rsid w:val="001B762B"/>
    <w:rsid w:val="001B7733"/>
    <w:rsid w:val="001B7801"/>
    <w:rsid w:val="001B79B4"/>
    <w:rsid w:val="001B7BF9"/>
    <w:rsid w:val="001B7C08"/>
    <w:rsid w:val="001B7E65"/>
    <w:rsid w:val="001B7E82"/>
    <w:rsid w:val="001B7EBB"/>
    <w:rsid w:val="001B7EE3"/>
    <w:rsid w:val="001B7F42"/>
    <w:rsid w:val="001C0327"/>
    <w:rsid w:val="001C04B8"/>
    <w:rsid w:val="001C0501"/>
    <w:rsid w:val="001C0697"/>
    <w:rsid w:val="001C0760"/>
    <w:rsid w:val="001C0964"/>
    <w:rsid w:val="001C0A02"/>
    <w:rsid w:val="001C0AF6"/>
    <w:rsid w:val="001C0B11"/>
    <w:rsid w:val="001C0D63"/>
    <w:rsid w:val="001C0DE5"/>
    <w:rsid w:val="001C1021"/>
    <w:rsid w:val="001C103E"/>
    <w:rsid w:val="001C1059"/>
    <w:rsid w:val="001C11E4"/>
    <w:rsid w:val="001C13EC"/>
    <w:rsid w:val="001C1417"/>
    <w:rsid w:val="001C145F"/>
    <w:rsid w:val="001C147B"/>
    <w:rsid w:val="001C158E"/>
    <w:rsid w:val="001C1647"/>
    <w:rsid w:val="001C16F4"/>
    <w:rsid w:val="001C1710"/>
    <w:rsid w:val="001C17C4"/>
    <w:rsid w:val="001C17EF"/>
    <w:rsid w:val="001C1909"/>
    <w:rsid w:val="001C1B08"/>
    <w:rsid w:val="001C1B67"/>
    <w:rsid w:val="001C1B9A"/>
    <w:rsid w:val="001C1BE0"/>
    <w:rsid w:val="001C1C63"/>
    <w:rsid w:val="001C1D04"/>
    <w:rsid w:val="001C1D4A"/>
    <w:rsid w:val="001C1F13"/>
    <w:rsid w:val="001C1F76"/>
    <w:rsid w:val="001C2427"/>
    <w:rsid w:val="001C2489"/>
    <w:rsid w:val="001C2500"/>
    <w:rsid w:val="001C2510"/>
    <w:rsid w:val="001C2567"/>
    <w:rsid w:val="001C2576"/>
    <w:rsid w:val="001C268F"/>
    <w:rsid w:val="001C2788"/>
    <w:rsid w:val="001C27C1"/>
    <w:rsid w:val="001C291E"/>
    <w:rsid w:val="001C293C"/>
    <w:rsid w:val="001C2A45"/>
    <w:rsid w:val="001C2B6E"/>
    <w:rsid w:val="001C2CC7"/>
    <w:rsid w:val="001C2D10"/>
    <w:rsid w:val="001C302F"/>
    <w:rsid w:val="001C3134"/>
    <w:rsid w:val="001C3147"/>
    <w:rsid w:val="001C31C0"/>
    <w:rsid w:val="001C32FB"/>
    <w:rsid w:val="001C349E"/>
    <w:rsid w:val="001C3756"/>
    <w:rsid w:val="001C3835"/>
    <w:rsid w:val="001C38FD"/>
    <w:rsid w:val="001C3CBA"/>
    <w:rsid w:val="001C3F5B"/>
    <w:rsid w:val="001C3FDF"/>
    <w:rsid w:val="001C3FE9"/>
    <w:rsid w:val="001C40E3"/>
    <w:rsid w:val="001C423B"/>
    <w:rsid w:val="001C4257"/>
    <w:rsid w:val="001C42C1"/>
    <w:rsid w:val="001C4387"/>
    <w:rsid w:val="001C44E4"/>
    <w:rsid w:val="001C4657"/>
    <w:rsid w:val="001C4700"/>
    <w:rsid w:val="001C47E5"/>
    <w:rsid w:val="001C485F"/>
    <w:rsid w:val="001C4BD9"/>
    <w:rsid w:val="001C4EAA"/>
    <w:rsid w:val="001C4EFC"/>
    <w:rsid w:val="001C5206"/>
    <w:rsid w:val="001C52CB"/>
    <w:rsid w:val="001C52DC"/>
    <w:rsid w:val="001C57D8"/>
    <w:rsid w:val="001C58F1"/>
    <w:rsid w:val="001C5A6C"/>
    <w:rsid w:val="001C5B5B"/>
    <w:rsid w:val="001C5C8B"/>
    <w:rsid w:val="001C5F1A"/>
    <w:rsid w:val="001C614E"/>
    <w:rsid w:val="001C637D"/>
    <w:rsid w:val="001C64D1"/>
    <w:rsid w:val="001C651D"/>
    <w:rsid w:val="001C6549"/>
    <w:rsid w:val="001C6701"/>
    <w:rsid w:val="001C68A9"/>
    <w:rsid w:val="001C690A"/>
    <w:rsid w:val="001C6950"/>
    <w:rsid w:val="001C6AAA"/>
    <w:rsid w:val="001C6B2E"/>
    <w:rsid w:val="001C6E6C"/>
    <w:rsid w:val="001C73F4"/>
    <w:rsid w:val="001C7473"/>
    <w:rsid w:val="001C74BE"/>
    <w:rsid w:val="001C74C3"/>
    <w:rsid w:val="001C756B"/>
    <w:rsid w:val="001C76BC"/>
    <w:rsid w:val="001C76D4"/>
    <w:rsid w:val="001C777C"/>
    <w:rsid w:val="001C79D9"/>
    <w:rsid w:val="001C7A38"/>
    <w:rsid w:val="001C7A41"/>
    <w:rsid w:val="001C7DB8"/>
    <w:rsid w:val="001C7E4F"/>
    <w:rsid w:val="001C7E57"/>
    <w:rsid w:val="001D0192"/>
    <w:rsid w:val="001D0198"/>
    <w:rsid w:val="001D029D"/>
    <w:rsid w:val="001D0319"/>
    <w:rsid w:val="001D0382"/>
    <w:rsid w:val="001D038C"/>
    <w:rsid w:val="001D0535"/>
    <w:rsid w:val="001D067A"/>
    <w:rsid w:val="001D076D"/>
    <w:rsid w:val="001D0951"/>
    <w:rsid w:val="001D0990"/>
    <w:rsid w:val="001D0A35"/>
    <w:rsid w:val="001D0C35"/>
    <w:rsid w:val="001D0C77"/>
    <w:rsid w:val="001D0D25"/>
    <w:rsid w:val="001D0DB7"/>
    <w:rsid w:val="001D0F8D"/>
    <w:rsid w:val="001D1022"/>
    <w:rsid w:val="001D10D9"/>
    <w:rsid w:val="001D10F4"/>
    <w:rsid w:val="001D110F"/>
    <w:rsid w:val="001D12E4"/>
    <w:rsid w:val="001D12ED"/>
    <w:rsid w:val="001D1519"/>
    <w:rsid w:val="001D1607"/>
    <w:rsid w:val="001D1758"/>
    <w:rsid w:val="001D18CA"/>
    <w:rsid w:val="001D1A51"/>
    <w:rsid w:val="001D1B69"/>
    <w:rsid w:val="001D2179"/>
    <w:rsid w:val="001D223D"/>
    <w:rsid w:val="001D2242"/>
    <w:rsid w:val="001D2549"/>
    <w:rsid w:val="001D2712"/>
    <w:rsid w:val="001D2D53"/>
    <w:rsid w:val="001D32CE"/>
    <w:rsid w:val="001D33D9"/>
    <w:rsid w:val="001D35D6"/>
    <w:rsid w:val="001D35F5"/>
    <w:rsid w:val="001D3676"/>
    <w:rsid w:val="001D3709"/>
    <w:rsid w:val="001D3739"/>
    <w:rsid w:val="001D3753"/>
    <w:rsid w:val="001D3766"/>
    <w:rsid w:val="001D39F8"/>
    <w:rsid w:val="001D3B02"/>
    <w:rsid w:val="001D3B14"/>
    <w:rsid w:val="001D3B2F"/>
    <w:rsid w:val="001D4069"/>
    <w:rsid w:val="001D4311"/>
    <w:rsid w:val="001D44E4"/>
    <w:rsid w:val="001D4584"/>
    <w:rsid w:val="001D4871"/>
    <w:rsid w:val="001D496D"/>
    <w:rsid w:val="001D49A7"/>
    <w:rsid w:val="001D4BDE"/>
    <w:rsid w:val="001D4CA1"/>
    <w:rsid w:val="001D4DBA"/>
    <w:rsid w:val="001D4FBD"/>
    <w:rsid w:val="001D5143"/>
    <w:rsid w:val="001D52A2"/>
    <w:rsid w:val="001D52D1"/>
    <w:rsid w:val="001D53D2"/>
    <w:rsid w:val="001D5591"/>
    <w:rsid w:val="001D5619"/>
    <w:rsid w:val="001D56E1"/>
    <w:rsid w:val="001D56F8"/>
    <w:rsid w:val="001D59A6"/>
    <w:rsid w:val="001D5A77"/>
    <w:rsid w:val="001D5B15"/>
    <w:rsid w:val="001D5B19"/>
    <w:rsid w:val="001D5CBC"/>
    <w:rsid w:val="001D5D1A"/>
    <w:rsid w:val="001D5DAA"/>
    <w:rsid w:val="001D5EA3"/>
    <w:rsid w:val="001D5FC7"/>
    <w:rsid w:val="001D6139"/>
    <w:rsid w:val="001D618F"/>
    <w:rsid w:val="001D63D0"/>
    <w:rsid w:val="001D641C"/>
    <w:rsid w:val="001D6501"/>
    <w:rsid w:val="001D65AD"/>
    <w:rsid w:val="001D673A"/>
    <w:rsid w:val="001D6999"/>
    <w:rsid w:val="001D6C37"/>
    <w:rsid w:val="001D6CEF"/>
    <w:rsid w:val="001D6D8A"/>
    <w:rsid w:val="001D72AF"/>
    <w:rsid w:val="001D74BA"/>
    <w:rsid w:val="001D759C"/>
    <w:rsid w:val="001D76D4"/>
    <w:rsid w:val="001D776A"/>
    <w:rsid w:val="001D7771"/>
    <w:rsid w:val="001D78C3"/>
    <w:rsid w:val="001D795D"/>
    <w:rsid w:val="001D7A60"/>
    <w:rsid w:val="001D7C0B"/>
    <w:rsid w:val="001D7C7C"/>
    <w:rsid w:val="001E0016"/>
    <w:rsid w:val="001E00D7"/>
    <w:rsid w:val="001E00FB"/>
    <w:rsid w:val="001E0261"/>
    <w:rsid w:val="001E030E"/>
    <w:rsid w:val="001E047E"/>
    <w:rsid w:val="001E04BC"/>
    <w:rsid w:val="001E0627"/>
    <w:rsid w:val="001E06FF"/>
    <w:rsid w:val="001E081A"/>
    <w:rsid w:val="001E0C80"/>
    <w:rsid w:val="001E0DAC"/>
    <w:rsid w:val="001E0E91"/>
    <w:rsid w:val="001E0F49"/>
    <w:rsid w:val="001E0F9D"/>
    <w:rsid w:val="001E1196"/>
    <w:rsid w:val="001E12C9"/>
    <w:rsid w:val="001E13D2"/>
    <w:rsid w:val="001E1435"/>
    <w:rsid w:val="001E17FC"/>
    <w:rsid w:val="001E184A"/>
    <w:rsid w:val="001E1B96"/>
    <w:rsid w:val="001E1BE8"/>
    <w:rsid w:val="001E1C74"/>
    <w:rsid w:val="001E1CB9"/>
    <w:rsid w:val="001E1DB7"/>
    <w:rsid w:val="001E1E00"/>
    <w:rsid w:val="001E1E22"/>
    <w:rsid w:val="001E23E4"/>
    <w:rsid w:val="001E2412"/>
    <w:rsid w:val="001E253A"/>
    <w:rsid w:val="001E2B27"/>
    <w:rsid w:val="001E2C7B"/>
    <w:rsid w:val="001E321A"/>
    <w:rsid w:val="001E32AA"/>
    <w:rsid w:val="001E33BA"/>
    <w:rsid w:val="001E3496"/>
    <w:rsid w:val="001E3557"/>
    <w:rsid w:val="001E357D"/>
    <w:rsid w:val="001E3629"/>
    <w:rsid w:val="001E3911"/>
    <w:rsid w:val="001E3A9B"/>
    <w:rsid w:val="001E3BF2"/>
    <w:rsid w:val="001E3C03"/>
    <w:rsid w:val="001E3C5A"/>
    <w:rsid w:val="001E3E6C"/>
    <w:rsid w:val="001E3ECD"/>
    <w:rsid w:val="001E3FEF"/>
    <w:rsid w:val="001E407C"/>
    <w:rsid w:val="001E408C"/>
    <w:rsid w:val="001E41B1"/>
    <w:rsid w:val="001E43CC"/>
    <w:rsid w:val="001E43F6"/>
    <w:rsid w:val="001E4626"/>
    <w:rsid w:val="001E4826"/>
    <w:rsid w:val="001E48EA"/>
    <w:rsid w:val="001E4993"/>
    <w:rsid w:val="001E4BD8"/>
    <w:rsid w:val="001E4C67"/>
    <w:rsid w:val="001E4CA3"/>
    <w:rsid w:val="001E4CDB"/>
    <w:rsid w:val="001E4F92"/>
    <w:rsid w:val="001E4FCE"/>
    <w:rsid w:val="001E502D"/>
    <w:rsid w:val="001E515D"/>
    <w:rsid w:val="001E51A2"/>
    <w:rsid w:val="001E5226"/>
    <w:rsid w:val="001E52AC"/>
    <w:rsid w:val="001E5406"/>
    <w:rsid w:val="001E540C"/>
    <w:rsid w:val="001E5456"/>
    <w:rsid w:val="001E54DD"/>
    <w:rsid w:val="001E576B"/>
    <w:rsid w:val="001E58EC"/>
    <w:rsid w:val="001E5903"/>
    <w:rsid w:val="001E5A13"/>
    <w:rsid w:val="001E5A80"/>
    <w:rsid w:val="001E5B72"/>
    <w:rsid w:val="001E5BCE"/>
    <w:rsid w:val="001E5D49"/>
    <w:rsid w:val="001E619E"/>
    <w:rsid w:val="001E626C"/>
    <w:rsid w:val="001E62D4"/>
    <w:rsid w:val="001E62D7"/>
    <w:rsid w:val="001E6319"/>
    <w:rsid w:val="001E6421"/>
    <w:rsid w:val="001E649B"/>
    <w:rsid w:val="001E6674"/>
    <w:rsid w:val="001E668A"/>
    <w:rsid w:val="001E673B"/>
    <w:rsid w:val="001E68DA"/>
    <w:rsid w:val="001E692F"/>
    <w:rsid w:val="001E6BC0"/>
    <w:rsid w:val="001E6CFC"/>
    <w:rsid w:val="001E6E5E"/>
    <w:rsid w:val="001E6EF6"/>
    <w:rsid w:val="001E70B6"/>
    <w:rsid w:val="001E70EA"/>
    <w:rsid w:val="001E72AA"/>
    <w:rsid w:val="001E7934"/>
    <w:rsid w:val="001E7A4D"/>
    <w:rsid w:val="001E7B9B"/>
    <w:rsid w:val="001F0180"/>
    <w:rsid w:val="001F01CF"/>
    <w:rsid w:val="001F02AD"/>
    <w:rsid w:val="001F049A"/>
    <w:rsid w:val="001F051D"/>
    <w:rsid w:val="001F06AA"/>
    <w:rsid w:val="001F09DF"/>
    <w:rsid w:val="001F0A68"/>
    <w:rsid w:val="001F0A72"/>
    <w:rsid w:val="001F0D28"/>
    <w:rsid w:val="001F0D5E"/>
    <w:rsid w:val="001F0E19"/>
    <w:rsid w:val="001F0E33"/>
    <w:rsid w:val="001F0E39"/>
    <w:rsid w:val="001F0E3C"/>
    <w:rsid w:val="001F13A3"/>
    <w:rsid w:val="001F1568"/>
    <w:rsid w:val="001F16D5"/>
    <w:rsid w:val="001F1779"/>
    <w:rsid w:val="001F1789"/>
    <w:rsid w:val="001F17A6"/>
    <w:rsid w:val="001F188F"/>
    <w:rsid w:val="001F1945"/>
    <w:rsid w:val="001F1A8A"/>
    <w:rsid w:val="001F1ABA"/>
    <w:rsid w:val="001F1C48"/>
    <w:rsid w:val="001F1D18"/>
    <w:rsid w:val="001F1E28"/>
    <w:rsid w:val="001F1E67"/>
    <w:rsid w:val="001F1EC2"/>
    <w:rsid w:val="001F1F52"/>
    <w:rsid w:val="001F1F8F"/>
    <w:rsid w:val="001F2014"/>
    <w:rsid w:val="001F22A9"/>
    <w:rsid w:val="001F2302"/>
    <w:rsid w:val="001F23BE"/>
    <w:rsid w:val="001F27CB"/>
    <w:rsid w:val="001F2A69"/>
    <w:rsid w:val="001F2E5E"/>
    <w:rsid w:val="001F302E"/>
    <w:rsid w:val="001F3079"/>
    <w:rsid w:val="001F320A"/>
    <w:rsid w:val="001F32FB"/>
    <w:rsid w:val="001F3426"/>
    <w:rsid w:val="001F34BB"/>
    <w:rsid w:val="001F37A3"/>
    <w:rsid w:val="001F3882"/>
    <w:rsid w:val="001F3FBB"/>
    <w:rsid w:val="001F402F"/>
    <w:rsid w:val="001F4350"/>
    <w:rsid w:val="001F43DB"/>
    <w:rsid w:val="001F447A"/>
    <w:rsid w:val="001F44D3"/>
    <w:rsid w:val="001F4620"/>
    <w:rsid w:val="001F4765"/>
    <w:rsid w:val="001F4972"/>
    <w:rsid w:val="001F4974"/>
    <w:rsid w:val="001F49BD"/>
    <w:rsid w:val="001F4AC2"/>
    <w:rsid w:val="001F4B2C"/>
    <w:rsid w:val="001F4BD0"/>
    <w:rsid w:val="001F4D1F"/>
    <w:rsid w:val="001F4D2A"/>
    <w:rsid w:val="001F4D3F"/>
    <w:rsid w:val="001F501A"/>
    <w:rsid w:val="001F5040"/>
    <w:rsid w:val="001F51ED"/>
    <w:rsid w:val="001F51F2"/>
    <w:rsid w:val="001F53A6"/>
    <w:rsid w:val="001F5427"/>
    <w:rsid w:val="001F542B"/>
    <w:rsid w:val="001F54A4"/>
    <w:rsid w:val="001F55EE"/>
    <w:rsid w:val="001F5766"/>
    <w:rsid w:val="001F57B7"/>
    <w:rsid w:val="001F5B0B"/>
    <w:rsid w:val="001F5BF9"/>
    <w:rsid w:val="001F6153"/>
    <w:rsid w:val="001F618A"/>
    <w:rsid w:val="001F62CE"/>
    <w:rsid w:val="001F6366"/>
    <w:rsid w:val="001F63B3"/>
    <w:rsid w:val="001F6460"/>
    <w:rsid w:val="001F6528"/>
    <w:rsid w:val="001F6826"/>
    <w:rsid w:val="001F6B49"/>
    <w:rsid w:val="001F6B98"/>
    <w:rsid w:val="001F6CB0"/>
    <w:rsid w:val="001F6DA7"/>
    <w:rsid w:val="001F6DEB"/>
    <w:rsid w:val="001F7031"/>
    <w:rsid w:val="001F70B8"/>
    <w:rsid w:val="001F7157"/>
    <w:rsid w:val="001F71D4"/>
    <w:rsid w:val="001F7201"/>
    <w:rsid w:val="001F72A8"/>
    <w:rsid w:val="001F739E"/>
    <w:rsid w:val="001F797E"/>
    <w:rsid w:val="001F79DC"/>
    <w:rsid w:val="001F7BBB"/>
    <w:rsid w:val="001F7BCA"/>
    <w:rsid w:val="001F7D24"/>
    <w:rsid w:val="001F7EA2"/>
    <w:rsid w:val="001F7F5C"/>
    <w:rsid w:val="0020033E"/>
    <w:rsid w:val="002003AC"/>
    <w:rsid w:val="00200406"/>
    <w:rsid w:val="00200490"/>
    <w:rsid w:val="00200650"/>
    <w:rsid w:val="00200B0B"/>
    <w:rsid w:val="00200B18"/>
    <w:rsid w:val="00200B65"/>
    <w:rsid w:val="00200CDD"/>
    <w:rsid w:val="00200E16"/>
    <w:rsid w:val="00200E34"/>
    <w:rsid w:val="00200F5B"/>
    <w:rsid w:val="00201145"/>
    <w:rsid w:val="002012AD"/>
    <w:rsid w:val="00201490"/>
    <w:rsid w:val="0020160E"/>
    <w:rsid w:val="00201778"/>
    <w:rsid w:val="002018A3"/>
    <w:rsid w:val="002019C1"/>
    <w:rsid w:val="00201A5B"/>
    <w:rsid w:val="00201B0A"/>
    <w:rsid w:val="00201C84"/>
    <w:rsid w:val="00201D34"/>
    <w:rsid w:val="00201FC7"/>
    <w:rsid w:val="002021CC"/>
    <w:rsid w:val="002024B1"/>
    <w:rsid w:val="00202519"/>
    <w:rsid w:val="002025E2"/>
    <w:rsid w:val="0020269C"/>
    <w:rsid w:val="0020272B"/>
    <w:rsid w:val="002028BE"/>
    <w:rsid w:val="002028E4"/>
    <w:rsid w:val="00202937"/>
    <w:rsid w:val="00202A5B"/>
    <w:rsid w:val="00202B17"/>
    <w:rsid w:val="00202D1A"/>
    <w:rsid w:val="00202D57"/>
    <w:rsid w:val="00202DC7"/>
    <w:rsid w:val="00202F33"/>
    <w:rsid w:val="00203012"/>
    <w:rsid w:val="0020359D"/>
    <w:rsid w:val="002036E6"/>
    <w:rsid w:val="00203813"/>
    <w:rsid w:val="00203828"/>
    <w:rsid w:val="00203A9B"/>
    <w:rsid w:val="00203D69"/>
    <w:rsid w:val="002040F9"/>
    <w:rsid w:val="0020445A"/>
    <w:rsid w:val="002047D0"/>
    <w:rsid w:val="00204817"/>
    <w:rsid w:val="00204836"/>
    <w:rsid w:val="002048EC"/>
    <w:rsid w:val="00204A5A"/>
    <w:rsid w:val="00204B91"/>
    <w:rsid w:val="00204BBB"/>
    <w:rsid w:val="00204E57"/>
    <w:rsid w:val="00204ECD"/>
    <w:rsid w:val="00204FAF"/>
    <w:rsid w:val="00204FCA"/>
    <w:rsid w:val="0020502D"/>
    <w:rsid w:val="002050F0"/>
    <w:rsid w:val="0020521E"/>
    <w:rsid w:val="002053DC"/>
    <w:rsid w:val="002054CC"/>
    <w:rsid w:val="002058BB"/>
    <w:rsid w:val="002058DC"/>
    <w:rsid w:val="002059D7"/>
    <w:rsid w:val="00205D95"/>
    <w:rsid w:val="00205DA1"/>
    <w:rsid w:val="00205E85"/>
    <w:rsid w:val="00205FAF"/>
    <w:rsid w:val="002060B7"/>
    <w:rsid w:val="002061B0"/>
    <w:rsid w:val="0020631B"/>
    <w:rsid w:val="0020632C"/>
    <w:rsid w:val="0020643F"/>
    <w:rsid w:val="00206739"/>
    <w:rsid w:val="00206792"/>
    <w:rsid w:val="0020698A"/>
    <w:rsid w:val="00206BE8"/>
    <w:rsid w:val="00206CE8"/>
    <w:rsid w:val="00206DA1"/>
    <w:rsid w:val="00206F67"/>
    <w:rsid w:val="00206FD0"/>
    <w:rsid w:val="00207072"/>
    <w:rsid w:val="002071C2"/>
    <w:rsid w:val="00207596"/>
    <w:rsid w:val="00207808"/>
    <w:rsid w:val="00207C74"/>
    <w:rsid w:val="00207CC1"/>
    <w:rsid w:val="00207D85"/>
    <w:rsid w:val="00207DB0"/>
    <w:rsid w:val="00207E74"/>
    <w:rsid w:val="00207FE9"/>
    <w:rsid w:val="00210002"/>
    <w:rsid w:val="00210048"/>
    <w:rsid w:val="00210138"/>
    <w:rsid w:val="0021013C"/>
    <w:rsid w:val="00210209"/>
    <w:rsid w:val="0021032E"/>
    <w:rsid w:val="00210502"/>
    <w:rsid w:val="0021059E"/>
    <w:rsid w:val="00210672"/>
    <w:rsid w:val="002106B1"/>
    <w:rsid w:val="0021080C"/>
    <w:rsid w:val="002108BF"/>
    <w:rsid w:val="00210905"/>
    <w:rsid w:val="0021092F"/>
    <w:rsid w:val="00210A84"/>
    <w:rsid w:val="00210B49"/>
    <w:rsid w:val="00210B5C"/>
    <w:rsid w:val="00210C6A"/>
    <w:rsid w:val="00210C96"/>
    <w:rsid w:val="00210CA5"/>
    <w:rsid w:val="00210E8E"/>
    <w:rsid w:val="00210FBA"/>
    <w:rsid w:val="00211075"/>
    <w:rsid w:val="0021154B"/>
    <w:rsid w:val="002116DE"/>
    <w:rsid w:val="00211BBB"/>
    <w:rsid w:val="00211CE9"/>
    <w:rsid w:val="00211D3E"/>
    <w:rsid w:val="00211D67"/>
    <w:rsid w:val="00211DE7"/>
    <w:rsid w:val="00211E4E"/>
    <w:rsid w:val="00211FA8"/>
    <w:rsid w:val="00212080"/>
    <w:rsid w:val="00212101"/>
    <w:rsid w:val="00212227"/>
    <w:rsid w:val="002124DD"/>
    <w:rsid w:val="0021254A"/>
    <w:rsid w:val="002125AF"/>
    <w:rsid w:val="002125F0"/>
    <w:rsid w:val="00212799"/>
    <w:rsid w:val="002127BD"/>
    <w:rsid w:val="002129B4"/>
    <w:rsid w:val="00212A34"/>
    <w:rsid w:val="00212ABC"/>
    <w:rsid w:val="00212AF1"/>
    <w:rsid w:val="00212BBF"/>
    <w:rsid w:val="00212D8D"/>
    <w:rsid w:val="00212DCD"/>
    <w:rsid w:val="00213014"/>
    <w:rsid w:val="00213177"/>
    <w:rsid w:val="00213211"/>
    <w:rsid w:val="00213251"/>
    <w:rsid w:val="002132FB"/>
    <w:rsid w:val="002135A8"/>
    <w:rsid w:val="002136CD"/>
    <w:rsid w:val="00213746"/>
    <w:rsid w:val="00213966"/>
    <w:rsid w:val="00213B2D"/>
    <w:rsid w:val="00213CB7"/>
    <w:rsid w:val="00213DAE"/>
    <w:rsid w:val="00213F77"/>
    <w:rsid w:val="00214017"/>
    <w:rsid w:val="0021407D"/>
    <w:rsid w:val="00214081"/>
    <w:rsid w:val="00214138"/>
    <w:rsid w:val="002141DC"/>
    <w:rsid w:val="002141F6"/>
    <w:rsid w:val="0021426E"/>
    <w:rsid w:val="00214385"/>
    <w:rsid w:val="00214540"/>
    <w:rsid w:val="00214654"/>
    <w:rsid w:val="002146AD"/>
    <w:rsid w:val="002146EA"/>
    <w:rsid w:val="002146FB"/>
    <w:rsid w:val="0021473B"/>
    <w:rsid w:val="002148D7"/>
    <w:rsid w:val="00214C1A"/>
    <w:rsid w:val="00214C25"/>
    <w:rsid w:val="00214E3D"/>
    <w:rsid w:val="00214E9F"/>
    <w:rsid w:val="00214EA3"/>
    <w:rsid w:val="0021539B"/>
    <w:rsid w:val="002155D1"/>
    <w:rsid w:val="00215A54"/>
    <w:rsid w:val="00215B35"/>
    <w:rsid w:val="00215DF7"/>
    <w:rsid w:val="00215E28"/>
    <w:rsid w:val="00215E8D"/>
    <w:rsid w:val="00215F9A"/>
    <w:rsid w:val="00216043"/>
    <w:rsid w:val="0021624F"/>
    <w:rsid w:val="00216468"/>
    <w:rsid w:val="0021656A"/>
    <w:rsid w:val="00216656"/>
    <w:rsid w:val="002167E2"/>
    <w:rsid w:val="0021694C"/>
    <w:rsid w:val="00216A24"/>
    <w:rsid w:val="00216AE1"/>
    <w:rsid w:val="00216B4E"/>
    <w:rsid w:val="00216DA1"/>
    <w:rsid w:val="00216E7C"/>
    <w:rsid w:val="00216F0C"/>
    <w:rsid w:val="00216FD2"/>
    <w:rsid w:val="00216FE8"/>
    <w:rsid w:val="0021701E"/>
    <w:rsid w:val="0021709C"/>
    <w:rsid w:val="00217315"/>
    <w:rsid w:val="0021743D"/>
    <w:rsid w:val="00217544"/>
    <w:rsid w:val="002175A4"/>
    <w:rsid w:val="0021779A"/>
    <w:rsid w:val="00217815"/>
    <w:rsid w:val="00217ABF"/>
    <w:rsid w:val="00217B0F"/>
    <w:rsid w:val="00217C35"/>
    <w:rsid w:val="00217CA1"/>
    <w:rsid w:val="00217DA0"/>
    <w:rsid w:val="00217F1D"/>
    <w:rsid w:val="002204D2"/>
    <w:rsid w:val="00220660"/>
    <w:rsid w:val="002206B2"/>
    <w:rsid w:val="0022078F"/>
    <w:rsid w:val="00220815"/>
    <w:rsid w:val="0022098B"/>
    <w:rsid w:val="002209E6"/>
    <w:rsid w:val="00220A47"/>
    <w:rsid w:val="00220B13"/>
    <w:rsid w:val="00220BF3"/>
    <w:rsid w:val="00220D83"/>
    <w:rsid w:val="00220EEA"/>
    <w:rsid w:val="00220FB5"/>
    <w:rsid w:val="0022102C"/>
    <w:rsid w:val="00221078"/>
    <w:rsid w:val="00221411"/>
    <w:rsid w:val="002215A7"/>
    <w:rsid w:val="002216E1"/>
    <w:rsid w:val="00221A38"/>
    <w:rsid w:val="00221B09"/>
    <w:rsid w:val="00221C97"/>
    <w:rsid w:val="00221DA7"/>
    <w:rsid w:val="00221F85"/>
    <w:rsid w:val="00222033"/>
    <w:rsid w:val="002220B8"/>
    <w:rsid w:val="0022216D"/>
    <w:rsid w:val="0022242F"/>
    <w:rsid w:val="00222435"/>
    <w:rsid w:val="0022251E"/>
    <w:rsid w:val="00222534"/>
    <w:rsid w:val="002225E2"/>
    <w:rsid w:val="002226DD"/>
    <w:rsid w:val="0022294B"/>
    <w:rsid w:val="002229D9"/>
    <w:rsid w:val="00222A12"/>
    <w:rsid w:val="00222AEF"/>
    <w:rsid w:val="00222C7D"/>
    <w:rsid w:val="00223200"/>
    <w:rsid w:val="0022327F"/>
    <w:rsid w:val="0022328C"/>
    <w:rsid w:val="0022329F"/>
    <w:rsid w:val="002235F6"/>
    <w:rsid w:val="0022373A"/>
    <w:rsid w:val="002239F8"/>
    <w:rsid w:val="00223B96"/>
    <w:rsid w:val="00223CE6"/>
    <w:rsid w:val="00223F25"/>
    <w:rsid w:val="00223F5A"/>
    <w:rsid w:val="00224230"/>
    <w:rsid w:val="00224327"/>
    <w:rsid w:val="002244D4"/>
    <w:rsid w:val="00224742"/>
    <w:rsid w:val="002247B9"/>
    <w:rsid w:val="00224A88"/>
    <w:rsid w:val="00224C1F"/>
    <w:rsid w:val="00224D28"/>
    <w:rsid w:val="00224EED"/>
    <w:rsid w:val="00224F4D"/>
    <w:rsid w:val="00224F66"/>
    <w:rsid w:val="00225061"/>
    <w:rsid w:val="002250FF"/>
    <w:rsid w:val="002252F4"/>
    <w:rsid w:val="00225791"/>
    <w:rsid w:val="00225927"/>
    <w:rsid w:val="00225AD1"/>
    <w:rsid w:val="00225B5E"/>
    <w:rsid w:val="00225B9F"/>
    <w:rsid w:val="00225CCE"/>
    <w:rsid w:val="00225EE1"/>
    <w:rsid w:val="002261C0"/>
    <w:rsid w:val="00226225"/>
    <w:rsid w:val="0022637F"/>
    <w:rsid w:val="00226720"/>
    <w:rsid w:val="0022699C"/>
    <w:rsid w:val="00226A19"/>
    <w:rsid w:val="00226A73"/>
    <w:rsid w:val="00226AE0"/>
    <w:rsid w:val="00226B0F"/>
    <w:rsid w:val="00226BF6"/>
    <w:rsid w:val="00226D68"/>
    <w:rsid w:val="00226E62"/>
    <w:rsid w:val="0022701A"/>
    <w:rsid w:val="00227046"/>
    <w:rsid w:val="0022735F"/>
    <w:rsid w:val="002273BB"/>
    <w:rsid w:val="002275DD"/>
    <w:rsid w:val="0022776A"/>
    <w:rsid w:val="00227929"/>
    <w:rsid w:val="00227A16"/>
    <w:rsid w:val="00227AC2"/>
    <w:rsid w:val="00227E9B"/>
    <w:rsid w:val="00227F09"/>
    <w:rsid w:val="00227FD3"/>
    <w:rsid w:val="00230259"/>
    <w:rsid w:val="00230388"/>
    <w:rsid w:val="00230539"/>
    <w:rsid w:val="00230B38"/>
    <w:rsid w:val="00230B7E"/>
    <w:rsid w:val="00230C83"/>
    <w:rsid w:val="00231198"/>
    <w:rsid w:val="00231275"/>
    <w:rsid w:val="00231421"/>
    <w:rsid w:val="00231654"/>
    <w:rsid w:val="0023184F"/>
    <w:rsid w:val="0023188C"/>
    <w:rsid w:val="00231ACA"/>
    <w:rsid w:val="00231C86"/>
    <w:rsid w:val="00231E23"/>
    <w:rsid w:val="00231EE9"/>
    <w:rsid w:val="002320D2"/>
    <w:rsid w:val="0023220F"/>
    <w:rsid w:val="002322E0"/>
    <w:rsid w:val="00232370"/>
    <w:rsid w:val="0023274B"/>
    <w:rsid w:val="0023294F"/>
    <w:rsid w:val="00232A49"/>
    <w:rsid w:val="00232B3D"/>
    <w:rsid w:val="00232B7E"/>
    <w:rsid w:val="00232CE8"/>
    <w:rsid w:val="00232CFA"/>
    <w:rsid w:val="00232D3E"/>
    <w:rsid w:val="00232D46"/>
    <w:rsid w:val="00232D90"/>
    <w:rsid w:val="00232E05"/>
    <w:rsid w:val="00232E40"/>
    <w:rsid w:val="00232E9F"/>
    <w:rsid w:val="00232EFF"/>
    <w:rsid w:val="00232F17"/>
    <w:rsid w:val="002330AA"/>
    <w:rsid w:val="0023319B"/>
    <w:rsid w:val="002332E4"/>
    <w:rsid w:val="002337D1"/>
    <w:rsid w:val="0023397B"/>
    <w:rsid w:val="0023397D"/>
    <w:rsid w:val="002339B7"/>
    <w:rsid w:val="00233A02"/>
    <w:rsid w:val="00233B50"/>
    <w:rsid w:val="00233BB9"/>
    <w:rsid w:val="00233C59"/>
    <w:rsid w:val="00233E46"/>
    <w:rsid w:val="00233ED7"/>
    <w:rsid w:val="00233F40"/>
    <w:rsid w:val="00234117"/>
    <w:rsid w:val="002343FD"/>
    <w:rsid w:val="00234451"/>
    <w:rsid w:val="002344BA"/>
    <w:rsid w:val="002346C4"/>
    <w:rsid w:val="002347A0"/>
    <w:rsid w:val="0023494B"/>
    <w:rsid w:val="00234A76"/>
    <w:rsid w:val="00234C78"/>
    <w:rsid w:val="00234D2D"/>
    <w:rsid w:val="00234EAB"/>
    <w:rsid w:val="00234ED3"/>
    <w:rsid w:val="00234FF8"/>
    <w:rsid w:val="00235274"/>
    <w:rsid w:val="002352B2"/>
    <w:rsid w:val="002353DF"/>
    <w:rsid w:val="002353F9"/>
    <w:rsid w:val="0023555A"/>
    <w:rsid w:val="0023560E"/>
    <w:rsid w:val="00235626"/>
    <w:rsid w:val="00235810"/>
    <w:rsid w:val="0023593F"/>
    <w:rsid w:val="00235A6A"/>
    <w:rsid w:val="00235BDB"/>
    <w:rsid w:val="00235F67"/>
    <w:rsid w:val="0023624D"/>
    <w:rsid w:val="00236290"/>
    <w:rsid w:val="002362EF"/>
    <w:rsid w:val="00236316"/>
    <w:rsid w:val="00236509"/>
    <w:rsid w:val="0023651A"/>
    <w:rsid w:val="00236560"/>
    <w:rsid w:val="00236BB3"/>
    <w:rsid w:val="00236C8C"/>
    <w:rsid w:val="00236FCA"/>
    <w:rsid w:val="0023700B"/>
    <w:rsid w:val="002371A0"/>
    <w:rsid w:val="0023735E"/>
    <w:rsid w:val="00237439"/>
    <w:rsid w:val="00237472"/>
    <w:rsid w:val="00237947"/>
    <w:rsid w:val="00237AA4"/>
    <w:rsid w:val="00237B2E"/>
    <w:rsid w:val="00237B86"/>
    <w:rsid w:val="00237CE9"/>
    <w:rsid w:val="00237DBB"/>
    <w:rsid w:val="00237E13"/>
    <w:rsid w:val="002400CC"/>
    <w:rsid w:val="0024027A"/>
    <w:rsid w:val="002403B0"/>
    <w:rsid w:val="00240485"/>
    <w:rsid w:val="00240560"/>
    <w:rsid w:val="002405B1"/>
    <w:rsid w:val="002405BE"/>
    <w:rsid w:val="0024063F"/>
    <w:rsid w:val="00240884"/>
    <w:rsid w:val="002408C3"/>
    <w:rsid w:val="00240924"/>
    <w:rsid w:val="00240A85"/>
    <w:rsid w:val="00240E6C"/>
    <w:rsid w:val="00240EE9"/>
    <w:rsid w:val="0024128F"/>
    <w:rsid w:val="00241395"/>
    <w:rsid w:val="002418CA"/>
    <w:rsid w:val="0024197A"/>
    <w:rsid w:val="00241B05"/>
    <w:rsid w:val="00241C95"/>
    <w:rsid w:val="00241FBE"/>
    <w:rsid w:val="00242193"/>
    <w:rsid w:val="0024236A"/>
    <w:rsid w:val="00242536"/>
    <w:rsid w:val="00242651"/>
    <w:rsid w:val="002426D5"/>
    <w:rsid w:val="00242995"/>
    <w:rsid w:val="00242E7B"/>
    <w:rsid w:val="00242FC8"/>
    <w:rsid w:val="00243108"/>
    <w:rsid w:val="002432C9"/>
    <w:rsid w:val="00243399"/>
    <w:rsid w:val="002434C7"/>
    <w:rsid w:val="002434CC"/>
    <w:rsid w:val="00243502"/>
    <w:rsid w:val="00243598"/>
    <w:rsid w:val="0024367F"/>
    <w:rsid w:val="00243784"/>
    <w:rsid w:val="0024379A"/>
    <w:rsid w:val="0024394C"/>
    <w:rsid w:val="00243A45"/>
    <w:rsid w:val="00243C58"/>
    <w:rsid w:val="00243C9B"/>
    <w:rsid w:val="00243D60"/>
    <w:rsid w:val="00243DCA"/>
    <w:rsid w:val="0024421E"/>
    <w:rsid w:val="0024423E"/>
    <w:rsid w:val="00244252"/>
    <w:rsid w:val="002442BA"/>
    <w:rsid w:val="002442E7"/>
    <w:rsid w:val="00244361"/>
    <w:rsid w:val="00244425"/>
    <w:rsid w:val="00244435"/>
    <w:rsid w:val="0024460C"/>
    <w:rsid w:val="002446E7"/>
    <w:rsid w:val="002448CB"/>
    <w:rsid w:val="0024499B"/>
    <w:rsid w:val="00244DCF"/>
    <w:rsid w:val="00244EAE"/>
    <w:rsid w:val="0024508C"/>
    <w:rsid w:val="002452F4"/>
    <w:rsid w:val="002453AD"/>
    <w:rsid w:val="0024552D"/>
    <w:rsid w:val="00245572"/>
    <w:rsid w:val="002455AA"/>
    <w:rsid w:val="00245764"/>
    <w:rsid w:val="002458B9"/>
    <w:rsid w:val="0024597A"/>
    <w:rsid w:val="00245AB5"/>
    <w:rsid w:val="00245B29"/>
    <w:rsid w:val="00245B49"/>
    <w:rsid w:val="00245EAB"/>
    <w:rsid w:val="002460D4"/>
    <w:rsid w:val="002464EE"/>
    <w:rsid w:val="00246515"/>
    <w:rsid w:val="002466BF"/>
    <w:rsid w:val="00246720"/>
    <w:rsid w:val="00246870"/>
    <w:rsid w:val="002469D7"/>
    <w:rsid w:val="00246AE4"/>
    <w:rsid w:val="00246BB8"/>
    <w:rsid w:val="00246C0D"/>
    <w:rsid w:val="00246E24"/>
    <w:rsid w:val="00246FAD"/>
    <w:rsid w:val="0024725E"/>
    <w:rsid w:val="002473D5"/>
    <w:rsid w:val="00247580"/>
    <w:rsid w:val="0024763E"/>
    <w:rsid w:val="00247849"/>
    <w:rsid w:val="00247CAC"/>
    <w:rsid w:val="00247DAF"/>
    <w:rsid w:val="00247EA8"/>
    <w:rsid w:val="00247F9E"/>
    <w:rsid w:val="00250072"/>
    <w:rsid w:val="002502A6"/>
    <w:rsid w:val="00250356"/>
    <w:rsid w:val="0025074E"/>
    <w:rsid w:val="00250A1C"/>
    <w:rsid w:val="00250C37"/>
    <w:rsid w:val="00250C45"/>
    <w:rsid w:val="00250C91"/>
    <w:rsid w:val="00250D6F"/>
    <w:rsid w:val="00250EEB"/>
    <w:rsid w:val="00250F77"/>
    <w:rsid w:val="0025104C"/>
    <w:rsid w:val="00251326"/>
    <w:rsid w:val="0025132F"/>
    <w:rsid w:val="002513A8"/>
    <w:rsid w:val="00251513"/>
    <w:rsid w:val="00251518"/>
    <w:rsid w:val="002515BA"/>
    <w:rsid w:val="002516D2"/>
    <w:rsid w:val="00251867"/>
    <w:rsid w:val="002518C3"/>
    <w:rsid w:val="00251AD4"/>
    <w:rsid w:val="00251B04"/>
    <w:rsid w:val="00251DD3"/>
    <w:rsid w:val="00251F25"/>
    <w:rsid w:val="00251FB6"/>
    <w:rsid w:val="00252025"/>
    <w:rsid w:val="002521E7"/>
    <w:rsid w:val="0025224D"/>
    <w:rsid w:val="00252255"/>
    <w:rsid w:val="002525C3"/>
    <w:rsid w:val="0025269A"/>
    <w:rsid w:val="00252707"/>
    <w:rsid w:val="002528A1"/>
    <w:rsid w:val="00252902"/>
    <w:rsid w:val="00252A36"/>
    <w:rsid w:val="00252A6B"/>
    <w:rsid w:val="00252AE4"/>
    <w:rsid w:val="00252AF7"/>
    <w:rsid w:val="00252DEC"/>
    <w:rsid w:val="00253121"/>
    <w:rsid w:val="00253235"/>
    <w:rsid w:val="002532B5"/>
    <w:rsid w:val="0025330F"/>
    <w:rsid w:val="00253367"/>
    <w:rsid w:val="002533C2"/>
    <w:rsid w:val="002534E9"/>
    <w:rsid w:val="0025352D"/>
    <w:rsid w:val="002535C0"/>
    <w:rsid w:val="002535E6"/>
    <w:rsid w:val="002536B5"/>
    <w:rsid w:val="00253792"/>
    <w:rsid w:val="00253948"/>
    <w:rsid w:val="0025394E"/>
    <w:rsid w:val="00253C67"/>
    <w:rsid w:val="00253C6D"/>
    <w:rsid w:val="00253E56"/>
    <w:rsid w:val="00253FDA"/>
    <w:rsid w:val="0025402C"/>
    <w:rsid w:val="002540F0"/>
    <w:rsid w:val="00254120"/>
    <w:rsid w:val="002541D7"/>
    <w:rsid w:val="00254241"/>
    <w:rsid w:val="0025434A"/>
    <w:rsid w:val="002545A4"/>
    <w:rsid w:val="00254613"/>
    <w:rsid w:val="0025473E"/>
    <w:rsid w:val="0025479B"/>
    <w:rsid w:val="002548C7"/>
    <w:rsid w:val="002549A6"/>
    <w:rsid w:val="00254CAE"/>
    <w:rsid w:val="00254E92"/>
    <w:rsid w:val="00254FCE"/>
    <w:rsid w:val="00255410"/>
    <w:rsid w:val="0025562D"/>
    <w:rsid w:val="00255630"/>
    <w:rsid w:val="002558A0"/>
    <w:rsid w:val="002558C6"/>
    <w:rsid w:val="002558E3"/>
    <w:rsid w:val="00255933"/>
    <w:rsid w:val="00255AB8"/>
    <w:rsid w:val="00255AF6"/>
    <w:rsid w:val="00255D18"/>
    <w:rsid w:val="00255DEB"/>
    <w:rsid w:val="00255EF9"/>
    <w:rsid w:val="00255F99"/>
    <w:rsid w:val="0025626D"/>
    <w:rsid w:val="00256324"/>
    <w:rsid w:val="00256363"/>
    <w:rsid w:val="002564EA"/>
    <w:rsid w:val="00256559"/>
    <w:rsid w:val="00256560"/>
    <w:rsid w:val="002565D7"/>
    <w:rsid w:val="00256624"/>
    <w:rsid w:val="002567DE"/>
    <w:rsid w:val="00256877"/>
    <w:rsid w:val="002568D5"/>
    <w:rsid w:val="002568E8"/>
    <w:rsid w:val="00256942"/>
    <w:rsid w:val="00256A75"/>
    <w:rsid w:val="00256B06"/>
    <w:rsid w:val="00256D3C"/>
    <w:rsid w:val="00256DA4"/>
    <w:rsid w:val="00256E21"/>
    <w:rsid w:val="00256E4E"/>
    <w:rsid w:val="00257028"/>
    <w:rsid w:val="00257141"/>
    <w:rsid w:val="0025725B"/>
    <w:rsid w:val="002575B5"/>
    <w:rsid w:val="002579EF"/>
    <w:rsid w:val="00257B66"/>
    <w:rsid w:val="00257BE9"/>
    <w:rsid w:val="00257CDE"/>
    <w:rsid w:val="00257F17"/>
    <w:rsid w:val="00257F30"/>
    <w:rsid w:val="00260011"/>
    <w:rsid w:val="002600A1"/>
    <w:rsid w:val="00260321"/>
    <w:rsid w:val="00260414"/>
    <w:rsid w:val="0026045C"/>
    <w:rsid w:val="00260495"/>
    <w:rsid w:val="00260CB3"/>
    <w:rsid w:val="00260EC8"/>
    <w:rsid w:val="0026101C"/>
    <w:rsid w:val="00261044"/>
    <w:rsid w:val="002611BA"/>
    <w:rsid w:val="002611E8"/>
    <w:rsid w:val="002612D6"/>
    <w:rsid w:val="0026132C"/>
    <w:rsid w:val="00261453"/>
    <w:rsid w:val="0026163B"/>
    <w:rsid w:val="002616FA"/>
    <w:rsid w:val="0026181D"/>
    <w:rsid w:val="00261996"/>
    <w:rsid w:val="002619F8"/>
    <w:rsid w:val="00261A56"/>
    <w:rsid w:val="00261C7F"/>
    <w:rsid w:val="00261D91"/>
    <w:rsid w:val="00261DB4"/>
    <w:rsid w:val="00261E11"/>
    <w:rsid w:val="00261F10"/>
    <w:rsid w:val="00262160"/>
    <w:rsid w:val="00262327"/>
    <w:rsid w:val="0026258F"/>
    <w:rsid w:val="0026259A"/>
    <w:rsid w:val="00262710"/>
    <w:rsid w:val="00262719"/>
    <w:rsid w:val="00262725"/>
    <w:rsid w:val="0026284C"/>
    <w:rsid w:val="00262954"/>
    <w:rsid w:val="002629E8"/>
    <w:rsid w:val="00262ACE"/>
    <w:rsid w:val="00262B6B"/>
    <w:rsid w:val="00262C89"/>
    <w:rsid w:val="002630A9"/>
    <w:rsid w:val="00263104"/>
    <w:rsid w:val="002631F6"/>
    <w:rsid w:val="0026331D"/>
    <w:rsid w:val="002633A7"/>
    <w:rsid w:val="002635A9"/>
    <w:rsid w:val="0026372F"/>
    <w:rsid w:val="00263800"/>
    <w:rsid w:val="0026391B"/>
    <w:rsid w:val="00263947"/>
    <w:rsid w:val="00263A07"/>
    <w:rsid w:val="00263A79"/>
    <w:rsid w:val="00263BB5"/>
    <w:rsid w:val="00263C79"/>
    <w:rsid w:val="00263D64"/>
    <w:rsid w:val="00263D82"/>
    <w:rsid w:val="00263E40"/>
    <w:rsid w:val="00263F4C"/>
    <w:rsid w:val="00264066"/>
    <w:rsid w:val="00264216"/>
    <w:rsid w:val="00264442"/>
    <w:rsid w:val="00264514"/>
    <w:rsid w:val="00264516"/>
    <w:rsid w:val="0026453B"/>
    <w:rsid w:val="002645AA"/>
    <w:rsid w:val="002648B3"/>
    <w:rsid w:val="00264948"/>
    <w:rsid w:val="002649BF"/>
    <w:rsid w:val="00264B6B"/>
    <w:rsid w:val="00264C8A"/>
    <w:rsid w:val="00264ED6"/>
    <w:rsid w:val="00264F72"/>
    <w:rsid w:val="00264F98"/>
    <w:rsid w:val="002650C2"/>
    <w:rsid w:val="00265120"/>
    <w:rsid w:val="0026529C"/>
    <w:rsid w:val="00265461"/>
    <w:rsid w:val="0026555F"/>
    <w:rsid w:val="00265A9F"/>
    <w:rsid w:val="00265AB8"/>
    <w:rsid w:val="00265ACE"/>
    <w:rsid w:val="00265C0D"/>
    <w:rsid w:val="00265D47"/>
    <w:rsid w:val="00265DBC"/>
    <w:rsid w:val="00265EED"/>
    <w:rsid w:val="00265FAA"/>
    <w:rsid w:val="0026608C"/>
    <w:rsid w:val="0026617C"/>
    <w:rsid w:val="00266300"/>
    <w:rsid w:val="002664FE"/>
    <w:rsid w:val="00266545"/>
    <w:rsid w:val="0026655E"/>
    <w:rsid w:val="00266690"/>
    <w:rsid w:val="0026669A"/>
    <w:rsid w:val="002667C6"/>
    <w:rsid w:val="002667F5"/>
    <w:rsid w:val="00266917"/>
    <w:rsid w:val="00266938"/>
    <w:rsid w:val="002669E1"/>
    <w:rsid w:val="002669EA"/>
    <w:rsid w:val="00266C17"/>
    <w:rsid w:val="00266C19"/>
    <w:rsid w:val="00266D03"/>
    <w:rsid w:val="00266D25"/>
    <w:rsid w:val="00266E65"/>
    <w:rsid w:val="00266E9D"/>
    <w:rsid w:val="00266F63"/>
    <w:rsid w:val="00266F7F"/>
    <w:rsid w:val="00266F8C"/>
    <w:rsid w:val="002671CE"/>
    <w:rsid w:val="00267281"/>
    <w:rsid w:val="00267325"/>
    <w:rsid w:val="0026756C"/>
    <w:rsid w:val="002676DE"/>
    <w:rsid w:val="002677EB"/>
    <w:rsid w:val="00267830"/>
    <w:rsid w:val="002678C7"/>
    <w:rsid w:val="00267933"/>
    <w:rsid w:val="00267B2A"/>
    <w:rsid w:val="00267B2D"/>
    <w:rsid w:val="00267F1E"/>
    <w:rsid w:val="0027011C"/>
    <w:rsid w:val="00270138"/>
    <w:rsid w:val="002702F2"/>
    <w:rsid w:val="00270375"/>
    <w:rsid w:val="00270382"/>
    <w:rsid w:val="00270817"/>
    <w:rsid w:val="0027081C"/>
    <w:rsid w:val="002708D3"/>
    <w:rsid w:val="002708ED"/>
    <w:rsid w:val="00270901"/>
    <w:rsid w:val="00270B4E"/>
    <w:rsid w:val="0027130F"/>
    <w:rsid w:val="002713C5"/>
    <w:rsid w:val="0027143D"/>
    <w:rsid w:val="002715E9"/>
    <w:rsid w:val="00271672"/>
    <w:rsid w:val="00271794"/>
    <w:rsid w:val="0027193C"/>
    <w:rsid w:val="0027194F"/>
    <w:rsid w:val="00271970"/>
    <w:rsid w:val="002719B9"/>
    <w:rsid w:val="00271A60"/>
    <w:rsid w:val="00271B65"/>
    <w:rsid w:val="00271EFF"/>
    <w:rsid w:val="002723AB"/>
    <w:rsid w:val="00272409"/>
    <w:rsid w:val="0027240B"/>
    <w:rsid w:val="002725C1"/>
    <w:rsid w:val="002725C6"/>
    <w:rsid w:val="00272A50"/>
    <w:rsid w:val="00272BF7"/>
    <w:rsid w:val="00272D7D"/>
    <w:rsid w:val="002735F8"/>
    <w:rsid w:val="002737BF"/>
    <w:rsid w:val="0027394E"/>
    <w:rsid w:val="00273974"/>
    <w:rsid w:val="002739A5"/>
    <w:rsid w:val="00273A1E"/>
    <w:rsid w:val="00273C0D"/>
    <w:rsid w:val="00273C70"/>
    <w:rsid w:val="00273EE0"/>
    <w:rsid w:val="00273F30"/>
    <w:rsid w:val="00274060"/>
    <w:rsid w:val="00274155"/>
    <w:rsid w:val="002742C8"/>
    <w:rsid w:val="002743CC"/>
    <w:rsid w:val="00274501"/>
    <w:rsid w:val="00274509"/>
    <w:rsid w:val="002745A9"/>
    <w:rsid w:val="002745DD"/>
    <w:rsid w:val="00274785"/>
    <w:rsid w:val="0027483A"/>
    <w:rsid w:val="002748E2"/>
    <w:rsid w:val="0027496C"/>
    <w:rsid w:val="002749D5"/>
    <w:rsid w:val="00274C38"/>
    <w:rsid w:val="00274C9B"/>
    <w:rsid w:val="00274CAE"/>
    <w:rsid w:val="00274DE3"/>
    <w:rsid w:val="00274DED"/>
    <w:rsid w:val="00274E3B"/>
    <w:rsid w:val="002750D3"/>
    <w:rsid w:val="0027524B"/>
    <w:rsid w:val="0027549E"/>
    <w:rsid w:val="002754DA"/>
    <w:rsid w:val="00275582"/>
    <w:rsid w:val="00275620"/>
    <w:rsid w:val="00275933"/>
    <w:rsid w:val="002759D2"/>
    <w:rsid w:val="00275A56"/>
    <w:rsid w:val="00275A8F"/>
    <w:rsid w:val="00275D11"/>
    <w:rsid w:val="00275FB3"/>
    <w:rsid w:val="00276003"/>
    <w:rsid w:val="00276083"/>
    <w:rsid w:val="00276115"/>
    <w:rsid w:val="0027617D"/>
    <w:rsid w:val="002767A8"/>
    <w:rsid w:val="002767AA"/>
    <w:rsid w:val="0027684D"/>
    <w:rsid w:val="002768C6"/>
    <w:rsid w:val="00276B07"/>
    <w:rsid w:val="00276B29"/>
    <w:rsid w:val="00276D5D"/>
    <w:rsid w:val="00276D82"/>
    <w:rsid w:val="00276DAA"/>
    <w:rsid w:val="00276DFC"/>
    <w:rsid w:val="00276F44"/>
    <w:rsid w:val="00276FC5"/>
    <w:rsid w:val="00277074"/>
    <w:rsid w:val="00277173"/>
    <w:rsid w:val="00277289"/>
    <w:rsid w:val="002773C4"/>
    <w:rsid w:val="002774BF"/>
    <w:rsid w:val="0027758D"/>
    <w:rsid w:val="0027759D"/>
    <w:rsid w:val="002777E7"/>
    <w:rsid w:val="002778DD"/>
    <w:rsid w:val="00277C79"/>
    <w:rsid w:val="00277CC4"/>
    <w:rsid w:val="00277DC9"/>
    <w:rsid w:val="00277F09"/>
    <w:rsid w:val="00277F46"/>
    <w:rsid w:val="0028015C"/>
    <w:rsid w:val="00280242"/>
    <w:rsid w:val="0028028A"/>
    <w:rsid w:val="0028055C"/>
    <w:rsid w:val="002805EA"/>
    <w:rsid w:val="002807E9"/>
    <w:rsid w:val="0028083B"/>
    <w:rsid w:val="0028094E"/>
    <w:rsid w:val="00280A3B"/>
    <w:rsid w:val="00280ABD"/>
    <w:rsid w:val="00280B3A"/>
    <w:rsid w:val="00280E32"/>
    <w:rsid w:val="00281017"/>
    <w:rsid w:val="002810AE"/>
    <w:rsid w:val="002810F5"/>
    <w:rsid w:val="002813DC"/>
    <w:rsid w:val="00281405"/>
    <w:rsid w:val="00281C53"/>
    <w:rsid w:val="00281DDE"/>
    <w:rsid w:val="002823A2"/>
    <w:rsid w:val="002826FF"/>
    <w:rsid w:val="002827C6"/>
    <w:rsid w:val="00282885"/>
    <w:rsid w:val="00282A07"/>
    <w:rsid w:val="00282B1E"/>
    <w:rsid w:val="00282BE7"/>
    <w:rsid w:val="00282CC6"/>
    <w:rsid w:val="00282EF2"/>
    <w:rsid w:val="00282F5D"/>
    <w:rsid w:val="00283319"/>
    <w:rsid w:val="0028337E"/>
    <w:rsid w:val="00283573"/>
    <w:rsid w:val="0028371A"/>
    <w:rsid w:val="00283830"/>
    <w:rsid w:val="0028385D"/>
    <w:rsid w:val="00283902"/>
    <w:rsid w:val="0028395A"/>
    <w:rsid w:val="00283A6D"/>
    <w:rsid w:val="00283AF8"/>
    <w:rsid w:val="00283B4E"/>
    <w:rsid w:val="00283B5E"/>
    <w:rsid w:val="00283D89"/>
    <w:rsid w:val="00283EA9"/>
    <w:rsid w:val="00283EBC"/>
    <w:rsid w:val="00283F74"/>
    <w:rsid w:val="0028400E"/>
    <w:rsid w:val="00284456"/>
    <w:rsid w:val="002844AD"/>
    <w:rsid w:val="00284634"/>
    <w:rsid w:val="00284639"/>
    <w:rsid w:val="002846EA"/>
    <w:rsid w:val="00284859"/>
    <w:rsid w:val="0028498A"/>
    <w:rsid w:val="00284A62"/>
    <w:rsid w:val="00284ACF"/>
    <w:rsid w:val="00284B90"/>
    <w:rsid w:val="00284B9E"/>
    <w:rsid w:val="00284BAF"/>
    <w:rsid w:val="00284C0B"/>
    <w:rsid w:val="00284C28"/>
    <w:rsid w:val="00284F46"/>
    <w:rsid w:val="002850DD"/>
    <w:rsid w:val="002850F1"/>
    <w:rsid w:val="0028513C"/>
    <w:rsid w:val="002852A7"/>
    <w:rsid w:val="00285419"/>
    <w:rsid w:val="002854C4"/>
    <w:rsid w:val="002857D1"/>
    <w:rsid w:val="002859A7"/>
    <w:rsid w:val="00285A76"/>
    <w:rsid w:val="00285C57"/>
    <w:rsid w:val="00285DDD"/>
    <w:rsid w:val="00285DEF"/>
    <w:rsid w:val="00285E20"/>
    <w:rsid w:val="002862EB"/>
    <w:rsid w:val="00286339"/>
    <w:rsid w:val="002864CD"/>
    <w:rsid w:val="002864D3"/>
    <w:rsid w:val="0028651C"/>
    <w:rsid w:val="002865CF"/>
    <w:rsid w:val="00286A18"/>
    <w:rsid w:val="00286C30"/>
    <w:rsid w:val="00286CF3"/>
    <w:rsid w:val="00286D03"/>
    <w:rsid w:val="00286DF2"/>
    <w:rsid w:val="00286F77"/>
    <w:rsid w:val="0028706B"/>
    <w:rsid w:val="002870E8"/>
    <w:rsid w:val="00287155"/>
    <w:rsid w:val="002873DE"/>
    <w:rsid w:val="002874F0"/>
    <w:rsid w:val="0028751B"/>
    <w:rsid w:val="002877A9"/>
    <w:rsid w:val="002878BD"/>
    <w:rsid w:val="00287B2B"/>
    <w:rsid w:val="00287C85"/>
    <w:rsid w:val="00287E2C"/>
    <w:rsid w:val="00287E4D"/>
    <w:rsid w:val="00287F22"/>
    <w:rsid w:val="00287F76"/>
    <w:rsid w:val="002901EC"/>
    <w:rsid w:val="002903ED"/>
    <w:rsid w:val="00290453"/>
    <w:rsid w:val="0029073C"/>
    <w:rsid w:val="002908B7"/>
    <w:rsid w:val="002909AB"/>
    <w:rsid w:val="00290A1F"/>
    <w:rsid w:val="00290B04"/>
    <w:rsid w:val="00290C3E"/>
    <w:rsid w:val="00291099"/>
    <w:rsid w:val="00291174"/>
    <w:rsid w:val="002911D7"/>
    <w:rsid w:val="00291289"/>
    <w:rsid w:val="00291395"/>
    <w:rsid w:val="002913C6"/>
    <w:rsid w:val="00291411"/>
    <w:rsid w:val="002914CE"/>
    <w:rsid w:val="0029158D"/>
    <w:rsid w:val="002915E4"/>
    <w:rsid w:val="00291715"/>
    <w:rsid w:val="00291789"/>
    <w:rsid w:val="002917D7"/>
    <w:rsid w:val="00291811"/>
    <w:rsid w:val="002920C9"/>
    <w:rsid w:val="00292159"/>
    <w:rsid w:val="0029222B"/>
    <w:rsid w:val="0029229A"/>
    <w:rsid w:val="00292300"/>
    <w:rsid w:val="00292325"/>
    <w:rsid w:val="00292442"/>
    <w:rsid w:val="0029253F"/>
    <w:rsid w:val="0029279B"/>
    <w:rsid w:val="002927E3"/>
    <w:rsid w:val="00292844"/>
    <w:rsid w:val="0029294D"/>
    <w:rsid w:val="00292E06"/>
    <w:rsid w:val="00293011"/>
    <w:rsid w:val="002931BA"/>
    <w:rsid w:val="002932C9"/>
    <w:rsid w:val="002934ED"/>
    <w:rsid w:val="002938D8"/>
    <w:rsid w:val="002939A1"/>
    <w:rsid w:val="00293A99"/>
    <w:rsid w:val="00293CBD"/>
    <w:rsid w:val="00293D9D"/>
    <w:rsid w:val="00294188"/>
    <w:rsid w:val="002942EF"/>
    <w:rsid w:val="00294972"/>
    <w:rsid w:val="002949E3"/>
    <w:rsid w:val="00294AE4"/>
    <w:rsid w:val="00294AFF"/>
    <w:rsid w:val="00294F3B"/>
    <w:rsid w:val="002950C6"/>
    <w:rsid w:val="0029528B"/>
    <w:rsid w:val="002953E2"/>
    <w:rsid w:val="0029543E"/>
    <w:rsid w:val="00295496"/>
    <w:rsid w:val="002957A7"/>
    <w:rsid w:val="002957E2"/>
    <w:rsid w:val="0029599D"/>
    <w:rsid w:val="002959F9"/>
    <w:rsid w:val="00295A66"/>
    <w:rsid w:val="00295AC5"/>
    <w:rsid w:val="00295BBB"/>
    <w:rsid w:val="00295BEC"/>
    <w:rsid w:val="00295D37"/>
    <w:rsid w:val="00295D3C"/>
    <w:rsid w:val="00295E14"/>
    <w:rsid w:val="00295FD1"/>
    <w:rsid w:val="00296003"/>
    <w:rsid w:val="0029619A"/>
    <w:rsid w:val="00296206"/>
    <w:rsid w:val="002963A5"/>
    <w:rsid w:val="0029646A"/>
    <w:rsid w:val="00296703"/>
    <w:rsid w:val="002967F8"/>
    <w:rsid w:val="00296838"/>
    <w:rsid w:val="002969E4"/>
    <w:rsid w:val="00296ABF"/>
    <w:rsid w:val="00296B6C"/>
    <w:rsid w:val="00296C8A"/>
    <w:rsid w:val="00296F4B"/>
    <w:rsid w:val="002970EA"/>
    <w:rsid w:val="00297145"/>
    <w:rsid w:val="00297459"/>
    <w:rsid w:val="002975AD"/>
    <w:rsid w:val="00297838"/>
    <w:rsid w:val="0029786C"/>
    <w:rsid w:val="00297A40"/>
    <w:rsid w:val="00297AE2"/>
    <w:rsid w:val="00297C13"/>
    <w:rsid w:val="00297C23"/>
    <w:rsid w:val="00297C2D"/>
    <w:rsid w:val="00297D9B"/>
    <w:rsid w:val="00297F6E"/>
    <w:rsid w:val="00297FAB"/>
    <w:rsid w:val="00297FF4"/>
    <w:rsid w:val="002A028E"/>
    <w:rsid w:val="002A04F8"/>
    <w:rsid w:val="002A075E"/>
    <w:rsid w:val="002A07F7"/>
    <w:rsid w:val="002A0854"/>
    <w:rsid w:val="002A0A33"/>
    <w:rsid w:val="002A0A44"/>
    <w:rsid w:val="002A0AE9"/>
    <w:rsid w:val="002A0B2A"/>
    <w:rsid w:val="002A0B48"/>
    <w:rsid w:val="002A0C77"/>
    <w:rsid w:val="002A0E5B"/>
    <w:rsid w:val="002A11A5"/>
    <w:rsid w:val="002A11B8"/>
    <w:rsid w:val="002A1373"/>
    <w:rsid w:val="002A154A"/>
    <w:rsid w:val="002A175E"/>
    <w:rsid w:val="002A17EB"/>
    <w:rsid w:val="002A1869"/>
    <w:rsid w:val="002A1929"/>
    <w:rsid w:val="002A1ACC"/>
    <w:rsid w:val="002A1BDA"/>
    <w:rsid w:val="002A1BE7"/>
    <w:rsid w:val="002A1C76"/>
    <w:rsid w:val="002A1D7F"/>
    <w:rsid w:val="002A2252"/>
    <w:rsid w:val="002A251E"/>
    <w:rsid w:val="002A25E2"/>
    <w:rsid w:val="002A2751"/>
    <w:rsid w:val="002A27D6"/>
    <w:rsid w:val="002A28D9"/>
    <w:rsid w:val="002A2CF7"/>
    <w:rsid w:val="002A2CFD"/>
    <w:rsid w:val="002A2D14"/>
    <w:rsid w:val="002A2D87"/>
    <w:rsid w:val="002A30B3"/>
    <w:rsid w:val="002A31B6"/>
    <w:rsid w:val="002A32FF"/>
    <w:rsid w:val="002A3300"/>
    <w:rsid w:val="002A34F5"/>
    <w:rsid w:val="002A367F"/>
    <w:rsid w:val="002A3680"/>
    <w:rsid w:val="002A38E8"/>
    <w:rsid w:val="002A394F"/>
    <w:rsid w:val="002A3950"/>
    <w:rsid w:val="002A3A02"/>
    <w:rsid w:val="002A3AFA"/>
    <w:rsid w:val="002A3D3F"/>
    <w:rsid w:val="002A40CC"/>
    <w:rsid w:val="002A40ED"/>
    <w:rsid w:val="002A41B4"/>
    <w:rsid w:val="002A42DF"/>
    <w:rsid w:val="002A45F4"/>
    <w:rsid w:val="002A4612"/>
    <w:rsid w:val="002A4625"/>
    <w:rsid w:val="002A46DE"/>
    <w:rsid w:val="002A48F8"/>
    <w:rsid w:val="002A49E7"/>
    <w:rsid w:val="002A4AA0"/>
    <w:rsid w:val="002A4D97"/>
    <w:rsid w:val="002A4E2C"/>
    <w:rsid w:val="002A5000"/>
    <w:rsid w:val="002A5093"/>
    <w:rsid w:val="002A55BD"/>
    <w:rsid w:val="002A5694"/>
    <w:rsid w:val="002A5743"/>
    <w:rsid w:val="002A5867"/>
    <w:rsid w:val="002A5885"/>
    <w:rsid w:val="002A588D"/>
    <w:rsid w:val="002A5AA4"/>
    <w:rsid w:val="002A5C22"/>
    <w:rsid w:val="002A5CBB"/>
    <w:rsid w:val="002A5CD6"/>
    <w:rsid w:val="002A60E6"/>
    <w:rsid w:val="002A6169"/>
    <w:rsid w:val="002A61C7"/>
    <w:rsid w:val="002A62AC"/>
    <w:rsid w:val="002A62B4"/>
    <w:rsid w:val="002A6337"/>
    <w:rsid w:val="002A6642"/>
    <w:rsid w:val="002A6971"/>
    <w:rsid w:val="002A69C2"/>
    <w:rsid w:val="002A6B31"/>
    <w:rsid w:val="002A6C86"/>
    <w:rsid w:val="002A6CBB"/>
    <w:rsid w:val="002A6F9E"/>
    <w:rsid w:val="002A72C9"/>
    <w:rsid w:val="002A73A1"/>
    <w:rsid w:val="002A74AF"/>
    <w:rsid w:val="002A75E4"/>
    <w:rsid w:val="002A761E"/>
    <w:rsid w:val="002A7794"/>
    <w:rsid w:val="002A79B9"/>
    <w:rsid w:val="002A7C62"/>
    <w:rsid w:val="002A7D81"/>
    <w:rsid w:val="002A7FC4"/>
    <w:rsid w:val="002B003E"/>
    <w:rsid w:val="002B024F"/>
    <w:rsid w:val="002B0264"/>
    <w:rsid w:val="002B0389"/>
    <w:rsid w:val="002B0565"/>
    <w:rsid w:val="002B05A0"/>
    <w:rsid w:val="002B0643"/>
    <w:rsid w:val="002B0749"/>
    <w:rsid w:val="002B078D"/>
    <w:rsid w:val="002B0825"/>
    <w:rsid w:val="002B086F"/>
    <w:rsid w:val="002B08F1"/>
    <w:rsid w:val="002B0997"/>
    <w:rsid w:val="002B0BC9"/>
    <w:rsid w:val="002B0CBC"/>
    <w:rsid w:val="002B0E3C"/>
    <w:rsid w:val="002B0E44"/>
    <w:rsid w:val="002B0EA1"/>
    <w:rsid w:val="002B0EAC"/>
    <w:rsid w:val="002B0F50"/>
    <w:rsid w:val="002B10DA"/>
    <w:rsid w:val="002B118F"/>
    <w:rsid w:val="002B153D"/>
    <w:rsid w:val="002B169C"/>
    <w:rsid w:val="002B176F"/>
    <w:rsid w:val="002B1802"/>
    <w:rsid w:val="002B1843"/>
    <w:rsid w:val="002B1929"/>
    <w:rsid w:val="002B1951"/>
    <w:rsid w:val="002B199C"/>
    <w:rsid w:val="002B1A2A"/>
    <w:rsid w:val="002B1AB4"/>
    <w:rsid w:val="002B1E8F"/>
    <w:rsid w:val="002B1E95"/>
    <w:rsid w:val="002B1FC4"/>
    <w:rsid w:val="002B20EA"/>
    <w:rsid w:val="002B2272"/>
    <w:rsid w:val="002B22CB"/>
    <w:rsid w:val="002B2327"/>
    <w:rsid w:val="002B23F8"/>
    <w:rsid w:val="002B2542"/>
    <w:rsid w:val="002B2665"/>
    <w:rsid w:val="002B26BB"/>
    <w:rsid w:val="002B2992"/>
    <w:rsid w:val="002B2AA9"/>
    <w:rsid w:val="002B2CA9"/>
    <w:rsid w:val="002B2EFF"/>
    <w:rsid w:val="002B303E"/>
    <w:rsid w:val="002B3176"/>
    <w:rsid w:val="002B3185"/>
    <w:rsid w:val="002B33CF"/>
    <w:rsid w:val="002B3707"/>
    <w:rsid w:val="002B3739"/>
    <w:rsid w:val="002B3857"/>
    <w:rsid w:val="002B39EC"/>
    <w:rsid w:val="002B3AD4"/>
    <w:rsid w:val="002B3B2F"/>
    <w:rsid w:val="002B3C51"/>
    <w:rsid w:val="002B3CA7"/>
    <w:rsid w:val="002B3E39"/>
    <w:rsid w:val="002B3F72"/>
    <w:rsid w:val="002B3F97"/>
    <w:rsid w:val="002B4081"/>
    <w:rsid w:val="002B40B1"/>
    <w:rsid w:val="002B413F"/>
    <w:rsid w:val="002B438A"/>
    <w:rsid w:val="002B44A9"/>
    <w:rsid w:val="002B44BC"/>
    <w:rsid w:val="002B46CC"/>
    <w:rsid w:val="002B4A31"/>
    <w:rsid w:val="002B4A7C"/>
    <w:rsid w:val="002B4C97"/>
    <w:rsid w:val="002B4F39"/>
    <w:rsid w:val="002B506D"/>
    <w:rsid w:val="002B5073"/>
    <w:rsid w:val="002B5458"/>
    <w:rsid w:val="002B566B"/>
    <w:rsid w:val="002B56F0"/>
    <w:rsid w:val="002B577F"/>
    <w:rsid w:val="002B57E6"/>
    <w:rsid w:val="002B5929"/>
    <w:rsid w:val="002B5985"/>
    <w:rsid w:val="002B59D2"/>
    <w:rsid w:val="002B5BBF"/>
    <w:rsid w:val="002B5C98"/>
    <w:rsid w:val="002B5D3E"/>
    <w:rsid w:val="002B5E7C"/>
    <w:rsid w:val="002B6103"/>
    <w:rsid w:val="002B63A5"/>
    <w:rsid w:val="002B6451"/>
    <w:rsid w:val="002B6639"/>
    <w:rsid w:val="002B6719"/>
    <w:rsid w:val="002B6755"/>
    <w:rsid w:val="002B6780"/>
    <w:rsid w:val="002B68EC"/>
    <w:rsid w:val="002B6A93"/>
    <w:rsid w:val="002B6A9B"/>
    <w:rsid w:val="002B6B20"/>
    <w:rsid w:val="002B6B22"/>
    <w:rsid w:val="002B6B52"/>
    <w:rsid w:val="002B6E39"/>
    <w:rsid w:val="002B6E5E"/>
    <w:rsid w:val="002B6F0D"/>
    <w:rsid w:val="002B6F2A"/>
    <w:rsid w:val="002B717E"/>
    <w:rsid w:val="002B7185"/>
    <w:rsid w:val="002B72B0"/>
    <w:rsid w:val="002B742D"/>
    <w:rsid w:val="002B7607"/>
    <w:rsid w:val="002B78E8"/>
    <w:rsid w:val="002B790E"/>
    <w:rsid w:val="002B7976"/>
    <w:rsid w:val="002B79BC"/>
    <w:rsid w:val="002B7A0D"/>
    <w:rsid w:val="002B7B5A"/>
    <w:rsid w:val="002B7B9A"/>
    <w:rsid w:val="002B7BC5"/>
    <w:rsid w:val="002B7C8D"/>
    <w:rsid w:val="002B7E5F"/>
    <w:rsid w:val="002B7E77"/>
    <w:rsid w:val="002B7F3A"/>
    <w:rsid w:val="002C02B3"/>
    <w:rsid w:val="002C02C8"/>
    <w:rsid w:val="002C0433"/>
    <w:rsid w:val="002C0468"/>
    <w:rsid w:val="002C0570"/>
    <w:rsid w:val="002C05A3"/>
    <w:rsid w:val="002C0608"/>
    <w:rsid w:val="002C0614"/>
    <w:rsid w:val="002C0685"/>
    <w:rsid w:val="002C06AD"/>
    <w:rsid w:val="002C06DD"/>
    <w:rsid w:val="002C07A1"/>
    <w:rsid w:val="002C0A49"/>
    <w:rsid w:val="002C0B0F"/>
    <w:rsid w:val="002C0D20"/>
    <w:rsid w:val="002C0D70"/>
    <w:rsid w:val="002C0E5A"/>
    <w:rsid w:val="002C1199"/>
    <w:rsid w:val="002C12B4"/>
    <w:rsid w:val="002C1372"/>
    <w:rsid w:val="002C1416"/>
    <w:rsid w:val="002C1471"/>
    <w:rsid w:val="002C1704"/>
    <w:rsid w:val="002C1745"/>
    <w:rsid w:val="002C1888"/>
    <w:rsid w:val="002C19A3"/>
    <w:rsid w:val="002C19FC"/>
    <w:rsid w:val="002C1B4F"/>
    <w:rsid w:val="002C1C3C"/>
    <w:rsid w:val="002C1C69"/>
    <w:rsid w:val="002C1C97"/>
    <w:rsid w:val="002C1DBD"/>
    <w:rsid w:val="002C1DF7"/>
    <w:rsid w:val="002C1F32"/>
    <w:rsid w:val="002C20AF"/>
    <w:rsid w:val="002C2237"/>
    <w:rsid w:val="002C225B"/>
    <w:rsid w:val="002C22BF"/>
    <w:rsid w:val="002C25AC"/>
    <w:rsid w:val="002C2615"/>
    <w:rsid w:val="002C2703"/>
    <w:rsid w:val="002C2816"/>
    <w:rsid w:val="002C2A6C"/>
    <w:rsid w:val="002C2A75"/>
    <w:rsid w:val="002C2BC3"/>
    <w:rsid w:val="002C2DDC"/>
    <w:rsid w:val="002C2E92"/>
    <w:rsid w:val="002C3107"/>
    <w:rsid w:val="002C3421"/>
    <w:rsid w:val="002C35B9"/>
    <w:rsid w:val="002C379D"/>
    <w:rsid w:val="002C37A5"/>
    <w:rsid w:val="002C37DE"/>
    <w:rsid w:val="002C39A4"/>
    <w:rsid w:val="002C39F3"/>
    <w:rsid w:val="002C3B89"/>
    <w:rsid w:val="002C3EF7"/>
    <w:rsid w:val="002C4011"/>
    <w:rsid w:val="002C4134"/>
    <w:rsid w:val="002C41E0"/>
    <w:rsid w:val="002C42E8"/>
    <w:rsid w:val="002C4319"/>
    <w:rsid w:val="002C4367"/>
    <w:rsid w:val="002C4422"/>
    <w:rsid w:val="002C44E0"/>
    <w:rsid w:val="002C4630"/>
    <w:rsid w:val="002C46D9"/>
    <w:rsid w:val="002C47DB"/>
    <w:rsid w:val="002C4BF3"/>
    <w:rsid w:val="002C4C84"/>
    <w:rsid w:val="002C4CDF"/>
    <w:rsid w:val="002C4E8E"/>
    <w:rsid w:val="002C5042"/>
    <w:rsid w:val="002C51EF"/>
    <w:rsid w:val="002C5267"/>
    <w:rsid w:val="002C52B1"/>
    <w:rsid w:val="002C52D4"/>
    <w:rsid w:val="002C55A7"/>
    <w:rsid w:val="002C564D"/>
    <w:rsid w:val="002C5701"/>
    <w:rsid w:val="002C587D"/>
    <w:rsid w:val="002C5937"/>
    <w:rsid w:val="002C595E"/>
    <w:rsid w:val="002C596C"/>
    <w:rsid w:val="002C5D9A"/>
    <w:rsid w:val="002C5DA7"/>
    <w:rsid w:val="002C6194"/>
    <w:rsid w:val="002C630F"/>
    <w:rsid w:val="002C6364"/>
    <w:rsid w:val="002C6650"/>
    <w:rsid w:val="002C66EB"/>
    <w:rsid w:val="002C673C"/>
    <w:rsid w:val="002C675F"/>
    <w:rsid w:val="002C6858"/>
    <w:rsid w:val="002C687F"/>
    <w:rsid w:val="002C748F"/>
    <w:rsid w:val="002C74AA"/>
    <w:rsid w:val="002C75AC"/>
    <w:rsid w:val="002C75DB"/>
    <w:rsid w:val="002C7690"/>
    <w:rsid w:val="002C76B6"/>
    <w:rsid w:val="002C76FE"/>
    <w:rsid w:val="002C7936"/>
    <w:rsid w:val="002C7BFF"/>
    <w:rsid w:val="002C7D42"/>
    <w:rsid w:val="002C7E41"/>
    <w:rsid w:val="002C7F5F"/>
    <w:rsid w:val="002D0180"/>
    <w:rsid w:val="002D018F"/>
    <w:rsid w:val="002D0261"/>
    <w:rsid w:val="002D0330"/>
    <w:rsid w:val="002D04C5"/>
    <w:rsid w:val="002D072D"/>
    <w:rsid w:val="002D076A"/>
    <w:rsid w:val="002D0DF0"/>
    <w:rsid w:val="002D0E6E"/>
    <w:rsid w:val="002D0E70"/>
    <w:rsid w:val="002D0FE6"/>
    <w:rsid w:val="002D1040"/>
    <w:rsid w:val="002D10C1"/>
    <w:rsid w:val="002D1124"/>
    <w:rsid w:val="002D11F9"/>
    <w:rsid w:val="002D1287"/>
    <w:rsid w:val="002D12FE"/>
    <w:rsid w:val="002D1476"/>
    <w:rsid w:val="002D158B"/>
    <w:rsid w:val="002D1960"/>
    <w:rsid w:val="002D198D"/>
    <w:rsid w:val="002D1A5F"/>
    <w:rsid w:val="002D1BB5"/>
    <w:rsid w:val="002D1F61"/>
    <w:rsid w:val="002D21C9"/>
    <w:rsid w:val="002D22F3"/>
    <w:rsid w:val="002D2412"/>
    <w:rsid w:val="002D2577"/>
    <w:rsid w:val="002D2609"/>
    <w:rsid w:val="002D2A5F"/>
    <w:rsid w:val="002D2A80"/>
    <w:rsid w:val="002D2AB4"/>
    <w:rsid w:val="002D2B92"/>
    <w:rsid w:val="002D2BAA"/>
    <w:rsid w:val="002D2CC1"/>
    <w:rsid w:val="002D2D1D"/>
    <w:rsid w:val="002D2D25"/>
    <w:rsid w:val="002D2FDB"/>
    <w:rsid w:val="002D3379"/>
    <w:rsid w:val="002D3610"/>
    <w:rsid w:val="002D394B"/>
    <w:rsid w:val="002D3B29"/>
    <w:rsid w:val="002D3BD6"/>
    <w:rsid w:val="002D3E02"/>
    <w:rsid w:val="002D3F16"/>
    <w:rsid w:val="002D4112"/>
    <w:rsid w:val="002D41E9"/>
    <w:rsid w:val="002D45C1"/>
    <w:rsid w:val="002D45D0"/>
    <w:rsid w:val="002D45D2"/>
    <w:rsid w:val="002D4682"/>
    <w:rsid w:val="002D4B23"/>
    <w:rsid w:val="002D4B42"/>
    <w:rsid w:val="002D4DFF"/>
    <w:rsid w:val="002D4F0B"/>
    <w:rsid w:val="002D4F57"/>
    <w:rsid w:val="002D4FF8"/>
    <w:rsid w:val="002D5359"/>
    <w:rsid w:val="002D5554"/>
    <w:rsid w:val="002D5650"/>
    <w:rsid w:val="002D56F7"/>
    <w:rsid w:val="002D59B0"/>
    <w:rsid w:val="002D5A2A"/>
    <w:rsid w:val="002D5ABB"/>
    <w:rsid w:val="002D5D8C"/>
    <w:rsid w:val="002D5DCC"/>
    <w:rsid w:val="002D614C"/>
    <w:rsid w:val="002D6167"/>
    <w:rsid w:val="002D638E"/>
    <w:rsid w:val="002D645A"/>
    <w:rsid w:val="002D6955"/>
    <w:rsid w:val="002D69C8"/>
    <w:rsid w:val="002D69C9"/>
    <w:rsid w:val="002D69E7"/>
    <w:rsid w:val="002D6BA9"/>
    <w:rsid w:val="002D6DBE"/>
    <w:rsid w:val="002D7198"/>
    <w:rsid w:val="002D7261"/>
    <w:rsid w:val="002D74F9"/>
    <w:rsid w:val="002D76E6"/>
    <w:rsid w:val="002D7AA5"/>
    <w:rsid w:val="002D7B9C"/>
    <w:rsid w:val="002D7BCD"/>
    <w:rsid w:val="002D7D78"/>
    <w:rsid w:val="002D7ECC"/>
    <w:rsid w:val="002E000E"/>
    <w:rsid w:val="002E0116"/>
    <w:rsid w:val="002E023B"/>
    <w:rsid w:val="002E0270"/>
    <w:rsid w:val="002E0347"/>
    <w:rsid w:val="002E03B0"/>
    <w:rsid w:val="002E06BD"/>
    <w:rsid w:val="002E0845"/>
    <w:rsid w:val="002E0A53"/>
    <w:rsid w:val="002E0ABC"/>
    <w:rsid w:val="002E0C80"/>
    <w:rsid w:val="002E0CE4"/>
    <w:rsid w:val="002E0EBD"/>
    <w:rsid w:val="002E0ED2"/>
    <w:rsid w:val="002E0F3E"/>
    <w:rsid w:val="002E0F51"/>
    <w:rsid w:val="002E0FA2"/>
    <w:rsid w:val="002E102B"/>
    <w:rsid w:val="002E1107"/>
    <w:rsid w:val="002E1116"/>
    <w:rsid w:val="002E13C1"/>
    <w:rsid w:val="002E14EE"/>
    <w:rsid w:val="002E15FF"/>
    <w:rsid w:val="002E16E3"/>
    <w:rsid w:val="002E1751"/>
    <w:rsid w:val="002E1814"/>
    <w:rsid w:val="002E1DCF"/>
    <w:rsid w:val="002E1EB7"/>
    <w:rsid w:val="002E1EC8"/>
    <w:rsid w:val="002E2258"/>
    <w:rsid w:val="002E22BE"/>
    <w:rsid w:val="002E2403"/>
    <w:rsid w:val="002E252A"/>
    <w:rsid w:val="002E2622"/>
    <w:rsid w:val="002E26D7"/>
    <w:rsid w:val="002E26DF"/>
    <w:rsid w:val="002E2786"/>
    <w:rsid w:val="002E27EC"/>
    <w:rsid w:val="002E292B"/>
    <w:rsid w:val="002E2A57"/>
    <w:rsid w:val="002E2A74"/>
    <w:rsid w:val="002E2B5E"/>
    <w:rsid w:val="002E2DE9"/>
    <w:rsid w:val="002E2EF2"/>
    <w:rsid w:val="002E2EF6"/>
    <w:rsid w:val="002E3000"/>
    <w:rsid w:val="002E301C"/>
    <w:rsid w:val="002E30DA"/>
    <w:rsid w:val="002E3117"/>
    <w:rsid w:val="002E3218"/>
    <w:rsid w:val="002E3448"/>
    <w:rsid w:val="002E34C5"/>
    <w:rsid w:val="002E3654"/>
    <w:rsid w:val="002E3829"/>
    <w:rsid w:val="002E3B71"/>
    <w:rsid w:val="002E3BC0"/>
    <w:rsid w:val="002E3F27"/>
    <w:rsid w:val="002E4183"/>
    <w:rsid w:val="002E4469"/>
    <w:rsid w:val="002E44F4"/>
    <w:rsid w:val="002E46B8"/>
    <w:rsid w:val="002E47AD"/>
    <w:rsid w:val="002E4809"/>
    <w:rsid w:val="002E4A97"/>
    <w:rsid w:val="002E4CBD"/>
    <w:rsid w:val="002E4D1B"/>
    <w:rsid w:val="002E4D22"/>
    <w:rsid w:val="002E4E4D"/>
    <w:rsid w:val="002E4F79"/>
    <w:rsid w:val="002E4FC9"/>
    <w:rsid w:val="002E5007"/>
    <w:rsid w:val="002E5227"/>
    <w:rsid w:val="002E5339"/>
    <w:rsid w:val="002E5553"/>
    <w:rsid w:val="002E5628"/>
    <w:rsid w:val="002E576B"/>
    <w:rsid w:val="002E585F"/>
    <w:rsid w:val="002E5B6A"/>
    <w:rsid w:val="002E5BFC"/>
    <w:rsid w:val="002E5C5F"/>
    <w:rsid w:val="002E5D33"/>
    <w:rsid w:val="002E5E0C"/>
    <w:rsid w:val="002E638D"/>
    <w:rsid w:val="002E6414"/>
    <w:rsid w:val="002E6441"/>
    <w:rsid w:val="002E6486"/>
    <w:rsid w:val="002E64AB"/>
    <w:rsid w:val="002E6528"/>
    <w:rsid w:val="002E66B5"/>
    <w:rsid w:val="002E67A0"/>
    <w:rsid w:val="002E6923"/>
    <w:rsid w:val="002E6B28"/>
    <w:rsid w:val="002E6E9A"/>
    <w:rsid w:val="002E6F82"/>
    <w:rsid w:val="002E702E"/>
    <w:rsid w:val="002E70D2"/>
    <w:rsid w:val="002E71CD"/>
    <w:rsid w:val="002E72ED"/>
    <w:rsid w:val="002E7335"/>
    <w:rsid w:val="002E735E"/>
    <w:rsid w:val="002E74FA"/>
    <w:rsid w:val="002E750C"/>
    <w:rsid w:val="002E750D"/>
    <w:rsid w:val="002E7557"/>
    <w:rsid w:val="002E7560"/>
    <w:rsid w:val="002E76C8"/>
    <w:rsid w:val="002E76FE"/>
    <w:rsid w:val="002E7BE8"/>
    <w:rsid w:val="002E7F64"/>
    <w:rsid w:val="002F007D"/>
    <w:rsid w:val="002F0140"/>
    <w:rsid w:val="002F0403"/>
    <w:rsid w:val="002F06C9"/>
    <w:rsid w:val="002F06EC"/>
    <w:rsid w:val="002F07A6"/>
    <w:rsid w:val="002F0859"/>
    <w:rsid w:val="002F08F1"/>
    <w:rsid w:val="002F0AA0"/>
    <w:rsid w:val="002F0B92"/>
    <w:rsid w:val="002F0BF1"/>
    <w:rsid w:val="002F0D1C"/>
    <w:rsid w:val="002F0F5D"/>
    <w:rsid w:val="002F0FA5"/>
    <w:rsid w:val="002F1003"/>
    <w:rsid w:val="002F108C"/>
    <w:rsid w:val="002F11C2"/>
    <w:rsid w:val="002F1280"/>
    <w:rsid w:val="002F13C5"/>
    <w:rsid w:val="002F1580"/>
    <w:rsid w:val="002F1602"/>
    <w:rsid w:val="002F187E"/>
    <w:rsid w:val="002F1B3C"/>
    <w:rsid w:val="002F1B5C"/>
    <w:rsid w:val="002F1C09"/>
    <w:rsid w:val="002F1C7C"/>
    <w:rsid w:val="002F1CD0"/>
    <w:rsid w:val="002F1E3D"/>
    <w:rsid w:val="002F1F26"/>
    <w:rsid w:val="002F1F80"/>
    <w:rsid w:val="002F20FB"/>
    <w:rsid w:val="002F2187"/>
    <w:rsid w:val="002F2387"/>
    <w:rsid w:val="002F25CB"/>
    <w:rsid w:val="002F2796"/>
    <w:rsid w:val="002F2929"/>
    <w:rsid w:val="002F293C"/>
    <w:rsid w:val="002F2974"/>
    <w:rsid w:val="002F29C1"/>
    <w:rsid w:val="002F2B84"/>
    <w:rsid w:val="002F30BA"/>
    <w:rsid w:val="002F30CF"/>
    <w:rsid w:val="002F31C5"/>
    <w:rsid w:val="002F32BA"/>
    <w:rsid w:val="002F3363"/>
    <w:rsid w:val="002F33E2"/>
    <w:rsid w:val="002F351E"/>
    <w:rsid w:val="002F3731"/>
    <w:rsid w:val="002F3835"/>
    <w:rsid w:val="002F391F"/>
    <w:rsid w:val="002F3936"/>
    <w:rsid w:val="002F39FF"/>
    <w:rsid w:val="002F3CAA"/>
    <w:rsid w:val="002F3D8F"/>
    <w:rsid w:val="002F41A5"/>
    <w:rsid w:val="002F41ED"/>
    <w:rsid w:val="002F41FA"/>
    <w:rsid w:val="002F4514"/>
    <w:rsid w:val="002F47F7"/>
    <w:rsid w:val="002F48AB"/>
    <w:rsid w:val="002F4C84"/>
    <w:rsid w:val="002F5081"/>
    <w:rsid w:val="002F50BF"/>
    <w:rsid w:val="002F5129"/>
    <w:rsid w:val="002F52DA"/>
    <w:rsid w:val="002F52DC"/>
    <w:rsid w:val="002F53CA"/>
    <w:rsid w:val="002F53E1"/>
    <w:rsid w:val="002F54F2"/>
    <w:rsid w:val="002F57CA"/>
    <w:rsid w:val="002F5A0C"/>
    <w:rsid w:val="002F5B2E"/>
    <w:rsid w:val="002F5BEB"/>
    <w:rsid w:val="002F5EB9"/>
    <w:rsid w:val="002F61FC"/>
    <w:rsid w:val="002F6294"/>
    <w:rsid w:val="002F6448"/>
    <w:rsid w:val="002F647B"/>
    <w:rsid w:val="002F64AD"/>
    <w:rsid w:val="002F6690"/>
    <w:rsid w:val="002F6877"/>
    <w:rsid w:val="002F69D9"/>
    <w:rsid w:val="002F69E6"/>
    <w:rsid w:val="002F69FC"/>
    <w:rsid w:val="002F6A6F"/>
    <w:rsid w:val="002F6AE8"/>
    <w:rsid w:val="002F6C2B"/>
    <w:rsid w:val="002F6E41"/>
    <w:rsid w:val="002F6EF4"/>
    <w:rsid w:val="002F6F8B"/>
    <w:rsid w:val="002F6FC0"/>
    <w:rsid w:val="002F7030"/>
    <w:rsid w:val="002F725E"/>
    <w:rsid w:val="002F72AA"/>
    <w:rsid w:val="002F73AC"/>
    <w:rsid w:val="002F74B3"/>
    <w:rsid w:val="002F74DC"/>
    <w:rsid w:val="002F7820"/>
    <w:rsid w:val="002F78EC"/>
    <w:rsid w:val="002F7B47"/>
    <w:rsid w:val="002F7C03"/>
    <w:rsid w:val="002F7C56"/>
    <w:rsid w:val="002F7D0E"/>
    <w:rsid w:val="002F7DB1"/>
    <w:rsid w:val="002F7EAC"/>
    <w:rsid w:val="002F94C3"/>
    <w:rsid w:val="00300292"/>
    <w:rsid w:val="00300581"/>
    <w:rsid w:val="003009AB"/>
    <w:rsid w:val="003009E4"/>
    <w:rsid w:val="00300A07"/>
    <w:rsid w:val="00300ACE"/>
    <w:rsid w:val="00300BA2"/>
    <w:rsid w:val="00300BB3"/>
    <w:rsid w:val="00300C98"/>
    <w:rsid w:val="00300D98"/>
    <w:rsid w:val="00300DF9"/>
    <w:rsid w:val="00300F5D"/>
    <w:rsid w:val="0030113D"/>
    <w:rsid w:val="0030124D"/>
    <w:rsid w:val="00301360"/>
    <w:rsid w:val="003014D9"/>
    <w:rsid w:val="00301647"/>
    <w:rsid w:val="00301864"/>
    <w:rsid w:val="0030192B"/>
    <w:rsid w:val="00301A0F"/>
    <w:rsid w:val="00301BBD"/>
    <w:rsid w:val="00301BEA"/>
    <w:rsid w:val="00301E47"/>
    <w:rsid w:val="0030202A"/>
    <w:rsid w:val="00302103"/>
    <w:rsid w:val="00302178"/>
    <w:rsid w:val="003021EB"/>
    <w:rsid w:val="0030253B"/>
    <w:rsid w:val="0030259D"/>
    <w:rsid w:val="003026B6"/>
    <w:rsid w:val="003026C5"/>
    <w:rsid w:val="003026D1"/>
    <w:rsid w:val="0030296E"/>
    <w:rsid w:val="00302A0C"/>
    <w:rsid w:val="00302C96"/>
    <w:rsid w:val="00302CF9"/>
    <w:rsid w:val="0030303D"/>
    <w:rsid w:val="003030AA"/>
    <w:rsid w:val="00303336"/>
    <w:rsid w:val="00303360"/>
    <w:rsid w:val="0030338F"/>
    <w:rsid w:val="00303488"/>
    <w:rsid w:val="003036E0"/>
    <w:rsid w:val="00303705"/>
    <w:rsid w:val="003038C5"/>
    <w:rsid w:val="003039E3"/>
    <w:rsid w:val="00303CB6"/>
    <w:rsid w:val="00303EA7"/>
    <w:rsid w:val="00303EAF"/>
    <w:rsid w:val="0030427C"/>
    <w:rsid w:val="00304342"/>
    <w:rsid w:val="003045A8"/>
    <w:rsid w:val="003045B8"/>
    <w:rsid w:val="00304805"/>
    <w:rsid w:val="00304B4D"/>
    <w:rsid w:val="00304B97"/>
    <w:rsid w:val="00304C10"/>
    <w:rsid w:val="00304C61"/>
    <w:rsid w:val="00304D3F"/>
    <w:rsid w:val="003050C8"/>
    <w:rsid w:val="0030512D"/>
    <w:rsid w:val="00305453"/>
    <w:rsid w:val="003054F6"/>
    <w:rsid w:val="003058F9"/>
    <w:rsid w:val="00305AA7"/>
    <w:rsid w:val="00305E34"/>
    <w:rsid w:val="003060A1"/>
    <w:rsid w:val="003060A8"/>
    <w:rsid w:val="003061DE"/>
    <w:rsid w:val="003063C7"/>
    <w:rsid w:val="003063E3"/>
    <w:rsid w:val="00306503"/>
    <w:rsid w:val="0030653B"/>
    <w:rsid w:val="00306550"/>
    <w:rsid w:val="00306581"/>
    <w:rsid w:val="0030668C"/>
    <w:rsid w:val="00306691"/>
    <w:rsid w:val="0030678D"/>
    <w:rsid w:val="00306AB1"/>
    <w:rsid w:val="00306B0B"/>
    <w:rsid w:val="00306CC6"/>
    <w:rsid w:val="00306EC5"/>
    <w:rsid w:val="00306F21"/>
    <w:rsid w:val="00306F7C"/>
    <w:rsid w:val="00306FD9"/>
    <w:rsid w:val="0030702B"/>
    <w:rsid w:val="003073C1"/>
    <w:rsid w:val="00307582"/>
    <w:rsid w:val="003076F5"/>
    <w:rsid w:val="00307710"/>
    <w:rsid w:val="00307749"/>
    <w:rsid w:val="003078BB"/>
    <w:rsid w:val="00307BC9"/>
    <w:rsid w:val="00307CC1"/>
    <w:rsid w:val="00307E70"/>
    <w:rsid w:val="00307EE4"/>
    <w:rsid w:val="00310389"/>
    <w:rsid w:val="0031041C"/>
    <w:rsid w:val="0031049A"/>
    <w:rsid w:val="00310619"/>
    <w:rsid w:val="0031080C"/>
    <w:rsid w:val="00310940"/>
    <w:rsid w:val="00310A58"/>
    <w:rsid w:val="00310CD1"/>
    <w:rsid w:val="00310F62"/>
    <w:rsid w:val="003111B6"/>
    <w:rsid w:val="003111D9"/>
    <w:rsid w:val="003111FB"/>
    <w:rsid w:val="00311297"/>
    <w:rsid w:val="00311397"/>
    <w:rsid w:val="0031158B"/>
    <w:rsid w:val="00311623"/>
    <w:rsid w:val="003117DA"/>
    <w:rsid w:val="00311983"/>
    <w:rsid w:val="00311B0A"/>
    <w:rsid w:val="00311B59"/>
    <w:rsid w:val="00311C2C"/>
    <w:rsid w:val="00311DE5"/>
    <w:rsid w:val="00311E19"/>
    <w:rsid w:val="0031206A"/>
    <w:rsid w:val="0031211F"/>
    <w:rsid w:val="003121E7"/>
    <w:rsid w:val="00312394"/>
    <w:rsid w:val="003123FF"/>
    <w:rsid w:val="00312461"/>
    <w:rsid w:val="00312566"/>
    <w:rsid w:val="003125BA"/>
    <w:rsid w:val="0031266F"/>
    <w:rsid w:val="0031270F"/>
    <w:rsid w:val="00312A03"/>
    <w:rsid w:val="00312AC0"/>
    <w:rsid w:val="00312D0F"/>
    <w:rsid w:val="00312F88"/>
    <w:rsid w:val="00313076"/>
    <w:rsid w:val="003130FE"/>
    <w:rsid w:val="003132C6"/>
    <w:rsid w:val="003132F4"/>
    <w:rsid w:val="003134AD"/>
    <w:rsid w:val="003134FF"/>
    <w:rsid w:val="00313575"/>
    <w:rsid w:val="0031372A"/>
    <w:rsid w:val="003138CD"/>
    <w:rsid w:val="00313A4C"/>
    <w:rsid w:val="00313D24"/>
    <w:rsid w:val="00313D2E"/>
    <w:rsid w:val="00313D64"/>
    <w:rsid w:val="00313FE7"/>
    <w:rsid w:val="003140B2"/>
    <w:rsid w:val="003142D4"/>
    <w:rsid w:val="00314402"/>
    <w:rsid w:val="0031440B"/>
    <w:rsid w:val="003144A3"/>
    <w:rsid w:val="003148FD"/>
    <w:rsid w:val="00314907"/>
    <w:rsid w:val="00314921"/>
    <w:rsid w:val="00314927"/>
    <w:rsid w:val="00314EE5"/>
    <w:rsid w:val="0031506E"/>
    <w:rsid w:val="0031518A"/>
    <w:rsid w:val="00315198"/>
    <w:rsid w:val="00315247"/>
    <w:rsid w:val="003157CF"/>
    <w:rsid w:val="00315A6C"/>
    <w:rsid w:val="00315BE9"/>
    <w:rsid w:val="00315D07"/>
    <w:rsid w:val="00315DC5"/>
    <w:rsid w:val="00316068"/>
    <w:rsid w:val="0031606E"/>
    <w:rsid w:val="00316096"/>
    <w:rsid w:val="00316110"/>
    <w:rsid w:val="0031633B"/>
    <w:rsid w:val="00316464"/>
    <w:rsid w:val="003164AC"/>
    <w:rsid w:val="003164F2"/>
    <w:rsid w:val="003167E9"/>
    <w:rsid w:val="00316873"/>
    <w:rsid w:val="003168C4"/>
    <w:rsid w:val="00316CA4"/>
    <w:rsid w:val="00316D5B"/>
    <w:rsid w:val="00316DA2"/>
    <w:rsid w:val="00316DBD"/>
    <w:rsid w:val="00316DFD"/>
    <w:rsid w:val="00316E76"/>
    <w:rsid w:val="00316ECD"/>
    <w:rsid w:val="00316EE4"/>
    <w:rsid w:val="003172A7"/>
    <w:rsid w:val="003174EB"/>
    <w:rsid w:val="00317528"/>
    <w:rsid w:val="0031769B"/>
    <w:rsid w:val="003176C3"/>
    <w:rsid w:val="0031787B"/>
    <w:rsid w:val="00317A6A"/>
    <w:rsid w:val="00317A71"/>
    <w:rsid w:val="00317D2D"/>
    <w:rsid w:val="00317DAC"/>
    <w:rsid w:val="00317E7D"/>
    <w:rsid w:val="00317F81"/>
    <w:rsid w:val="00317FCA"/>
    <w:rsid w:val="0032008B"/>
    <w:rsid w:val="0032014A"/>
    <w:rsid w:val="003202E3"/>
    <w:rsid w:val="00320496"/>
    <w:rsid w:val="003205F3"/>
    <w:rsid w:val="003205FC"/>
    <w:rsid w:val="00320662"/>
    <w:rsid w:val="003206A7"/>
    <w:rsid w:val="003207E9"/>
    <w:rsid w:val="003209CF"/>
    <w:rsid w:val="00320ACA"/>
    <w:rsid w:val="00320BBE"/>
    <w:rsid w:val="00320C6C"/>
    <w:rsid w:val="00320CC4"/>
    <w:rsid w:val="00320DCC"/>
    <w:rsid w:val="00320DFA"/>
    <w:rsid w:val="00321001"/>
    <w:rsid w:val="003211A6"/>
    <w:rsid w:val="003211F4"/>
    <w:rsid w:val="00321253"/>
    <w:rsid w:val="00321386"/>
    <w:rsid w:val="003213F4"/>
    <w:rsid w:val="00321555"/>
    <w:rsid w:val="00321790"/>
    <w:rsid w:val="003217C9"/>
    <w:rsid w:val="003218A2"/>
    <w:rsid w:val="00321A79"/>
    <w:rsid w:val="00321A95"/>
    <w:rsid w:val="00321BF7"/>
    <w:rsid w:val="00321CE2"/>
    <w:rsid w:val="00321EED"/>
    <w:rsid w:val="00321FFF"/>
    <w:rsid w:val="0032230B"/>
    <w:rsid w:val="0032233B"/>
    <w:rsid w:val="003226BB"/>
    <w:rsid w:val="003226FB"/>
    <w:rsid w:val="00322779"/>
    <w:rsid w:val="00322866"/>
    <w:rsid w:val="00322D1D"/>
    <w:rsid w:val="00322DF1"/>
    <w:rsid w:val="00322E63"/>
    <w:rsid w:val="00322EEC"/>
    <w:rsid w:val="00322F98"/>
    <w:rsid w:val="00323145"/>
    <w:rsid w:val="003233E8"/>
    <w:rsid w:val="003234C4"/>
    <w:rsid w:val="00323621"/>
    <w:rsid w:val="00323764"/>
    <w:rsid w:val="003237C3"/>
    <w:rsid w:val="003238DC"/>
    <w:rsid w:val="00323A3E"/>
    <w:rsid w:val="00323B36"/>
    <w:rsid w:val="00323BEC"/>
    <w:rsid w:val="00323C43"/>
    <w:rsid w:val="00323D1D"/>
    <w:rsid w:val="00323E9C"/>
    <w:rsid w:val="00324078"/>
    <w:rsid w:val="00324094"/>
    <w:rsid w:val="003243B0"/>
    <w:rsid w:val="003244D5"/>
    <w:rsid w:val="00324500"/>
    <w:rsid w:val="00324524"/>
    <w:rsid w:val="00324729"/>
    <w:rsid w:val="0032477A"/>
    <w:rsid w:val="0032490B"/>
    <w:rsid w:val="0032494B"/>
    <w:rsid w:val="00324A66"/>
    <w:rsid w:val="00324A69"/>
    <w:rsid w:val="00324D54"/>
    <w:rsid w:val="00325018"/>
    <w:rsid w:val="00325069"/>
    <w:rsid w:val="003250D2"/>
    <w:rsid w:val="003251B5"/>
    <w:rsid w:val="0032558E"/>
    <w:rsid w:val="00325892"/>
    <w:rsid w:val="003259A1"/>
    <w:rsid w:val="00325A91"/>
    <w:rsid w:val="00325A9E"/>
    <w:rsid w:val="00325AAB"/>
    <w:rsid w:val="00325AC2"/>
    <w:rsid w:val="00325CBB"/>
    <w:rsid w:val="00325D08"/>
    <w:rsid w:val="00325E07"/>
    <w:rsid w:val="00325E0A"/>
    <w:rsid w:val="00325E8B"/>
    <w:rsid w:val="003260DE"/>
    <w:rsid w:val="003261BD"/>
    <w:rsid w:val="00326537"/>
    <w:rsid w:val="003265AD"/>
    <w:rsid w:val="00326953"/>
    <w:rsid w:val="003269B2"/>
    <w:rsid w:val="00326A01"/>
    <w:rsid w:val="00326A39"/>
    <w:rsid w:val="00326E64"/>
    <w:rsid w:val="00326E66"/>
    <w:rsid w:val="00327440"/>
    <w:rsid w:val="0032748D"/>
    <w:rsid w:val="0032759D"/>
    <w:rsid w:val="003276EE"/>
    <w:rsid w:val="003278D6"/>
    <w:rsid w:val="0032794F"/>
    <w:rsid w:val="00327D30"/>
    <w:rsid w:val="0033019E"/>
    <w:rsid w:val="00330238"/>
    <w:rsid w:val="00330281"/>
    <w:rsid w:val="003305A8"/>
    <w:rsid w:val="003305D0"/>
    <w:rsid w:val="00330688"/>
    <w:rsid w:val="0033069D"/>
    <w:rsid w:val="003306A2"/>
    <w:rsid w:val="003308E2"/>
    <w:rsid w:val="00330963"/>
    <w:rsid w:val="00330AC5"/>
    <w:rsid w:val="00330AEC"/>
    <w:rsid w:val="00330D46"/>
    <w:rsid w:val="00331337"/>
    <w:rsid w:val="00331349"/>
    <w:rsid w:val="00331434"/>
    <w:rsid w:val="00331573"/>
    <w:rsid w:val="003315A9"/>
    <w:rsid w:val="00331625"/>
    <w:rsid w:val="003317B8"/>
    <w:rsid w:val="003317D3"/>
    <w:rsid w:val="003318E5"/>
    <w:rsid w:val="00331931"/>
    <w:rsid w:val="00331A04"/>
    <w:rsid w:val="00331A5F"/>
    <w:rsid w:val="00331A81"/>
    <w:rsid w:val="00331B78"/>
    <w:rsid w:val="00331EED"/>
    <w:rsid w:val="0033206E"/>
    <w:rsid w:val="0033208B"/>
    <w:rsid w:val="00332188"/>
    <w:rsid w:val="00332535"/>
    <w:rsid w:val="003326C8"/>
    <w:rsid w:val="00332781"/>
    <w:rsid w:val="00332805"/>
    <w:rsid w:val="00332862"/>
    <w:rsid w:val="00332864"/>
    <w:rsid w:val="00332E3B"/>
    <w:rsid w:val="00332F27"/>
    <w:rsid w:val="00333144"/>
    <w:rsid w:val="00333152"/>
    <w:rsid w:val="00333332"/>
    <w:rsid w:val="003335EC"/>
    <w:rsid w:val="00333618"/>
    <w:rsid w:val="0033367B"/>
    <w:rsid w:val="0033377B"/>
    <w:rsid w:val="00333789"/>
    <w:rsid w:val="003337C6"/>
    <w:rsid w:val="00333884"/>
    <w:rsid w:val="003338BA"/>
    <w:rsid w:val="00333FBB"/>
    <w:rsid w:val="00334016"/>
    <w:rsid w:val="0033407E"/>
    <w:rsid w:val="00334085"/>
    <w:rsid w:val="0033409F"/>
    <w:rsid w:val="003340A5"/>
    <w:rsid w:val="003340B6"/>
    <w:rsid w:val="00334110"/>
    <w:rsid w:val="0033413F"/>
    <w:rsid w:val="00334160"/>
    <w:rsid w:val="0033418F"/>
    <w:rsid w:val="003342BE"/>
    <w:rsid w:val="003343A7"/>
    <w:rsid w:val="0033440F"/>
    <w:rsid w:val="003347F7"/>
    <w:rsid w:val="00334917"/>
    <w:rsid w:val="00334921"/>
    <w:rsid w:val="00334A40"/>
    <w:rsid w:val="00334BD7"/>
    <w:rsid w:val="00334C58"/>
    <w:rsid w:val="00334EE9"/>
    <w:rsid w:val="003352DE"/>
    <w:rsid w:val="0033552B"/>
    <w:rsid w:val="00335637"/>
    <w:rsid w:val="00335687"/>
    <w:rsid w:val="00335733"/>
    <w:rsid w:val="00335781"/>
    <w:rsid w:val="003357D1"/>
    <w:rsid w:val="003358C2"/>
    <w:rsid w:val="00335931"/>
    <w:rsid w:val="00335A24"/>
    <w:rsid w:val="00335B70"/>
    <w:rsid w:val="00335D01"/>
    <w:rsid w:val="00335D3A"/>
    <w:rsid w:val="00335E17"/>
    <w:rsid w:val="00336165"/>
    <w:rsid w:val="0033628F"/>
    <w:rsid w:val="003362FD"/>
    <w:rsid w:val="00336366"/>
    <w:rsid w:val="003363C4"/>
    <w:rsid w:val="0033667D"/>
    <w:rsid w:val="00336740"/>
    <w:rsid w:val="0033686E"/>
    <w:rsid w:val="00336A5C"/>
    <w:rsid w:val="00336A8C"/>
    <w:rsid w:val="00336C51"/>
    <w:rsid w:val="00336D7B"/>
    <w:rsid w:val="00336DA8"/>
    <w:rsid w:val="00337086"/>
    <w:rsid w:val="0033716D"/>
    <w:rsid w:val="00337259"/>
    <w:rsid w:val="0033762F"/>
    <w:rsid w:val="003376F2"/>
    <w:rsid w:val="003377FF"/>
    <w:rsid w:val="00337868"/>
    <w:rsid w:val="00337C70"/>
    <w:rsid w:val="00337D4E"/>
    <w:rsid w:val="0034015C"/>
    <w:rsid w:val="00340215"/>
    <w:rsid w:val="003404CB"/>
    <w:rsid w:val="003407E2"/>
    <w:rsid w:val="003408A9"/>
    <w:rsid w:val="003408D5"/>
    <w:rsid w:val="003408F0"/>
    <w:rsid w:val="0034091A"/>
    <w:rsid w:val="00340AFC"/>
    <w:rsid w:val="00340B15"/>
    <w:rsid w:val="00340BFA"/>
    <w:rsid w:val="00340F88"/>
    <w:rsid w:val="00340F99"/>
    <w:rsid w:val="003411F9"/>
    <w:rsid w:val="00341381"/>
    <w:rsid w:val="0034143C"/>
    <w:rsid w:val="0034145A"/>
    <w:rsid w:val="00341595"/>
    <w:rsid w:val="003416B7"/>
    <w:rsid w:val="00341704"/>
    <w:rsid w:val="003418CE"/>
    <w:rsid w:val="00341BCC"/>
    <w:rsid w:val="00341C3A"/>
    <w:rsid w:val="00341D4C"/>
    <w:rsid w:val="00341F2B"/>
    <w:rsid w:val="00341F59"/>
    <w:rsid w:val="00341FC7"/>
    <w:rsid w:val="0034207F"/>
    <w:rsid w:val="003420CA"/>
    <w:rsid w:val="00342289"/>
    <w:rsid w:val="00342297"/>
    <w:rsid w:val="0034232A"/>
    <w:rsid w:val="003423DE"/>
    <w:rsid w:val="00342473"/>
    <w:rsid w:val="00342516"/>
    <w:rsid w:val="0034251E"/>
    <w:rsid w:val="003425C3"/>
    <w:rsid w:val="003425DA"/>
    <w:rsid w:val="003428A6"/>
    <w:rsid w:val="0034291D"/>
    <w:rsid w:val="00342A8A"/>
    <w:rsid w:val="00342BE7"/>
    <w:rsid w:val="00342F5D"/>
    <w:rsid w:val="00342F7E"/>
    <w:rsid w:val="00343007"/>
    <w:rsid w:val="00343100"/>
    <w:rsid w:val="003431F4"/>
    <w:rsid w:val="00343323"/>
    <w:rsid w:val="003433A0"/>
    <w:rsid w:val="00343545"/>
    <w:rsid w:val="003436DC"/>
    <w:rsid w:val="003438E8"/>
    <w:rsid w:val="00343956"/>
    <w:rsid w:val="0034396F"/>
    <w:rsid w:val="00343A91"/>
    <w:rsid w:val="00343A96"/>
    <w:rsid w:val="00343D39"/>
    <w:rsid w:val="00343F85"/>
    <w:rsid w:val="00343F93"/>
    <w:rsid w:val="00343FD8"/>
    <w:rsid w:val="00344384"/>
    <w:rsid w:val="003444A1"/>
    <w:rsid w:val="00344542"/>
    <w:rsid w:val="0034473D"/>
    <w:rsid w:val="00344810"/>
    <w:rsid w:val="003448F8"/>
    <w:rsid w:val="0034494D"/>
    <w:rsid w:val="00344968"/>
    <w:rsid w:val="0034497C"/>
    <w:rsid w:val="00344A7A"/>
    <w:rsid w:val="00344BF7"/>
    <w:rsid w:val="00344DEF"/>
    <w:rsid w:val="0034514F"/>
    <w:rsid w:val="0034557F"/>
    <w:rsid w:val="003455AC"/>
    <w:rsid w:val="00345719"/>
    <w:rsid w:val="00345CD6"/>
    <w:rsid w:val="00345CE9"/>
    <w:rsid w:val="00345E7A"/>
    <w:rsid w:val="00345EA8"/>
    <w:rsid w:val="00345EAA"/>
    <w:rsid w:val="003460F3"/>
    <w:rsid w:val="0034628B"/>
    <w:rsid w:val="0034640A"/>
    <w:rsid w:val="003468A8"/>
    <w:rsid w:val="0034699D"/>
    <w:rsid w:val="00346ADF"/>
    <w:rsid w:val="00346E08"/>
    <w:rsid w:val="00346ECC"/>
    <w:rsid w:val="00346EFA"/>
    <w:rsid w:val="00346FD5"/>
    <w:rsid w:val="00346FDA"/>
    <w:rsid w:val="00347009"/>
    <w:rsid w:val="0034708C"/>
    <w:rsid w:val="003470AF"/>
    <w:rsid w:val="0034754F"/>
    <w:rsid w:val="00347720"/>
    <w:rsid w:val="00347812"/>
    <w:rsid w:val="00347943"/>
    <w:rsid w:val="00347A30"/>
    <w:rsid w:val="00347ABA"/>
    <w:rsid w:val="00347B6C"/>
    <w:rsid w:val="00347BB4"/>
    <w:rsid w:val="00347C77"/>
    <w:rsid w:val="00347CD9"/>
    <w:rsid w:val="00347E14"/>
    <w:rsid w:val="00347E39"/>
    <w:rsid w:val="0035027D"/>
    <w:rsid w:val="003502AB"/>
    <w:rsid w:val="003503D9"/>
    <w:rsid w:val="003504B5"/>
    <w:rsid w:val="0035068B"/>
    <w:rsid w:val="00350704"/>
    <w:rsid w:val="00350934"/>
    <w:rsid w:val="00350F6F"/>
    <w:rsid w:val="00350F85"/>
    <w:rsid w:val="00351210"/>
    <w:rsid w:val="00351340"/>
    <w:rsid w:val="003513D2"/>
    <w:rsid w:val="00351678"/>
    <w:rsid w:val="00351748"/>
    <w:rsid w:val="0035192D"/>
    <w:rsid w:val="0035197D"/>
    <w:rsid w:val="00351996"/>
    <w:rsid w:val="003519D2"/>
    <w:rsid w:val="003519E3"/>
    <w:rsid w:val="00351A78"/>
    <w:rsid w:val="00351BAC"/>
    <w:rsid w:val="00351C31"/>
    <w:rsid w:val="00351C4A"/>
    <w:rsid w:val="00351F46"/>
    <w:rsid w:val="0035206E"/>
    <w:rsid w:val="003520D1"/>
    <w:rsid w:val="0035216E"/>
    <w:rsid w:val="003521A1"/>
    <w:rsid w:val="00352354"/>
    <w:rsid w:val="003525B0"/>
    <w:rsid w:val="003525F2"/>
    <w:rsid w:val="003528F9"/>
    <w:rsid w:val="00352929"/>
    <w:rsid w:val="003529DA"/>
    <w:rsid w:val="00352DE0"/>
    <w:rsid w:val="00352EAA"/>
    <w:rsid w:val="00352F48"/>
    <w:rsid w:val="0035312D"/>
    <w:rsid w:val="003533AF"/>
    <w:rsid w:val="0035346C"/>
    <w:rsid w:val="003535FE"/>
    <w:rsid w:val="0035365D"/>
    <w:rsid w:val="003536F6"/>
    <w:rsid w:val="00353792"/>
    <w:rsid w:val="00353850"/>
    <w:rsid w:val="00353899"/>
    <w:rsid w:val="003538A8"/>
    <w:rsid w:val="003538F9"/>
    <w:rsid w:val="003539EC"/>
    <w:rsid w:val="00353EEE"/>
    <w:rsid w:val="0035490E"/>
    <w:rsid w:val="003549B6"/>
    <w:rsid w:val="00354A2E"/>
    <w:rsid w:val="00354A7F"/>
    <w:rsid w:val="00354B99"/>
    <w:rsid w:val="00354CC2"/>
    <w:rsid w:val="00354CC3"/>
    <w:rsid w:val="00354D04"/>
    <w:rsid w:val="00354E48"/>
    <w:rsid w:val="0035501B"/>
    <w:rsid w:val="0035539D"/>
    <w:rsid w:val="003554E5"/>
    <w:rsid w:val="003555CE"/>
    <w:rsid w:val="00355826"/>
    <w:rsid w:val="003558F6"/>
    <w:rsid w:val="00355B32"/>
    <w:rsid w:val="00355DC1"/>
    <w:rsid w:val="00355E90"/>
    <w:rsid w:val="00355F35"/>
    <w:rsid w:val="00355F68"/>
    <w:rsid w:val="00356009"/>
    <w:rsid w:val="00356026"/>
    <w:rsid w:val="0035610A"/>
    <w:rsid w:val="003563B4"/>
    <w:rsid w:val="00356883"/>
    <w:rsid w:val="003568A6"/>
    <w:rsid w:val="003568CD"/>
    <w:rsid w:val="00356A79"/>
    <w:rsid w:val="00356AE5"/>
    <w:rsid w:val="00356AEC"/>
    <w:rsid w:val="00356C78"/>
    <w:rsid w:val="00356C7F"/>
    <w:rsid w:val="00356E3D"/>
    <w:rsid w:val="003570CD"/>
    <w:rsid w:val="003571DB"/>
    <w:rsid w:val="00357602"/>
    <w:rsid w:val="003577A9"/>
    <w:rsid w:val="00357A56"/>
    <w:rsid w:val="00357EBC"/>
    <w:rsid w:val="00357EE8"/>
    <w:rsid w:val="00360026"/>
    <w:rsid w:val="0036008D"/>
    <w:rsid w:val="00360111"/>
    <w:rsid w:val="003601AC"/>
    <w:rsid w:val="003601B8"/>
    <w:rsid w:val="00360696"/>
    <w:rsid w:val="00360905"/>
    <w:rsid w:val="003609B1"/>
    <w:rsid w:val="003609C1"/>
    <w:rsid w:val="00360A5C"/>
    <w:rsid w:val="00360B9A"/>
    <w:rsid w:val="00360D1B"/>
    <w:rsid w:val="00360FB6"/>
    <w:rsid w:val="0036126C"/>
    <w:rsid w:val="003612DF"/>
    <w:rsid w:val="00361332"/>
    <w:rsid w:val="003614A9"/>
    <w:rsid w:val="00361576"/>
    <w:rsid w:val="00361695"/>
    <w:rsid w:val="003617C1"/>
    <w:rsid w:val="00361853"/>
    <w:rsid w:val="00361BD0"/>
    <w:rsid w:val="00361C15"/>
    <w:rsid w:val="00361C28"/>
    <w:rsid w:val="00361EAA"/>
    <w:rsid w:val="00361ECA"/>
    <w:rsid w:val="00361FBC"/>
    <w:rsid w:val="0036200D"/>
    <w:rsid w:val="0036203A"/>
    <w:rsid w:val="00362148"/>
    <w:rsid w:val="00362204"/>
    <w:rsid w:val="00362282"/>
    <w:rsid w:val="00362315"/>
    <w:rsid w:val="0036237A"/>
    <w:rsid w:val="00362474"/>
    <w:rsid w:val="0036258B"/>
    <w:rsid w:val="003627B3"/>
    <w:rsid w:val="00362871"/>
    <w:rsid w:val="0036297C"/>
    <w:rsid w:val="003629BC"/>
    <w:rsid w:val="003629C0"/>
    <w:rsid w:val="00362A66"/>
    <w:rsid w:val="00362B19"/>
    <w:rsid w:val="00362B93"/>
    <w:rsid w:val="00362CB3"/>
    <w:rsid w:val="00362D0D"/>
    <w:rsid w:val="00362D29"/>
    <w:rsid w:val="00362DD3"/>
    <w:rsid w:val="00362F0A"/>
    <w:rsid w:val="003630D9"/>
    <w:rsid w:val="00363343"/>
    <w:rsid w:val="00363356"/>
    <w:rsid w:val="003637D2"/>
    <w:rsid w:val="00363826"/>
    <w:rsid w:val="003639CF"/>
    <w:rsid w:val="00363B8F"/>
    <w:rsid w:val="00363D7B"/>
    <w:rsid w:val="00363ED6"/>
    <w:rsid w:val="00363FF0"/>
    <w:rsid w:val="00364055"/>
    <w:rsid w:val="00364321"/>
    <w:rsid w:val="003644FE"/>
    <w:rsid w:val="00364559"/>
    <w:rsid w:val="0036480C"/>
    <w:rsid w:val="00364A60"/>
    <w:rsid w:val="00364AA0"/>
    <w:rsid w:val="00364B1F"/>
    <w:rsid w:val="00364B2B"/>
    <w:rsid w:val="00364C21"/>
    <w:rsid w:val="00364C4D"/>
    <w:rsid w:val="00364D85"/>
    <w:rsid w:val="00364E60"/>
    <w:rsid w:val="00364F5E"/>
    <w:rsid w:val="003650DC"/>
    <w:rsid w:val="003650EB"/>
    <w:rsid w:val="00365148"/>
    <w:rsid w:val="00365199"/>
    <w:rsid w:val="00365324"/>
    <w:rsid w:val="00365480"/>
    <w:rsid w:val="003655EA"/>
    <w:rsid w:val="00365805"/>
    <w:rsid w:val="00365A99"/>
    <w:rsid w:val="00365D1D"/>
    <w:rsid w:val="00365D3A"/>
    <w:rsid w:val="00365E91"/>
    <w:rsid w:val="00365EB2"/>
    <w:rsid w:val="00365F31"/>
    <w:rsid w:val="003660A6"/>
    <w:rsid w:val="003662F5"/>
    <w:rsid w:val="00366559"/>
    <w:rsid w:val="00366577"/>
    <w:rsid w:val="0036659C"/>
    <w:rsid w:val="00366708"/>
    <w:rsid w:val="003667A5"/>
    <w:rsid w:val="00366957"/>
    <w:rsid w:val="00366DD1"/>
    <w:rsid w:val="00366E1B"/>
    <w:rsid w:val="00366EAB"/>
    <w:rsid w:val="00367104"/>
    <w:rsid w:val="00367293"/>
    <w:rsid w:val="003672CA"/>
    <w:rsid w:val="0036747C"/>
    <w:rsid w:val="0036774C"/>
    <w:rsid w:val="003678D3"/>
    <w:rsid w:val="00367BFA"/>
    <w:rsid w:val="00367D2B"/>
    <w:rsid w:val="00367E28"/>
    <w:rsid w:val="00367E7D"/>
    <w:rsid w:val="00367ECD"/>
    <w:rsid w:val="00367FB7"/>
    <w:rsid w:val="00370000"/>
    <w:rsid w:val="00370319"/>
    <w:rsid w:val="00370340"/>
    <w:rsid w:val="003703C6"/>
    <w:rsid w:val="003704B6"/>
    <w:rsid w:val="003704E0"/>
    <w:rsid w:val="0037071D"/>
    <w:rsid w:val="003708C2"/>
    <w:rsid w:val="00370A98"/>
    <w:rsid w:val="00370C5B"/>
    <w:rsid w:val="00370CA1"/>
    <w:rsid w:val="00370DDE"/>
    <w:rsid w:val="003711FF"/>
    <w:rsid w:val="003713EA"/>
    <w:rsid w:val="00371427"/>
    <w:rsid w:val="003714D9"/>
    <w:rsid w:val="0037167F"/>
    <w:rsid w:val="00371D8A"/>
    <w:rsid w:val="00371DA5"/>
    <w:rsid w:val="00371EEB"/>
    <w:rsid w:val="003721C7"/>
    <w:rsid w:val="003723ED"/>
    <w:rsid w:val="0037248F"/>
    <w:rsid w:val="003727CD"/>
    <w:rsid w:val="00372946"/>
    <w:rsid w:val="003729C9"/>
    <w:rsid w:val="00372A39"/>
    <w:rsid w:val="00372A7F"/>
    <w:rsid w:val="00372B39"/>
    <w:rsid w:val="00372B56"/>
    <w:rsid w:val="00372B63"/>
    <w:rsid w:val="00372D11"/>
    <w:rsid w:val="00372D4C"/>
    <w:rsid w:val="00372DF7"/>
    <w:rsid w:val="00372E04"/>
    <w:rsid w:val="00372E5F"/>
    <w:rsid w:val="00372F6C"/>
    <w:rsid w:val="003731E8"/>
    <w:rsid w:val="00373434"/>
    <w:rsid w:val="003734B9"/>
    <w:rsid w:val="003734CC"/>
    <w:rsid w:val="003735E1"/>
    <w:rsid w:val="00373627"/>
    <w:rsid w:val="00373920"/>
    <w:rsid w:val="0037392E"/>
    <w:rsid w:val="00373A11"/>
    <w:rsid w:val="00373A83"/>
    <w:rsid w:val="00373BB1"/>
    <w:rsid w:val="00373FF7"/>
    <w:rsid w:val="0037421C"/>
    <w:rsid w:val="003742F9"/>
    <w:rsid w:val="00374360"/>
    <w:rsid w:val="003744DC"/>
    <w:rsid w:val="003746D7"/>
    <w:rsid w:val="003747E4"/>
    <w:rsid w:val="00374896"/>
    <w:rsid w:val="003748D3"/>
    <w:rsid w:val="00374AAD"/>
    <w:rsid w:val="00374AB9"/>
    <w:rsid w:val="00374B0E"/>
    <w:rsid w:val="00374DEE"/>
    <w:rsid w:val="00374ED8"/>
    <w:rsid w:val="00374EFE"/>
    <w:rsid w:val="00374F23"/>
    <w:rsid w:val="00374F48"/>
    <w:rsid w:val="00374FD1"/>
    <w:rsid w:val="00375041"/>
    <w:rsid w:val="00375064"/>
    <w:rsid w:val="003750C4"/>
    <w:rsid w:val="003750D6"/>
    <w:rsid w:val="003750EE"/>
    <w:rsid w:val="0037514B"/>
    <w:rsid w:val="00375156"/>
    <w:rsid w:val="00375311"/>
    <w:rsid w:val="00375367"/>
    <w:rsid w:val="003753F7"/>
    <w:rsid w:val="003754F1"/>
    <w:rsid w:val="003755BE"/>
    <w:rsid w:val="003756A1"/>
    <w:rsid w:val="00375715"/>
    <w:rsid w:val="00375716"/>
    <w:rsid w:val="0037595E"/>
    <w:rsid w:val="00375A74"/>
    <w:rsid w:val="00375B08"/>
    <w:rsid w:val="00375C7A"/>
    <w:rsid w:val="00375DE3"/>
    <w:rsid w:val="00375E32"/>
    <w:rsid w:val="00375E7D"/>
    <w:rsid w:val="00375EC2"/>
    <w:rsid w:val="00375F61"/>
    <w:rsid w:val="00376046"/>
    <w:rsid w:val="003760BA"/>
    <w:rsid w:val="00376113"/>
    <w:rsid w:val="003763C4"/>
    <w:rsid w:val="00376695"/>
    <w:rsid w:val="003768ED"/>
    <w:rsid w:val="00376A76"/>
    <w:rsid w:val="00376AD3"/>
    <w:rsid w:val="00376B31"/>
    <w:rsid w:val="00376B9F"/>
    <w:rsid w:val="00376D49"/>
    <w:rsid w:val="00376F67"/>
    <w:rsid w:val="00376FAE"/>
    <w:rsid w:val="003771F2"/>
    <w:rsid w:val="00377234"/>
    <w:rsid w:val="0037727C"/>
    <w:rsid w:val="00377579"/>
    <w:rsid w:val="003777DD"/>
    <w:rsid w:val="003777E6"/>
    <w:rsid w:val="00377B57"/>
    <w:rsid w:val="00377B85"/>
    <w:rsid w:val="00377F8E"/>
    <w:rsid w:val="00377FA2"/>
    <w:rsid w:val="00377FD6"/>
    <w:rsid w:val="00380046"/>
    <w:rsid w:val="003802A1"/>
    <w:rsid w:val="003803CA"/>
    <w:rsid w:val="00380438"/>
    <w:rsid w:val="0038051D"/>
    <w:rsid w:val="00380617"/>
    <w:rsid w:val="0038070D"/>
    <w:rsid w:val="00380877"/>
    <w:rsid w:val="0038097D"/>
    <w:rsid w:val="00380BE1"/>
    <w:rsid w:val="00380CDD"/>
    <w:rsid w:val="00380E10"/>
    <w:rsid w:val="00380E3A"/>
    <w:rsid w:val="00380E51"/>
    <w:rsid w:val="003810C6"/>
    <w:rsid w:val="0038125A"/>
    <w:rsid w:val="003812BF"/>
    <w:rsid w:val="00381371"/>
    <w:rsid w:val="00381432"/>
    <w:rsid w:val="003815E6"/>
    <w:rsid w:val="0038190D"/>
    <w:rsid w:val="00381A40"/>
    <w:rsid w:val="00381ECE"/>
    <w:rsid w:val="00382009"/>
    <w:rsid w:val="003820C0"/>
    <w:rsid w:val="00382295"/>
    <w:rsid w:val="003822B1"/>
    <w:rsid w:val="003824AA"/>
    <w:rsid w:val="0038275D"/>
    <w:rsid w:val="00382815"/>
    <w:rsid w:val="00382A1D"/>
    <w:rsid w:val="00382C53"/>
    <w:rsid w:val="003830F4"/>
    <w:rsid w:val="00383380"/>
    <w:rsid w:val="0038344D"/>
    <w:rsid w:val="00383454"/>
    <w:rsid w:val="003834FC"/>
    <w:rsid w:val="00383505"/>
    <w:rsid w:val="00383601"/>
    <w:rsid w:val="00383A43"/>
    <w:rsid w:val="00383B29"/>
    <w:rsid w:val="00383D0E"/>
    <w:rsid w:val="00383DE2"/>
    <w:rsid w:val="00383FF6"/>
    <w:rsid w:val="003840DC"/>
    <w:rsid w:val="00384340"/>
    <w:rsid w:val="00384347"/>
    <w:rsid w:val="00384398"/>
    <w:rsid w:val="003845BB"/>
    <w:rsid w:val="00384768"/>
    <w:rsid w:val="00384ABC"/>
    <w:rsid w:val="00384ADF"/>
    <w:rsid w:val="00384BF7"/>
    <w:rsid w:val="00384E79"/>
    <w:rsid w:val="003850D4"/>
    <w:rsid w:val="0038519F"/>
    <w:rsid w:val="0038524B"/>
    <w:rsid w:val="003852C3"/>
    <w:rsid w:val="003852D8"/>
    <w:rsid w:val="0038539E"/>
    <w:rsid w:val="00385417"/>
    <w:rsid w:val="00385464"/>
    <w:rsid w:val="0038559E"/>
    <w:rsid w:val="003855A4"/>
    <w:rsid w:val="00385689"/>
    <w:rsid w:val="00385725"/>
    <w:rsid w:val="00385748"/>
    <w:rsid w:val="003857F0"/>
    <w:rsid w:val="00385994"/>
    <w:rsid w:val="003859FE"/>
    <w:rsid w:val="00385A62"/>
    <w:rsid w:val="00385DE2"/>
    <w:rsid w:val="00385EBE"/>
    <w:rsid w:val="00385EFF"/>
    <w:rsid w:val="00385F5B"/>
    <w:rsid w:val="00385F8E"/>
    <w:rsid w:val="0038600B"/>
    <w:rsid w:val="003864BB"/>
    <w:rsid w:val="003864BF"/>
    <w:rsid w:val="00386956"/>
    <w:rsid w:val="00386AB8"/>
    <w:rsid w:val="00386E40"/>
    <w:rsid w:val="00386E8E"/>
    <w:rsid w:val="00386F46"/>
    <w:rsid w:val="0038716E"/>
    <w:rsid w:val="00387193"/>
    <w:rsid w:val="003872CE"/>
    <w:rsid w:val="003873E0"/>
    <w:rsid w:val="00387A3B"/>
    <w:rsid w:val="00387C60"/>
    <w:rsid w:val="00387EF9"/>
    <w:rsid w:val="00387F9D"/>
    <w:rsid w:val="0039007B"/>
    <w:rsid w:val="003903E6"/>
    <w:rsid w:val="003904CE"/>
    <w:rsid w:val="00390A45"/>
    <w:rsid w:val="00390AB5"/>
    <w:rsid w:val="00390C99"/>
    <w:rsid w:val="00391048"/>
    <w:rsid w:val="003910B0"/>
    <w:rsid w:val="0039158A"/>
    <w:rsid w:val="003918C3"/>
    <w:rsid w:val="00391A30"/>
    <w:rsid w:val="00391B5C"/>
    <w:rsid w:val="00391B9C"/>
    <w:rsid w:val="00391DC0"/>
    <w:rsid w:val="00391E24"/>
    <w:rsid w:val="00391F0E"/>
    <w:rsid w:val="0039204C"/>
    <w:rsid w:val="00392103"/>
    <w:rsid w:val="003922C4"/>
    <w:rsid w:val="003922E3"/>
    <w:rsid w:val="00392350"/>
    <w:rsid w:val="0039251A"/>
    <w:rsid w:val="0039253C"/>
    <w:rsid w:val="003928C9"/>
    <w:rsid w:val="00392971"/>
    <w:rsid w:val="00392997"/>
    <w:rsid w:val="00392B21"/>
    <w:rsid w:val="00392B75"/>
    <w:rsid w:val="00392F21"/>
    <w:rsid w:val="0039316A"/>
    <w:rsid w:val="0039351C"/>
    <w:rsid w:val="003935EF"/>
    <w:rsid w:val="003936B7"/>
    <w:rsid w:val="003936F9"/>
    <w:rsid w:val="0039373C"/>
    <w:rsid w:val="0039395A"/>
    <w:rsid w:val="0039399D"/>
    <w:rsid w:val="003939D2"/>
    <w:rsid w:val="00393A64"/>
    <w:rsid w:val="00393AF2"/>
    <w:rsid w:val="00393B75"/>
    <w:rsid w:val="00393E93"/>
    <w:rsid w:val="00393F21"/>
    <w:rsid w:val="00393FAA"/>
    <w:rsid w:val="0039415F"/>
    <w:rsid w:val="0039447C"/>
    <w:rsid w:val="0039448F"/>
    <w:rsid w:val="003945AF"/>
    <w:rsid w:val="003945F4"/>
    <w:rsid w:val="0039464F"/>
    <w:rsid w:val="0039477E"/>
    <w:rsid w:val="00394849"/>
    <w:rsid w:val="00394882"/>
    <w:rsid w:val="003948CC"/>
    <w:rsid w:val="00394BFB"/>
    <w:rsid w:val="00394D02"/>
    <w:rsid w:val="00394F54"/>
    <w:rsid w:val="00394F9B"/>
    <w:rsid w:val="00395062"/>
    <w:rsid w:val="0039509E"/>
    <w:rsid w:val="00395136"/>
    <w:rsid w:val="00395319"/>
    <w:rsid w:val="003954A4"/>
    <w:rsid w:val="003955F3"/>
    <w:rsid w:val="00395759"/>
    <w:rsid w:val="00395907"/>
    <w:rsid w:val="0039596D"/>
    <w:rsid w:val="00395B7A"/>
    <w:rsid w:val="00395CA1"/>
    <w:rsid w:val="00395EE9"/>
    <w:rsid w:val="003961AB"/>
    <w:rsid w:val="00396223"/>
    <w:rsid w:val="00396588"/>
    <w:rsid w:val="0039666D"/>
    <w:rsid w:val="0039688A"/>
    <w:rsid w:val="0039699F"/>
    <w:rsid w:val="00396B10"/>
    <w:rsid w:val="00396D03"/>
    <w:rsid w:val="00396DB5"/>
    <w:rsid w:val="00396EE0"/>
    <w:rsid w:val="00396F0D"/>
    <w:rsid w:val="003972DF"/>
    <w:rsid w:val="003973AE"/>
    <w:rsid w:val="0039752F"/>
    <w:rsid w:val="003975FB"/>
    <w:rsid w:val="003976DD"/>
    <w:rsid w:val="00397928"/>
    <w:rsid w:val="00397986"/>
    <w:rsid w:val="00397A06"/>
    <w:rsid w:val="00397AB3"/>
    <w:rsid w:val="00397C38"/>
    <w:rsid w:val="003A03A4"/>
    <w:rsid w:val="003A046D"/>
    <w:rsid w:val="003A0492"/>
    <w:rsid w:val="003A0556"/>
    <w:rsid w:val="003A063E"/>
    <w:rsid w:val="003A0A6B"/>
    <w:rsid w:val="003A0C7C"/>
    <w:rsid w:val="003A0D0D"/>
    <w:rsid w:val="003A0DF9"/>
    <w:rsid w:val="003A0EAC"/>
    <w:rsid w:val="003A0EC5"/>
    <w:rsid w:val="003A11CA"/>
    <w:rsid w:val="003A1293"/>
    <w:rsid w:val="003A1457"/>
    <w:rsid w:val="003A1569"/>
    <w:rsid w:val="003A165D"/>
    <w:rsid w:val="003A1692"/>
    <w:rsid w:val="003A181E"/>
    <w:rsid w:val="003A1A89"/>
    <w:rsid w:val="003A1CF3"/>
    <w:rsid w:val="003A21D3"/>
    <w:rsid w:val="003A22B7"/>
    <w:rsid w:val="003A230C"/>
    <w:rsid w:val="003A24D3"/>
    <w:rsid w:val="003A2643"/>
    <w:rsid w:val="003A28FD"/>
    <w:rsid w:val="003A2A1D"/>
    <w:rsid w:val="003A2BFF"/>
    <w:rsid w:val="003A2C2E"/>
    <w:rsid w:val="003A2D66"/>
    <w:rsid w:val="003A2D80"/>
    <w:rsid w:val="003A2E73"/>
    <w:rsid w:val="003A2FE3"/>
    <w:rsid w:val="003A31A6"/>
    <w:rsid w:val="003A3301"/>
    <w:rsid w:val="003A3346"/>
    <w:rsid w:val="003A341C"/>
    <w:rsid w:val="003A34BE"/>
    <w:rsid w:val="003A3507"/>
    <w:rsid w:val="003A357E"/>
    <w:rsid w:val="003A3842"/>
    <w:rsid w:val="003A395D"/>
    <w:rsid w:val="003A3A3E"/>
    <w:rsid w:val="003A3ACA"/>
    <w:rsid w:val="003A3AE8"/>
    <w:rsid w:val="003A3BED"/>
    <w:rsid w:val="003A3D33"/>
    <w:rsid w:val="003A3D8A"/>
    <w:rsid w:val="003A3E80"/>
    <w:rsid w:val="003A3EB7"/>
    <w:rsid w:val="003A3EBC"/>
    <w:rsid w:val="003A3EE6"/>
    <w:rsid w:val="003A3F2F"/>
    <w:rsid w:val="003A414F"/>
    <w:rsid w:val="003A43F8"/>
    <w:rsid w:val="003A4468"/>
    <w:rsid w:val="003A4545"/>
    <w:rsid w:val="003A455C"/>
    <w:rsid w:val="003A4655"/>
    <w:rsid w:val="003A4666"/>
    <w:rsid w:val="003A4688"/>
    <w:rsid w:val="003A46C4"/>
    <w:rsid w:val="003A46EC"/>
    <w:rsid w:val="003A47C4"/>
    <w:rsid w:val="003A4DA5"/>
    <w:rsid w:val="003A5095"/>
    <w:rsid w:val="003A530A"/>
    <w:rsid w:val="003A538F"/>
    <w:rsid w:val="003A55DD"/>
    <w:rsid w:val="003A5639"/>
    <w:rsid w:val="003A5772"/>
    <w:rsid w:val="003A59C6"/>
    <w:rsid w:val="003A5A77"/>
    <w:rsid w:val="003A5E85"/>
    <w:rsid w:val="003A5EC2"/>
    <w:rsid w:val="003A5FE8"/>
    <w:rsid w:val="003A607D"/>
    <w:rsid w:val="003A61F9"/>
    <w:rsid w:val="003A6283"/>
    <w:rsid w:val="003A63CB"/>
    <w:rsid w:val="003A63CF"/>
    <w:rsid w:val="003A6497"/>
    <w:rsid w:val="003A649E"/>
    <w:rsid w:val="003A659E"/>
    <w:rsid w:val="003A6609"/>
    <w:rsid w:val="003A66E1"/>
    <w:rsid w:val="003A6DF9"/>
    <w:rsid w:val="003A6E7A"/>
    <w:rsid w:val="003A6F34"/>
    <w:rsid w:val="003A6FD5"/>
    <w:rsid w:val="003A6FED"/>
    <w:rsid w:val="003A716A"/>
    <w:rsid w:val="003A71EA"/>
    <w:rsid w:val="003A72E8"/>
    <w:rsid w:val="003A7302"/>
    <w:rsid w:val="003A773D"/>
    <w:rsid w:val="003A77EA"/>
    <w:rsid w:val="003A7901"/>
    <w:rsid w:val="003A795D"/>
    <w:rsid w:val="003A7AFC"/>
    <w:rsid w:val="003A7CF5"/>
    <w:rsid w:val="003A7D00"/>
    <w:rsid w:val="003A7D99"/>
    <w:rsid w:val="003A7E54"/>
    <w:rsid w:val="003A7E6D"/>
    <w:rsid w:val="003B0094"/>
    <w:rsid w:val="003B01B4"/>
    <w:rsid w:val="003B02D3"/>
    <w:rsid w:val="003B03FD"/>
    <w:rsid w:val="003B0A0A"/>
    <w:rsid w:val="003B0AFA"/>
    <w:rsid w:val="003B0B59"/>
    <w:rsid w:val="003B0B82"/>
    <w:rsid w:val="003B0B8E"/>
    <w:rsid w:val="003B0D55"/>
    <w:rsid w:val="003B0EE7"/>
    <w:rsid w:val="003B0F6F"/>
    <w:rsid w:val="003B0FCB"/>
    <w:rsid w:val="003B1122"/>
    <w:rsid w:val="003B1181"/>
    <w:rsid w:val="003B153F"/>
    <w:rsid w:val="003B1590"/>
    <w:rsid w:val="003B15C2"/>
    <w:rsid w:val="003B163F"/>
    <w:rsid w:val="003B181D"/>
    <w:rsid w:val="003B19EF"/>
    <w:rsid w:val="003B1A18"/>
    <w:rsid w:val="003B1CE2"/>
    <w:rsid w:val="003B1CFB"/>
    <w:rsid w:val="003B1D62"/>
    <w:rsid w:val="003B1D81"/>
    <w:rsid w:val="003B1E71"/>
    <w:rsid w:val="003B24B9"/>
    <w:rsid w:val="003B2546"/>
    <w:rsid w:val="003B28B1"/>
    <w:rsid w:val="003B2922"/>
    <w:rsid w:val="003B2946"/>
    <w:rsid w:val="003B2B3D"/>
    <w:rsid w:val="003B2C31"/>
    <w:rsid w:val="003B2C3D"/>
    <w:rsid w:val="003B2E0D"/>
    <w:rsid w:val="003B2E9A"/>
    <w:rsid w:val="003B2F4B"/>
    <w:rsid w:val="003B2F5E"/>
    <w:rsid w:val="003B2F74"/>
    <w:rsid w:val="003B2FBE"/>
    <w:rsid w:val="003B32CB"/>
    <w:rsid w:val="003B332E"/>
    <w:rsid w:val="003B34FA"/>
    <w:rsid w:val="003B35D8"/>
    <w:rsid w:val="003B370A"/>
    <w:rsid w:val="003B38E3"/>
    <w:rsid w:val="003B3970"/>
    <w:rsid w:val="003B3A12"/>
    <w:rsid w:val="003B3B0A"/>
    <w:rsid w:val="003B3DE3"/>
    <w:rsid w:val="003B3FDC"/>
    <w:rsid w:val="003B4020"/>
    <w:rsid w:val="003B418E"/>
    <w:rsid w:val="003B443D"/>
    <w:rsid w:val="003B448C"/>
    <w:rsid w:val="003B4750"/>
    <w:rsid w:val="003B4756"/>
    <w:rsid w:val="003B47A9"/>
    <w:rsid w:val="003B47AE"/>
    <w:rsid w:val="003B4837"/>
    <w:rsid w:val="003B4A6B"/>
    <w:rsid w:val="003B4AC8"/>
    <w:rsid w:val="003B4B5E"/>
    <w:rsid w:val="003B4D9D"/>
    <w:rsid w:val="003B4E86"/>
    <w:rsid w:val="003B5141"/>
    <w:rsid w:val="003B533B"/>
    <w:rsid w:val="003B53BD"/>
    <w:rsid w:val="003B53F3"/>
    <w:rsid w:val="003B554B"/>
    <w:rsid w:val="003B55C2"/>
    <w:rsid w:val="003B55CB"/>
    <w:rsid w:val="003B571A"/>
    <w:rsid w:val="003B5733"/>
    <w:rsid w:val="003B59B4"/>
    <w:rsid w:val="003B59D6"/>
    <w:rsid w:val="003B59E8"/>
    <w:rsid w:val="003B5A1C"/>
    <w:rsid w:val="003B5AA1"/>
    <w:rsid w:val="003B5BE0"/>
    <w:rsid w:val="003B606F"/>
    <w:rsid w:val="003B60F9"/>
    <w:rsid w:val="003B611D"/>
    <w:rsid w:val="003B612A"/>
    <w:rsid w:val="003B6354"/>
    <w:rsid w:val="003B6385"/>
    <w:rsid w:val="003B647C"/>
    <w:rsid w:val="003B64AB"/>
    <w:rsid w:val="003B6743"/>
    <w:rsid w:val="003B6A13"/>
    <w:rsid w:val="003B6BE8"/>
    <w:rsid w:val="003B6D8B"/>
    <w:rsid w:val="003B6EE6"/>
    <w:rsid w:val="003B6F3A"/>
    <w:rsid w:val="003B6FC3"/>
    <w:rsid w:val="003B71A1"/>
    <w:rsid w:val="003B74BE"/>
    <w:rsid w:val="003B75ED"/>
    <w:rsid w:val="003B7764"/>
    <w:rsid w:val="003B7771"/>
    <w:rsid w:val="003B781C"/>
    <w:rsid w:val="003B7AD3"/>
    <w:rsid w:val="003B7C90"/>
    <w:rsid w:val="003C006D"/>
    <w:rsid w:val="003C00C8"/>
    <w:rsid w:val="003C011B"/>
    <w:rsid w:val="003C0510"/>
    <w:rsid w:val="003C054B"/>
    <w:rsid w:val="003C0958"/>
    <w:rsid w:val="003C0AAD"/>
    <w:rsid w:val="003C0B0B"/>
    <w:rsid w:val="003C0CC6"/>
    <w:rsid w:val="003C0D6E"/>
    <w:rsid w:val="003C0EB8"/>
    <w:rsid w:val="003C0EDB"/>
    <w:rsid w:val="003C0F6A"/>
    <w:rsid w:val="003C105C"/>
    <w:rsid w:val="003C10E4"/>
    <w:rsid w:val="003C12DD"/>
    <w:rsid w:val="003C1398"/>
    <w:rsid w:val="003C1422"/>
    <w:rsid w:val="003C1801"/>
    <w:rsid w:val="003C1822"/>
    <w:rsid w:val="003C182E"/>
    <w:rsid w:val="003C184F"/>
    <w:rsid w:val="003C186D"/>
    <w:rsid w:val="003C1C33"/>
    <w:rsid w:val="003C1C84"/>
    <w:rsid w:val="003C1F37"/>
    <w:rsid w:val="003C1F69"/>
    <w:rsid w:val="003C202D"/>
    <w:rsid w:val="003C22A3"/>
    <w:rsid w:val="003C24A7"/>
    <w:rsid w:val="003C2571"/>
    <w:rsid w:val="003C2588"/>
    <w:rsid w:val="003C258E"/>
    <w:rsid w:val="003C25F9"/>
    <w:rsid w:val="003C271B"/>
    <w:rsid w:val="003C2746"/>
    <w:rsid w:val="003C276D"/>
    <w:rsid w:val="003C285F"/>
    <w:rsid w:val="003C2984"/>
    <w:rsid w:val="003C2AB5"/>
    <w:rsid w:val="003C2B39"/>
    <w:rsid w:val="003C2BDA"/>
    <w:rsid w:val="003C2BFA"/>
    <w:rsid w:val="003C2C0D"/>
    <w:rsid w:val="003C2C66"/>
    <w:rsid w:val="003C2CE6"/>
    <w:rsid w:val="003C2D6B"/>
    <w:rsid w:val="003C2DEE"/>
    <w:rsid w:val="003C2E2C"/>
    <w:rsid w:val="003C2F8B"/>
    <w:rsid w:val="003C300B"/>
    <w:rsid w:val="003C337B"/>
    <w:rsid w:val="003C3535"/>
    <w:rsid w:val="003C3541"/>
    <w:rsid w:val="003C3710"/>
    <w:rsid w:val="003C38CC"/>
    <w:rsid w:val="003C3B57"/>
    <w:rsid w:val="003C3D51"/>
    <w:rsid w:val="003C3F10"/>
    <w:rsid w:val="003C3F61"/>
    <w:rsid w:val="003C4044"/>
    <w:rsid w:val="003C4206"/>
    <w:rsid w:val="003C4232"/>
    <w:rsid w:val="003C44BA"/>
    <w:rsid w:val="003C46CF"/>
    <w:rsid w:val="003C46D7"/>
    <w:rsid w:val="003C4721"/>
    <w:rsid w:val="003C4799"/>
    <w:rsid w:val="003C4986"/>
    <w:rsid w:val="003C4DC5"/>
    <w:rsid w:val="003C4DE1"/>
    <w:rsid w:val="003C4E0B"/>
    <w:rsid w:val="003C5144"/>
    <w:rsid w:val="003C54B8"/>
    <w:rsid w:val="003C57B8"/>
    <w:rsid w:val="003C57ED"/>
    <w:rsid w:val="003C58AD"/>
    <w:rsid w:val="003C58FA"/>
    <w:rsid w:val="003C59A6"/>
    <w:rsid w:val="003C59E5"/>
    <w:rsid w:val="003C5A2B"/>
    <w:rsid w:val="003C5AEE"/>
    <w:rsid w:val="003C5CD3"/>
    <w:rsid w:val="003C5CD8"/>
    <w:rsid w:val="003C5CEE"/>
    <w:rsid w:val="003C5E00"/>
    <w:rsid w:val="003C5F60"/>
    <w:rsid w:val="003C5FBF"/>
    <w:rsid w:val="003C6037"/>
    <w:rsid w:val="003C60EC"/>
    <w:rsid w:val="003C61D9"/>
    <w:rsid w:val="003C624D"/>
    <w:rsid w:val="003C6560"/>
    <w:rsid w:val="003C6749"/>
    <w:rsid w:val="003C67A4"/>
    <w:rsid w:val="003C6A21"/>
    <w:rsid w:val="003C6A8F"/>
    <w:rsid w:val="003C6BF2"/>
    <w:rsid w:val="003C6E75"/>
    <w:rsid w:val="003C70C3"/>
    <w:rsid w:val="003C7142"/>
    <w:rsid w:val="003C734B"/>
    <w:rsid w:val="003C7393"/>
    <w:rsid w:val="003C75D1"/>
    <w:rsid w:val="003C7611"/>
    <w:rsid w:val="003C77E3"/>
    <w:rsid w:val="003C7A19"/>
    <w:rsid w:val="003C7B3D"/>
    <w:rsid w:val="003C7B7E"/>
    <w:rsid w:val="003C7C1A"/>
    <w:rsid w:val="003C7D07"/>
    <w:rsid w:val="003C7D1B"/>
    <w:rsid w:val="003C7E3F"/>
    <w:rsid w:val="003C7EE7"/>
    <w:rsid w:val="003C7F94"/>
    <w:rsid w:val="003C7FDA"/>
    <w:rsid w:val="003D0215"/>
    <w:rsid w:val="003D0290"/>
    <w:rsid w:val="003D0514"/>
    <w:rsid w:val="003D0652"/>
    <w:rsid w:val="003D0C8F"/>
    <w:rsid w:val="003D0D06"/>
    <w:rsid w:val="003D0D56"/>
    <w:rsid w:val="003D0E72"/>
    <w:rsid w:val="003D0ED4"/>
    <w:rsid w:val="003D0F17"/>
    <w:rsid w:val="003D0F63"/>
    <w:rsid w:val="003D0F99"/>
    <w:rsid w:val="003D107C"/>
    <w:rsid w:val="003D10FF"/>
    <w:rsid w:val="003D1180"/>
    <w:rsid w:val="003D1221"/>
    <w:rsid w:val="003D12F7"/>
    <w:rsid w:val="003D1586"/>
    <w:rsid w:val="003D1765"/>
    <w:rsid w:val="003D1B2F"/>
    <w:rsid w:val="003D1B95"/>
    <w:rsid w:val="003D1BF3"/>
    <w:rsid w:val="003D1CAE"/>
    <w:rsid w:val="003D1E3A"/>
    <w:rsid w:val="003D1EF1"/>
    <w:rsid w:val="003D1FB3"/>
    <w:rsid w:val="003D207A"/>
    <w:rsid w:val="003D2142"/>
    <w:rsid w:val="003D2210"/>
    <w:rsid w:val="003D2489"/>
    <w:rsid w:val="003D24C5"/>
    <w:rsid w:val="003D2616"/>
    <w:rsid w:val="003D2825"/>
    <w:rsid w:val="003D28B4"/>
    <w:rsid w:val="003D2945"/>
    <w:rsid w:val="003D2B12"/>
    <w:rsid w:val="003D2BE8"/>
    <w:rsid w:val="003D2CE8"/>
    <w:rsid w:val="003D2D3F"/>
    <w:rsid w:val="003D3024"/>
    <w:rsid w:val="003D31C7"/>
    <w:rsid w:val="003D3221"/>
    <w:rsid w:val="003D3492"/>
    <w:rsid w:val="003D3524"/>
    <w:rsid w:val="003D35E5"/>
    <w:rsid w:val="003D365F"/>
    <w:rsid w:val="003D387B"/>
    <w:rsid w:val="003D3BAE"/>
    <w:rsid w:val="003D3BF3"/>
    <w:rsid w:val="003D4029"/>
    <w:rsid w:val="003D405D"/>
    <w:rsid w:val="003D4263"/>
    <w:rsid w:val="003D4349"/>
    <w:rsid w:val="003D4478"/>
    <w:rsid w:val="003D44EC"/>
    <w:rsid w:val="003D472F"/>
    <w:rsid w:val="003D49FC"/>
    <w:rsid w:val="003D4A47"/>
    <w:rsid w:val="003D4B73"/>
    <w:rsid w:val="003D4EDE"/>
    <w:rsid w:val="003D4EE3"/>
    <w:rsid w:val="003D4F8B"/>
    <w:rsid w:val="003D4FF8"/>
    <w:rsid w:val="003D5307"/>
    <w:rsid w:val="003D535E"/>
    <w:rsid w:val="003D54B6"/>
    <w:rsid w:val="003D5628"/>
    <w:rsid w:val="003D5858"/>
    <w:rsid w:val="003D5874"/>
    <w:rsid w:val="003D5902"/>
    <w:rsid w:val="003D5ABF"/>
    <w:rsid w:val="003D5B8C"/>
    <w:rsid w:val="003D5C16"/>
    <w:rsid w:val="003D609E"/>
    <w:rsid w:val="003D61D5"/>
    <w:rsid w:val="003D6694"/>
    <w:rsid w:val="003D66C9"/>
    <w:rsid w:val="003D68AD"/>
    <w:rsid w:val="003D6BF8"/>
    <w:rsid w:val="003D6BFF"/>
    <w:rsid w:val="003D6CAE"/>
    <w:rsid w:val="003D6E1D"/>
    <w:rsid w:val="003D6E6D"/>
    <w:rsid w:val="003D70B4"/>
    <w:rsid w:val="003D70C8"/>
    <w:rsid w:val="003D721A"/>
    <w:rsid w:val="003D728D"/>
    <w:rsid w:val="003D7379"/>
    <w:rsid w:val="003D7678"/>
    <w:rsid w:val="003D76A1"/>
    <w:rsid w:val="003D777C"/>
    <w:rsid w:val="003D7927"/>
    <w:rsid w:val="003D7C3B"/>
    <w:rsid w:val="003D7FA9"/>
    <w:rsid w:val="003E025C"/>
    <w:rsid w:val="003E02D9"/>
    <w:rsid w:val="003E0350"/>
    <w:rsid w:val="003E044B"/>
    <w:rsid w:val="003E064C"/>
    <w:rsid w:val="003E06F6"/>
    <w:rsid w:val="003E07D5"/>
    <w:rsid w:val="003E0A12"/>
    <w:rsid w:val="003E0A71"/>
    <w:rsid w:val="003E0BB4"/>
    <w:rsid w:val="003E0F7F"/>
    <w:rsid w:val="003E1055"/>
    <w:rsid w:val="003E107D"/>
    <w:rsid w:val="003E1303"/>
    <w:rsid w:val="003E136A"/>
    <w:rsid w:val="003E16A6"/>
    <w:rsid w:val="003E179F"/>
    <w:rsid w:val="003E1808"/>
    <w:rsid w:val="003E180A"/>
    <w:rsid w:val="003E189F"/>
    <w:rsid w:val="003E1A15"/>
    <w:rsid w:val="003E1A6E"/>
    <w:rsid w:val="003E1AF7"/>
    <w:rsid w:val="003E1BAD"/>
    <w:rsid w:val="003E1E9E"/>
    <w:rsid w:val="003E1ECF"/>
    <w:rsid w:val="003E2180"/>
    <w:rsid w:val="003E2391"/>
    <w:rsid w:val="003E242A"/>
    <w:rsid w:val="003E243A"/>
    <w:rsid w:val="003E26E7"/>
    <w:rsid w:val="003E271F"/>
    <w:rsid w:val="003E277B"/>
    <w:rsid w:val="003E2AC3"/>
    <w:rsid w:val="003E2BC9"/>
    <w:rsid w:val="003E2D4F"/>
    <w:rsid w:val="003E2D6E"/>
    <w:rsid w:val="003E2E1C"/>
    <w:rsid w:val="003E2E4E"/>
    <w:rsid w:val="003E3014"/>
    <w:rsid w:val="003E318F"/>
    <w:rsid w:val="003E329B"/>
    <w:rsid w:val="003E32AE"/>
    <w:rsid w:val="003E334C"/>
    <w:rsid w:val="003E33C7"/>
    <w:rsid w:val="003E3546"/>
    <w:rsid w:val="003E381D"/>
    <w:rsid w:val="003E3977"/>
    <w:rsid w:val="003E3CAF"/>
    <w:rsid w:val="003E3CF6"/>
    <w:rsid w:val="003E3DEC"/>
    <w:rsid w:val="003E3E1D"/>
    <w:rsid w:val="003E4256"/>
    <w:rsid w:val="003E4530"/>
    <w:rsid w:val="003E4758"/>
    <w:rsid w:val="003E4774"/>
    <w:rsid w:val="003E4809"/>
    <w:rsid w:val="003E48F1"/>
    <w:rsid w:val="003E49E0"/>
    <w:rsid w:val="003E4B9B"/>
    <w:rsid w:val="003E4BA3"/>
    <w:rsid w:val="003E4DB8"/>
    <w:rsid w:val="003E4E0B"/>
    <w:rsid w:val="003E5011"/>
    <w:rsid w:val="003E541A"/>
    <w:rsid w:val="003E5518"/>
    <w:rsid w:val="003E5593"/>
    <w:rsid w:val="003E55A4"/>
    <w:rsid w:val="003E59E6"/>
    <w:rsid w:val="003E5BFC"/>
    <w:rsid w:val="003E5D48"/>
    <w:rsid w:val="003E5D9E"/>
    <w:rsid w:val="003E5DDF"/>
    <w:rsid w:val="003E5FA5"/>
    <w:rsid w:val="003E5FD9"/>
    <w:rsid w:val="003E617D"/>
    <w:rsid w:val="003E61DC"/>
    <w:rsid w:val="003E6303"/>
    <w:rsid w:val="003E64E3"/>
    <w:rsid w:val="003E6514"/>
    <w:rsid w:val="003E6528"/>
    <w:rsid w:val="003E67F9"/>
    <w:rsid w:val="003E6A24"/>
    <w:rsid w:val="003E6E03"/>
    <w:rsid w:val="003E6E56"/>
    <w:rsid w:val="003E6F54"/>
    <w:rsid w:val="003E6FE9"/>
    <w:rsid w:val="003E7032"/>
    <w:rsid w:val="003E70E7"/>
    <w:rsid w:val="003E7173"/>
    <w:rsid w:val="003E721C"/>
    <w:rsid w:val="003E725E"/>
    <w:rsid w:val="003E7281"/>
    <w:rsid w:val="003E7295"/>
    <w:rsid w:val="003E7334"/>
    <w:rsid w:val="003E7405"/>
    <w:rsid w:val="003E74CD"/>
    <w:rsid w:val="003E7633"/>
    <w:rsid w:val="003E782C"/>
    <w:rsid w:val="003E7911"/>
    <w:rsid w:val="003E7BE8"/>
    <w:rsid w:val="003E7BF3"/>
    <w:rsid w:val="003E7C2E"/>
    <w:rsid w:val="003E7C44"/>
    <w:rsid w:val="003E7D16"/>
    <w:rsid w:val="003E7FFA"/>
    <w:rsid w:val="003F0098"/>
    <w:rsid w:val="003F009A"/>
    <w:rsid w:val="003F00A3"/>
    <w:rsid w:val="003F00C4"/>
    <w:rsid w:val="003F0169"/>
    <w:rsid w:val="003F017F"/>
    <w:rsid w:val="003F01E7"/>
    <w:rsid w:val="003F020F"/>
    <w:rsid w:val="003F02FB"/>
    <w:rsid w:val="003F043C"/>
    <w:rsid w:val="003F04B0"/>
    <w:rsid w:val="003F0C6C"/>
    <w:rsid w:val="003F0DCC"/>
    <w:rsid w:val="003F0E7A"/>
    <w:rsid w:val="003F0EA2"/>
    <w:rsid w:val="003F11D6"/>
    <w:rsid w:val="003F14C1"/>
    <w:rsid w:val="003F1649"/>
    <w:rsid w:val="003F1755"/>
    <w:rsid w:val="003F179E"/>
    <w:rsid w:val="003F195E"/>
    <w:rsid w:val="003F1A32"/>
    <w:rsid w:val="003F1B97"/>
    <w:rsid w:val="003F1C95"/>
    <w:rsid w:val="003F1CDF"/>
    <w:rsid w:val="003F1DFD"/>
    <w:rsid w:val="003F1ED4"/>
    <w:rsid w:val="003F1EF0"/>
    <w:rsid w:val="003F2093"/>
    <w:rsid w:val="003F20F6"/>
    <w:rsid w:val="003F2144"/>
    <w:rsid w:val="003F2239"/>
    <w:rsid w:val="003F2292"/>
    <w:rsid w:val="003F2392"/>
    <w:rsid w:val="003F252D"/>
    <w:rsid w:val="003F2683"/>
    <w:rsid w:val="003F26AA"/>
    <w:rsid w:val="003F2B92"/>
    <w:rsid w:val="003F2BF6"/>
    <w:rsid w:val="003F2DBA"/>
    <w:rsid w:val="003F2E82"/>
    <w:rsid w:val="003F31DF"/>
    <w:rsid w:val="003F31F4"/>
    <w:rsid w:val="003F320E"/>
    <w:rsid w:val="003F3240"/>
    <w:rsid w:val="003F3506"/>
    <w:rsid w:val="003F3536"/>
    <w:rsid w:val="003F3617"/>
    <w:rsid w:val="003F38A2"/>
    <w:rsid w:val="003F3A15"/>
    <w:rsid w:val="003F3A89"/>
    <w:rsid w:val="003F3B2B"/>
    <w:rsid w:val="003F3CB0"/>
    <w:rsid w:val="003F3D26"/>
    <w:rsid w:val="003F3FB1"/>
    <w:rsid w:val="003F3FCF"/>
    <w:rsid w:val="003F424F"/>
    <w:rsid w:val="003F4483"/>
    <w:rsid w:val="003F454D"/>
    <w:rsid w:val="003F49CB"/>
    <w:rsid w:val="003F4D0A"/>
    <w:rsid w:val="003F509B"/>
    <w:rsid w:val="003F5193"/>
    <w:rsid w:val="003F51EB"/>
    <w:rsid w:val="003F5238"/>
    <w:rsid w:val="003F5362"/>
    <w:rsid w:val="003F56E0"/>
    <w:rsid w:val="003F585F"/>
    <w:rsid w:val="003F590B"/>
    <w:rsid w:val="003F5A35"/>
    <w:rsid w:val="003F5C05"/>
    <w:rsid w:val="003F5CBD"/>
    <w:rsid w:val="003F5E96"/>
    <w:rsid w:val="003F5EE0"/>
    <w:rsid w:val="003F63A6"/>
    <w:rsid w:val="003F6637"/>
    <w:rsid w:val="003F664E"/>
    <w:rsid w:val="003F695A"/>
    <w:rsid w:val="003F6A2E"/>
    <w:rsid w:val="003F6BDD"/>
    <w:rsid w:val="003F6D48"/>
    <w:rsid w:val="003F6D99"/>
    <w:rsid w:val="003F6DCC"/>
    <w:rsid w:val="003F6E4E"/>
    <w:rsid w:val="003F6EFF"/>
    <w:rsid w:val="003F7118"/>
    <w:rsid w:val="003F733A"/>
    <w:rsid w:val="003F7367"/>
    <w:rsid w:val="003F75A1"/>
    <w:rsid w:val="003F7813"/>
    <w:rsid w:val="003F782D"/>
    <w:rsid w:val="003F79A6"/>
    <w:rsid w:val="003F79D7"/>
    <w:rsid w:val="003F7C1A"/>
    <w:rsid w:val="003F7C7B"/>
    <w:rsid w:val="003F7EFB"/>
    <w:rsid w:val="0040011E"/>
    <w:rsid w:val="0040023C"/>
    <w:rsid w:val="00400805"/>
    <w:rsid w:val="0040086B"/>
    <w:rsid w:val="00400925"/>
    <w:rsid w:val="00400991"/>
    <w:rsid w:val="00400E46"/>
    <w:rsid w:val="0040102A"/>
    <w:rsid w:val="0040110A"/>
    <w:rsid w:val="004012A4"/>
    <w:rsid w:val="00401330"/>
    <w:rsid w:val="004014D0"/>
    <w:rsid w:val="00401797"/>
    <w:rsid w:val="00401904"/>
    <w:rsid w:val="0040193F"/>
    <w:rsid w:val="00401D58"/>
    <w:rsid w:val="00401E15"/>
    <w:rsid w:val="00401F14"/>
    <w:rsid w:val="00401FE8"/>
    <w:rsid w:val="00401FF9"/>
    <w:rsid w:val="004020A2"/>
    <w:rsid w:val="004021A3"/>
    <w:rsid w:val="004022DD"/>
    <w:rsid w:val="004024A9"/>
    <w:rsid w:val="0040255F"/>
    <w:rsid w:val="004025D1"/>
    <w:rsid w:val="00402600"/>
    <w:rsid w:val="0040266D"/>
    <w:rsid w:val="00402699"/>
    <w:rsid w:val="00402839"/>
    <w:rsid w:val="004028B5"/>
    <w:rsid w:val="004028D1"/>
    <w:rsid w:val="0040292D"/>
    <w:rsid w:val="00402932"/>
    <w:rsid w:val="00402A47"/>
    <w:rsid w:val="00402CE5"/>
    <w:rsid w:val="00402CFB"/>
    <w:rsid w:val="00402D97"/>
    <w:rsid w:val="00402ECC"/>
    <w:rsid w:val="00402F37"/>
    <w:rsid w:val="00402F4D"/>
    <w:rsid w:val="00402FBE"/>
    <w:rsid w:val="004030D9"/>
    <w:rsid w:val="0040310B"/>
    <w:rsid w:val="004031CE"/>
    <w:rsid w:val="0040337A"/>
    <w:rsid w:val="00403426"/>
    <w:rsid w:val="00403484"/>
    <w:rsid w:val="004034E3"/>
    <w:rsid w:val="004035FF"/>
    <w:rsid w:val="004036F4"/>
    <w:rsid w:val="004038BE"/>
    <w:rsid w:val="00403C7D"/>
    <w:rsid w:val="00403D9C"/>
    <w:rsid w:val="00403EC7"/>
    <w:rsid w:val="0040401F"/>
    <w:rsid w:val="0040416F"/>
    <w:rsid w:val="004041AA"/>
    <w:rsid w:val="004043F5"/>
    <w:rsid w:val="00404548"/>
    <w:rsid w:val="0040466C"/>
    <w:rsid w:val="00404676"/>
    <w:rsid w:val="00404876"/>
    <w:rsid w:val="00404928"/>
    <w:rsid w:val="00404A08"/>
    <w:rsid w:val="00404AE7"/>
    <w:rsid w:val="00404BC7"/>
    <w:rsid w:val="00404D06"/>
    <w:rsid w:val="00404DEE"/>
    <w:rsid w:val="00404EF3"/>
    <w:rsid w:val="00405016"/>
    <w:rsid w:val="004052B7"/>
    <w:rsid w:val="00405398"/>
    <w:rsid w:val="00405667"/>
    <w:rsid w:val="004056FE"/>
    <w:rsid w:val="00405775"/>
    <w:rsid w:val="00405887"/>
    <w:rsid w:val="004058BE"/>
    <w:rsid w:val="004058DE"/>
    <w:rsid w:val="00405D08"/>
    <w:rsid w:val="00405F9B"/>
    <w:rsid w:val="00406025"/>
    <w:rsid w:val="0040604D"/>
    <w:rsid w:val="0040610F"/>
    <w:rsid w:val="004063BE"/>
    <w:rsid w:val="004065AF"/>
    <w:rsid w:val="00406718"/>
    <w:rsid w:val="00406CCA"/>
    <w:rsid w:val="00406E19"/>
    <w:rsid w:val="00406F46"/>
    <w:rsid w:val="004073E0"/>
    <w:rsid w:val="0040743E"/>
    <w:rsid w:val="004075A5"/>
    <w:rsid w:val="0040774D"/>
    <w:rsid w:val="0040776C"/>
    <w:rsid w:val="0040777B"/>
    <w:rsid w:val="004077E1"/>
    <w:rsid w:val="00407885"/>
    <w:rsid w:val="0040789A"/>
    <w:rsid w:val="00407A02"/>
    <w:rsid w:val="00407ABC"/>
    <w:rsid w:val="00407C9C"/>
    <w:rsid w:val="00407D31"/>
    <w:rsid w:val="00407FEB"/>
    <w:rsid w:val="004100F3"/>
    <w:rsid w:val="0041051F"/>
    <w:rsid w:val="004105C3"/>
    <w:rsid w:val="0041081D"/>
    <w:rsid w:val="00410936"/>
    <w:rsid w:val="00410A2F"/>
    <w:rsid w:val="00410B5B"/>
    <w:rsid w:val="00410DA6"/>
    <w:rsid w:val="00410DBB"/>
    <w:rsid w:val="00410DF6"/>
    <w:rsid w:val="00410FB4"/>
    <w:rsid w:val="00410FD0"/>
    <w:rsid w:val="004112B3"/>
    <w:rsid w:val="0041136A"/>
    <w:rsid w:val="004113BA"/>
    <w:rsid w:val="00411557"/>
    <w:rsid w:val="00411D4D"/>
    <w:rsid w:val="00411EE3"/>
    <w:rsid w:val="00411F33"/>
    <w:rsid w:val="00412015"/>
    <w:rsid w:val="00412027"/>
    <w:rsid w:val="004120A4"/>
    <w:rsid w:val="0041225B"/>
    <w:rsid w:val="004124AC"/>
    <w:rsid w:val="004125AD"/>
    <w:rsid w:val="004125E2"/>
    <w:rsid w:val="004126A2"/>
    <w:rsid w:val="004126E0"/>
    <w:rsid w:val="0041282B"/>
    <w:rsid w:val="00412B68"/>
    <w:rsid w:val="00412D6F"/>
    <w:rsid w:val="004133E8"/>
    <w:rsid w:val="0041366D"/>
    <w:rsid w:val="004137A4"/>
    <w:rsid w:val="00413976"/>
    <w:rsid w:val="00413BC1"/>
    <w:rsid w:val="00413BD2"/>
    <w:rsid w:val="00414061"/>
    <w:rsid w:val="00414094"/>
    <w:rsid w:val="0041425C"/>
    <w:rsid w:val="00414272"/>
    <w:rsid w:val="00414274"/>
    <w:rsid w:val="004143F5"/>
    <w:rsid w:val="004146E8"/>
    <w:rsid w:val="00414715"/>
    <w:rsid w:val="0041474B"/>
    <w:rsid w:val="004147E5"/>
    <w:rsid w:val="00414A35"/>
    <w:rsid w:val="00414A70"/>
    <w:rsid w:val="00414C7D"/>
    <w:rsid w:val="00414D81"/>
    <w:rsid w:val="00414E1E"/>
    <w:rsid w:val="00414F4A"/>
    <w:rsid w:val="00414F4F"/>
    <w:rsid w:val="004151B8"/>
    <w:rsid w:val="004151ED"/>
    <w:rsid w:val="00415280"/>
    <w:rsid w:val="0041549D"/>
    <w:rsid w:val="004156FC"/>
    <w:rsid w:val="00415700"/>
    <w:rsid w:val="00415759"/>
    <w:rsid w:val="004158F2"/>
    <w:rsid w:val="004159CD"/>
    <w:rsid w:val="00415A3A"/>
    <w:rsid w:val="00415AF3"/>
    <w:rsid w:val="00415BD9"/>
    <w:rsid w:val="00415CA4"/>
    <w:rsid w:val="00415D09"/>
    <w:rsid w:val="00415D26"/>
    <w:rsid w:val="00415D78"/>
    <w:rsid w:val="00415E72"/>
    <w:rsid w:val="00416180"/>
    <w:rsid w:val="004164E3"/>
    <w:rsid w:val="00416658"/>
    <w:rsid w:val="00416807"/>
    <w:rsid w:val="00416857"/>
    <w:rsid w:val="00416A36"/>
    <w:rsid w:val="00416AE9"/>
    <w:rsid w:val="00416BD6"/>
    <w:rsid w:val="00416D16"/>
    <w:rsid w:val="00416D4F"/>
    <w:rsid w:val="00416E8B"/>
    <w:rsid w:val="00417039"/>
    <w:rsid w:val="00417119"/>
    <w:rsid w:val="00417139"/>
    <w:rsid w:val="004171A1"/>
    <w:rsid w:val="00417333"/>
    <w:rsid w:val="004174BF"/>
    <w:rsid w:val="004175A7"/>
    <w:rsid w:val="004175D6"/>
    <w:rsid w:val="004178B0"/>
    <w:rsid w:val="004178C8"/>
    <w:rsid w:val="004178F2"/>
    <w:rsid w:val="00417B4B"/>
    <w:rsid w:val="00417C99"/>
    <w:rsid w:val="00417DE1"/>
    <w:rsid w:val="00417EBE"/>
    <w:rsid w:val="00417F62"/>
    <w:rsid w:val="0042019A"/>
    <w:rsid w:val="004202F6"/>
    <w:rsid w:val="00420392"/>
    <w:rsid w:val="004204D2"/>
    <w:rsid w:val="00420657"/>
    <w:rsid w:val="00420898"/>
    <w:rsid w:val="0042092B"/>
    <w:rsid w:val="00420A0D"/>
    <w:rsid w:val="00420B8D"/>
    <w:rsid w:val="00420F10"/>
    <w:rsid w:val="00420F91"/>
    <w:rsid w:val="0042107F"/>
    <w:rsid w:val="004212CB"/>
    <w:rsid w:val="0042132A"/>
    <w:rsid w:val="0042148A"/>
    <w:rsid w:val="0042154F"/>
    <w:rsid w:val="004216A7"/>
    <w:rsid w:val="004217CF"/>
    <w:rsid w:val="004217DA"/>
    <w:rsid w:val="00421850"/>
    <w:rsid w:val="00421C4F"/>
    <w:rsid w:val="00421CE8"/>
    <w:rsid w:val="00421D40"/>
    <w:rsid w:val="004220B9"/>
    <w:rsid w:val="004221F5"/>
    <w:rsid w:val="00422255"/>
    <w:rsid w:val="0042226B"/>
    <w:rsid w:val="0042240A"/>
    <w:rsid w:val="004224EE"/>
    <w:rsid w:val="0042254A"/>
    <w:rsid w:val="00422601"/>
    <w:rsid w:val="00422742"/>
    <w:rsid w:val="00422885"/>
    <w:rsid w:val="00422C26"/>
    <w:rsid w:val="00422C27"/>
    <w:rsid w:val="004234EB"/>
    <w:rsid w:val="004234F8"/>
    <w:rsid w:val="0042391A"/>
    <w:rsid w:val="004239D5"/>
    <w:rsid w:val="00423BC4"/>
    <w:rsid w:val="00423C1D"/>
    <w:rsid w:val="00423D3F"/>
    <w:rsid w:val="00423E0D"/>
    <w:rsid w:val="00423F1F"/>
    <w:rsid w:val="00423F58"/>
    <w:rsid w:val="0042404A"/>
    <w:rsid w:val="00424222"/>
    <w:rsid w:val="00424645"/>
    <w:rsid w:val="00424653"/>
    <w:rsid w:val="0042469A"/>
    <w:rsid w:val="00424708"/>
    <w:rsid w:val="004247A7"/>
    <w:rsid w:val="00424890"/>
    <w:rsid w:val="00424905"/>
    <w:rsid w:val="00424D01"/>
    <w:rsid w:val="00424D40"/>
    <w:rsid w:val="00424DD0"/>
    <w:rsid w:val="00424DF5"/>
    <w:rsid w:val="00424E2E"/>
    <w:rsid w:val="00424EE9"/>
    <w:rsid w:val="00424F40"/>
    <w:rsid w:val="00424FE7"/>
    <w:rsid w:val="00425071"/>
    <w:rsid w:val="0042524C"/>
    <w:rsid w:val="004253CE"/>
    <w:rsid w:val="00425406"/>
    <w:rsid w:val="004256FE"/>
    <w:rsid w:val="004257CB"/>
    <w:rsid w:val="0042583F"/>
    <w:rsid w:val="004258A8"/>
    <w:rsid w:val="0042591E"/>
    <w:rsid w:val="0042596B"/>
    <w:rsid w:val="00425989"/>
    <w:rsid w:val="00425A14"/>
    <w:rsid w:val="00425C06"/>
    <w:rsid w:val="00425E08"/>
    <w:rsid w:val="00425F92"/>
    <w:rsid w:val="00425FE5"/>
    <w:rsid w:val="00426153"/>
    <w:rsid w:val="0042616F"/>
    <w:rsid w:val="004261B8"/>
    <w:rsid w:val="0042633D"/>
    <w:rsid w:val="0042647C"/>
    <w:rsid w:val="004264D3"/>
    <w:rsid w:val="004268AC"/>
    <w:rsid w:val="00426A57"/>
    <w:rsid w:val="00426CCF"/>
    <w:rsid w:val="00426DD6"/>
    <w:rsid w:val="00426F36"/>
    <w:rsid w:val="00426FD5"/>
    <w:rsid w:val="00426FF2"/>
    <w:rsid w:val="00427291"/>
    <w:rsid w:val="00427349"/>
    <w:rsid w:val="0042741E"/>
    <w:rsid w:val="004274D0"/>
    <w:rsid w:val="004276FE"/>
    <w:rsid w:val="0042776D"/>
    <w:rsid w:val="00427ADD"/>
    <w:rsid w:val="00427B0A"/>
    <w:rsid w:val="00427C71"/>
    <w:rsid w:val="00427DFC"/>
    <w:rsid w:val="00427E4B"/>
    <w:rsid w:val="004300AF"/>
    <w:rsid w:val="0043017C"/>
    <w:rsid w:val="00430349"/>
    <w:rsid w:val="00430386"/>
    <w:rsid w:val="004303DE"/>
    <w:rsid w:val="00430451"/>
    <w:rsid w:val="0043053B"/>
    <w:rsid w:val="00430671"/>
    <w:rsid w:val="004307D4"/>
    <w:rsid w:val="004308F5"/>
    <w:rsid w:val="0043093D"/>
    <w:rsid w:val="00431087"/>
    <w:rsid w:val="004310E0"/>
    <w:rsid w:val="00431642"/>
    <w:rsid w:val="004316C7"/>
    <w:rsid w:val="00431849"/>
    <w:rsid w:val="00431B04"/>
    <w:rsid w:val="00431B86"/>
    <w:rsid w:val="00431BB6"/>
    <w:rsid w:val="00431CDA"/>
    <w:rsid w:val="004322B6"/>
    <w:rsid w:val="00432351"/>
    <w:rsid w:val="0043238F"/>
    <w:rsid w:val="00432415"/>
    <w:rsid w:val="00432439"/>
    <w:rsid w:val="00432508"/>
    <w:rsid w:val="00432714"/>
    <w:rsid w:val="00432728"/>
    <w:rsid w:val="00432798"/>
    <w:rsid w:val="0043293F"/>
    <w:rsid w:val="00432965"/>
    <w:rsid w:val="00432B85"/>
    <w:rsid w:val="00432C88"/>
    <w:rsid w:val="00432D06"/>
    <w:rsid w:val="00432D0C"/>
    <w:rsid w:val="00432EDB"/>
    <w:rsid w:val="0043325D"/>
    <w:rsid w:val="004335DB"/>
    <w:rsid w:val="004335F8"/>
    <w:rsid w:val="00433690"/>
    <w:rsid w:val="00433B15"/>
    <w:rsid w:val="00433B21"/>
    <w:rsid w:val="00433B59"/>
    <w:rsid w:val="00433C02"/>
    <w:rsid w:val="00433C32"/>
    <w:rsid w:val="00433CDA"/>
    <w:rsid w:val="00433D40"/>
    <w:rsid w:val="00433D42"/>
    <w:rsid w:val="00433D8B"/>
    <w:rsid w:val="00433EFF"/>
    <w:rsid w:val="00433F06"/>
    <w:rsid w:val="00433F43"/>
    <w:rsid w:val="00434036"/>
    <w:rsid w:val="0043414B"/>
    <w:rsid w:val="0043421C"/>
    <w:rsid w:val="004342D4"/>
    <w:rsid w:val="004342DF"/>
    <w:rsid w:val="004343B1"/>
    <w:rsid w:val="00434480"/>
    <w:rsid w:val="00434756"/>
    <w:rsid w:val="00434893"/>
    <w:rsid w:val="004349BE"/>
    <w:rsid w:val="00434BCC"/>
    <w:rsid w:val="00434C7A"/>
    <w:rsid w:val="004351EE"/>
    <w:rsid w:val="00435496"/>
    <w:rsid w:val="004354C9"/>
    <w:rsid w:val="004354DD"/>
    <w:rsid w:val="00435501"/>
    <w:rsid w:val="004357EB"/>
    <w:rsid w:val="00435862"/>
    <w:rsid w:val="00435929"/>
    <w:rsid w:val="00435AF7"/>
    <w:rsid w:val="00435C35"/>
    <w:rsid w:val="00435DE0"/>
    <w:rsid w:val="00435E00"/>
    <w:rsid w:val="0043614D"/>
    <w:rsid w:val="00436175"/>
    <w:rsid w:val="004361D3"/>
    <w:rsid w:val="004362EC"/>
    <w:rsid w:val="004363E8"/>
    <w:rsid w:val="004363F8"/>
    <w:rsid w:val="00436681"/>
    <w:rsid w:val="004366FF"/>
    <w:rsid w:val="00436711"/>
    <w:rsid w:val="00436726"/>
    <w:rsid w:val="00436874"/>
    <w:rsid w:val="004368D1"/>
    <w:rsid w:val="00436933"/>
    <w:rsid w:val="00436A54"/>
    <w:rsid w:val="00436C34"/>
    <w:rsid w:val="00436E80"/>
    <w:rsid w:val="004371D3"/>
    <w:rsid w:val="00437284"/>
    <w:rsid w:val="004372EF"/>
    <w:rsid w:val="00437382"/>
    <w:rsid w:val="004373E5"/>
    <w:rsid w:val="004376DC"/>
    <w:rsid w:val="004377AE"/>
    <w:rsid w:val="00437842"/>
    <w:rsid w:val="0043797F"/>
    <w:rsid w:val="00437A4F"/>
    <w:rsid w:val="00437ABC"/>
    <w:rsid w:val="00437BAF"/>
    <w:rsid w:val="00437C9B"/>
    <w:rsid w:val="00437D8E"/>
    <w:rsid w:val="00437E69"/>
    <w:rsid w:val="00437F03"/>
    <w:rsid w:val="00440116"/>
    <w:rsid w:val="0044034F"/>
    <w:rsid w:val="00440587"/>
    <w:rsid w:val="004406DE"/>
    <w:rsid w:val="00440938"/>
    <w:rsid w:val="004409EA"/>
    <w:rsid w:val="00440A67"/>
    <w:rsid w:val="00440B2E"/>
    <w:rsid w:val="00440B51"/>
    <w:rsid w:val="00440E3B"/>
    <w:rsid w:val="00440E3D"/>
    <w:rsid w:val="00441184"/>
    <w:rsid w:val="0044134F"/>
    <w:rsid w:val="00441382"/>
    <w:rsid w:val="004413D2"/>
    <w:rsid w:val="0044145F"/>
    <w:rsid w:val="0044148B"/>
    <w:rsid w:val="00441669"/>
    <w:rsid w:val="0044169A"/>
    <w:rsid w:val="00441750"/>
    <w:rsid w:val="00441752"/>
    <w:rsid w:val="00441CA3"/>
    <w:rsid w:val="00441F49"/>
    <w:rsid w:val="004421A2"/>
    <w:rsid w:val="0044246E"/>
    <w:rsid w:val="004424FB"/>
    <w:rsid w:val="00442555"/>
    <w:rsid w:val="0044263B"/>
    <w:rsid w:val="00442683"/>
    <w:rsid w:val="00442911"/>
    <w:rsid w:val="00442A3E"/>
    <w:rsid w:val="00442C0B"/>
    <w:rsid w:val="00442CC4"/>
    <w:rsid w:val="00442D27"/>
    <w:rsid w:val="00442D4F"/>
    <w:rsid w:val="00442FFB"/>
    <w:rsid w:val="00443162"/>
    <w:rsid w:val="0044341E"/>
    <w:rsid w:val="00443443"/>
    <w:rsid w:val="00443583"/>
    <w:rsid w:val="004435BE"/>
    <w:rsid w:val="00443987"/>
    <w:rsid w:val="00443B88"/>
    <w:rsid w:val="00443DB0"/>
    <w:rsid w:val="00443E74"/>
    <w:rsid w:val="00444049"/>
    <w:rsid w:val="00444166"/>
    <w:rsid w:val="004444A7"/>
    <w:rsid w:val="004445D5"/>
    <w:rsid w:val="00444655"/>
    <w:rsid w:val="00444758"/>
    <w:rsid w:val="00444B03"/>
    <w:rsid w:val="00444B37"/>
    <w:rsid w:val="00444D80"/>
    <w:rsid w:val="00444D85"/>
    <w:rsid w:val="00445106"/>
    <w:rsid w:val="00445491"/>
    <w:rsid w:val="004454F6"/>
    <w:rsid w:val="004458F0"/>
    <w:rsid w:val="00445A42"/>
    <w:rsid w:val="00445AF2"/>
    <w:rsid w:val="00445B3C"/>
    <w:rsid w:val="00445B5D"/>
    <w:rsid w:val="00445DDB"/>
    <w:rsid w:val="00445EC0"/>
    <w:rsid w:val="0044611A"/>
    <w:rsid w:val="0044621D"/>
    <w:rsid w:val="0044634F"/>
    <w:rsid w:val="00446375"/>
    <w:rsid w:val="0044643C"/>
    <w:rsid w:val="004464D7"/>
    <w:rsid w:val="004465C1"/>
    <w:rsid w:val="0044674D"/>
    <w:rsid w:val="004467FB"/>
    <w:rsid w:val="00446926"/>
    <w:rsid w:val="004469D7"/>
    <w:rsid w:val="00446B9A"/>
    <w:rsid w:val="00446BCE"/>
    <w:rsid w:val="00446CBD"/>
    <w:rsid w:val="00446CD4"/>
    <w:rsid w:val="00446E45"/>
    <w:rsid w:val="00446EEF"/>
    <w:rsid w:val="00447030"/>
    <w:rsid w:val="00447141"/>
    <w:rsid w:val="004472DB"/>
    <w:rsid w:val="004477C8"/>
    <w:rsid w:val="00447ABC"/>
    <w:rsid w:val="00447D23"/>
    <w:rsid w:val="00447EA8"/>
    <w:rsid w:val="00447EC8"/>
    <w:rsid w:val="00447F60"/>
    <w:rsid w:val="004501CD"/>
    <w:rsid w:val="0045030B"/>
    <w:rsid w:val="00450603"/>
    <w:rsid w:val="0045066E"/>
    <w:rsid w:val="004506B5"/>
    <w:rsid w:val="00450749"/>
    <w:rsid w:val="004507F6"/>
    <w:rsid w:val="0045090D"/>
    <w:rsid w:val="00450D0A"/>
    <w:rsid w:val="00450E27"/>
    <w:rsid w:val="00450EE2"/>
    <w:rsid w:val="00450FCC"/>
    <w:rsid w:val="00450FFA"/>
    <w:rsid w:val="00451030"/>
    <w:rsid w:val="004510B9"/>
    <w:rsid w:val="00451196"/>
    <w:rsid w:val="004513F7"/>
    <w:rsid w:val="00451517"/>
    <w:rsid w:val="0045164A"/>
    <w:rsid w:val="00451872"/>
    <w:rsid w:val="00451A5C"/>
    <w:rsid w:val="00451B4C"/>
    <w:rsid w:val="00451C23"/>
    <w:rsid w:val="00451C89"/>
    <w:rsid w:val="00451D6F"/>
    <w:rsid w:val="00451FB0"/>
    <w:rsid w:val="0045206A"/>
    <w:rsid w:val="004521BF"/>
    <w:rsid w:val="004521E6"/>
    <w:rsid w:val="00452218"/>
    <w:rsid w:val="00452294"/>
    <w:rsid w:val="004522E3"/>
    <w:rsid w:val="0045239D"/>
    <w:rsid w:val="00452512"/>
    <w:rsid w:val="00452568"/>
    <w:rsid w:val="004529B6"/>
    <w:rsid w:val="00452BA4"/>
    <w:rsid w:val="00452BA9"/>
    <w:rsid w:val="00452E12"/>
    <w:rsid w:val="00452ECA"/>
    <w:rsid w:val="00452F4C"/>
    <w:rsid w:val="00452F78"/>
    <w:rsid w:val="00453178"/>
    <w:rsid w:val="00453235"/>
    <w:rsid w:val="00453399"/>
    <w:rsid w:val="0045376B"/>
    <w:rsid w:val="00453842"/>
    <w:rsid w:val="00453AAF"/>
    <w:rsid w:val="00453B16"/>
    <w:rsid w:val="00453CE1"/>
    <w:rsid w:val="00453DE9"/>
    <w:rsid w:val="00453FE8"/>
    <w:rsid w:val="00454035"/>
    <w:rsid w:val="00454447"/>
    <w:rsid w:val="0045452C"/>
    <w:rsid w:val="004545E3"/>
    <w:rsid w:val="004546C8"/>
    <w:rsid w:val="00454744"/>
    <w:rsid w:val="004547DD"/>
    <w:rsid w:val="0045492A"/>
    <w:rsid w:val="00454BD8"/>
    <w:rsid w:val="00454D11"/>
    <w:rsid w:val="00454D67"/>
    <w:rsid w:val="00454F27"/>
    <w:rsid w:val="00455065"/>
    <w:rsid w:val="00455167"/>
    <w:rsid w:val="004551A8"/>
    <w:rsid w:val="004551B7"/>
    <w:rsid w:val="00455469"/>
    <w:rsid w:val="00455488"/>
    <w:rsid w:val="00455749"/>
    <w:rsid w:val="00455853"/>
    <w:rsid w:val="00455994"/>
    <w:rsid w:val="00455AD6"/>
    <w:rsid w:val="00455ADB"/>
    <w:rsid w:val="00455D8E"/>
    <w:rsid w:val="00455DB6"/>
    <w:rsid w:val="00455E02"/>
    <w:rsid w:val="00456240"/>
    <w:rsid w:val="00456502"/>
    <w:rsid w:val="004566D4"/>
    <w:rsid w:val="00456950"/>
    <w:rsid w:val="00456957"/>
    <w:rsid w:val="004569C7"/>
    <w:rsid w:val="00456CDA"/>
    <w:rsid w:val="00456D38"/>
    <w:rsid w:val="00456E06"/>
    <w:rsid w:val="00456E95"/>
    <w:rsid w:val="00456F3C"/>
    <w:rsid w:val="0045731F"/>
    <w:rsid w:val="00457353"/>
    <w:rsid w:val="004573A4"/>
    <w:rsid w:val="004573BE"/>
    <w:rsid w:val="004576B6"/>
    <w:rsid w:val="004577FA"/>
    <w:rsid w:val="00457963"/>
    <w:rsid w:val="0045796F"/>
    <w:rsid w:val="00457974"/>
    <w:rsid w:val="00457BEE"/>
    <w:rsid w:val="00457DCC"/>
    <w:rsid w:val="004601E5"/>
    <w:rsid w:val="00460355"/>
    <w:rsid w:val="0046040C"/>
    <w:rsid w:val="004606E4"/>
    <w:rsid w:val="0046087A"/>
    <w:rsid w:val="004608DE"/>
    <w:rsid w:val="00460926"/>
    <w:rsid w:val="004609A8"/>
    <w:rsid w:val="00460B70"/>
    <w:rsid w:val="00460C0D"/>
    <w:rsid w:val="00460E79"/>
    <w:rsid w:val="00460EB8"/>
    <w:rsid w:val="00460FAD"/>
    <w:rsid w:val="00461033"/>
    <w:rsid w:val="00461053"/>
    <w:rsid w:val="00461172"/>
    <w:rsid w:val="0046130A"/>
    <w:rsid w:val="00461845"/>
    <w:rsid w:val="00461991"/>
    <w:rsid w:val="00461994"/>
    <w:rsid w:val="00461C33"/>
    <w:rsid w:val="00461F8C"/>
    <w:rsid w:val="004620C7"/>
    <w:rsid w:val="004621E9"/>
    <w:rsid w:val="0046222F"/>
    <w:rsid w:val="0046232C"/>
    <w:rsid w:val="004625DF"/>
    <w:rsid w:val="0046262F"/>
    <w:rsid w:val="0046276D"/>
    <w:rsid w:val="00462877"/>
    <w:rsid w:val="00462880"/>
    <w:rsid w:val="004629B8"/>
    <w:rsid w:val="00462B1F"/>
    <w:rsid w:val="00462D82"/>
    <w:rsid w:val="00462D8E"/>
    <w:rsid w:val="00462E0F"/>
    <w:rsid w:val="004631DD"/>
    <w:rsid w:val="004631E0"/>
    <w:rsid w:val="004634E2"/>
    <w:rsid w:val="004636A1"/>
    <w:rsid w:val="00463716"/>
    <w:rsid w:val="0046378F"/>
    <w:rsid w:val="004638CC"/>
    <w:rsid w:val="0046397C"/>
    <w:rsid w:val="00463BAF"/>
    <w:rsid w:val="00463D33"/>
    <w:rsid w:val="00463DCC"/>
    <w:rsid w:val="00463E1E"/>
    <w:rsid w:val="00463ECC"/>
    <w:rsid w:val="00463F9F"/>
    <w:rsid w:val="00463FB9"/>
    <w:rsid w:val="00463FDB"/>
    <w:rsid w:val="00464012"/>
    <w:rsid w:val="0046413C"/>
    <w:rsid w:val="00464170"/>
    <w:rsid w:val="00464482"/>
    <w:rsid w:val="00464534"/>
    <w:rsid w:val="004646AF"/>
    <w:rsid w:val="004646F8"/>
    <w:rsid w:val="004647B8"/>
    <w:rsid w:val="00464886"/>
    <w:rsid w:val="00464A44"/>
    <w:rsid w:val="0046505F"/>
    <w:rsid w:val="00465185"/>
    <w:rsid w:val="00465844"/>
    <w:rsid w:val="00465ACE"/>
    <w:rsid w:val="00465C2C"/>
    <w:rsid w:val="00465D36"/>
    <w:rsid w:val="00465E80"/>
    <w:rsid w:val="00465F03"/>
    <w:rsid w:val="00465F1E"/>
    <w:rsid w:val="00465FE5"/>
    <w:rsid w:val="00466199"/>
    <w:rsid w:val="004661CA"/>
    <w:rsid w:val="004664F8"/>
    <w:rsid w:val="0046674F"/>
    <w:rsid w:val="00466A47"/>
    <w:rsid w:val="00466A89"/>
    <w:rsid w:val="00466BAA"/>
    <w:rsid w:val="00466CA7"/>
    <w:rsid w:val="004676EA"/>
    <w:rsid w:val="004676EC"/>
    <w:rsid w:val="00467742"/>
    <w:rsid w:val="00467A83"/>
    <w:rsid w:val="00467AA1"/>
    <w:rsid w:val="00467BF7"/>
    <w:rsid w:val="00467E2D"/>
    <w:rsid w:val="00467F18"/>
    <w:rsid w:val="00470037"/>
    <w:rsid w:val="004700DF"/>
    <w:rsid w:val="00470141"/>
    <w:rsid w:val="0047018E"/>
    <w:rsid w:val="0047028C"/>
    <w:rsid w:val="004706C8"/>
    <w:rsid w:val="00470749"/>
    <w:rsid w:val="0047076E"/>
    <w:rsid w:val="0047092B"/>
    <w:rsid w:val="0047092E"/>
    <w:rsid w:val="0047093A"/>
    <w:rsid w:val="00470972"/>
    <w:rsid w:val="00470A20"/>
    <w:rsid w:val="00470CAF"/>
    <w:rsid w:val="00470D1B"/>
    <w:rsid w:val="00470EB0"/>
    <w:rsid w:val="0047136F"/>
    <w:rsid w:val="00471446"/>
    <w:rsid w:val="00471832"/>
    <w:rsid w:val="00471D78"/>
    <w:rsid w:val="00471D8C"/>
    <w:rsid w:val="00471DD4"/>
    <w:rsid w:val="00471DF1"/>
    <w:rsid w:val="00471EF9"/>
    <w:rsid w:val="00471FBF"/>
    <w:rsid w:val="004720E1"/>
    <w:rsid w:val="0047233D"/>
    <w:rsid w:val="00472621"/>
    <w:rsid w:val="00472648"/>
    <w:rsid w:val="004727E2"/>
    <w:rsid w:val="004727E5"/>
    <w:rsid w:val="00472B57"/>
    <w:rsid w:val="00472BA6"/>
    <w:rsid w:val="00472BAC"/>
    <w:rsid w:val="00472EC8"/>
    <w:rsid w:val="00472F53"/>
    <w:rsid w:val="004732DD"/>
    <w:rsid w:val="004732E0"/>
    <w:rsid w:val="004734AC"/>
    <w:rsid w:val="004736B2"/>
    <w:rsid w:val="0047371F"/>
    <w:rsid w:val="00473927"/>
    <w:rsid w:val="00473AF4"/>
    <w:rsid w:val="00473BE6"/>
    <w:rsid w:val="00473E66"/>
    <w:rsid w:val="00473F24"/>
    <w:rsid w:val="00473FC0"/>
    <w:rsid w:val="00474053"/>
    <w:rsid w:val="00474223"/>
    <w:rsid w:val="004742A8"/>
    <w:rsid w:val="0047441C"/>
    <w:rsid w:val="00474461"/>
    <w:rsid w:val="004744DC"/>
    <w:rsid w:val="004745AF"/>
    <w:rsid w:val="00474691"/>
    <w:rsid w:val="004746B7"/>
    <w:rsid w:val="004746B9"/>
    <w:rsid w:val="004747A0"/>
    <w:rsid w:val="0047485F"/>
    <w:rsid w:val="00474897"/>
    <w:rsid w:val="004748DB"/>
    <w:rsid w:val="00474B2A"/>
    <w:rsid w:val="00474C18"/>
    <w:rsid w:val="00474C2D"/>
    <w:rsid w:val="00474C94"/>
    <w:rsid w:val="00474E66"/>
    <w:rsid w:val="0047507E"/>
    <w:rsid w:val="00475145"/>
    <w:rsid w:val="00475396"/>
    <w:rsid w:val="0047552B"/>
    <w:rsid w:val="00475532"/>
    <w:rsid w:val="00475624"/>
    <w:rsid w:val="00475749"/>
    <w:rsid w:val="00475872"/>
    <w:rsid w:val="00475897"/>
    <w:rsid w:val="004759F2"/>
    <w:rsid w:val="00475B2A"/>
    <w:rsid w:val="00475C28"/>
    <w:rsid w:val="00475C39"/>
    <w:rsid w:val="00475C60"/>
    <w:rsid w:val="00475CAB"/>
    <w:rsid w:val="00475CDB"/>
    <w:rsid w:val="00475E35"/>
    <w:rsid w:val="00475EA5"/>
    <w:rsid w:val="00475EB7"/>
    <w:rsid w:val="00475F2F"/>
    <w:rsid w:val="00475F33"/>
    <w:rsid w:val="00475FF1"/>
    <w:rsid w:val="0047614D"/>
    <w:rsid w:val="00476382"/>
    <w:rsid w:val="004766BD"/>
    <w:rsid w:val="00476723"/>
    <w:rsid w:val="004767A9"/>
    <w:rsid w:val="004769E9"/>
    <w:rsid w:val="00476BA6"/>
    <w:rsid w:val="00476FBD"/>
    <w:rsid w:val="00477244"/>
    <w:rsid w:val="004773C7"/>
    <w:rsid w:val="00477430"/>
    <w:rsid w:val="004774CF"/>
    <w:rsid w:val="0047756D"/>
    <w:rsid w:val="0047767A"/>
    <w:rsid w:val="00477973"/>
    <w:rsid w:val="004779D0"/>
    <w:rsid w:val="00477F57"/>
    <w:rsid w:val="00477F72"/>
    <w:rsid w:val="0048021B"/>
    <w:rsid w:val="0048044D"/>
    <w:rsid w:val="004805D3"/>
    <w:rsid w:val="00480741"/>
    <w:rsid w:val="00480794"/>
    <w:rsid w:val="00480B4B"/>
    <w:rsid w:val="00480D5C"/>
    <w:rsid w:val="00480D86"/>
    <w:rsid w:val="00480E1E"/>
    <w:rsid w:val="00480FA3"/>
    <w:rsid w:val="004812B2"/>
    <w:rsid w:val="00481334"/>
    <w:rsid w:val="00481567"/>
    <w:rsid w:val="00481616"/>
    <w:rsid w:val="004816EB"/>
    <w:rsid w:val="004817F9"/>
    <w:rsid w:val="00481819"/>
    <w:rsid w:val="00481876"/>
    <w:rsid w:val="00481951"/>
    <w:rsid w:val="00481A08"/>
    <w:rsid w:val="00481A89"/>
    <w:rsid w:val="00481BFF"/>
    <w:rsid w:val="00481C58"/>
    <w:rsid w:val="00481E30"/>
    <w:rsid w:val="00481F98"/>
    <w:rsid w:val="00482114"/>
    <w:rsid w:val="004821F6"/>
    <w:rsid w:val="0048220D"/>
    <w:rsid w:val="00482312"/>
    <w:rsid w:val="00482317"/>
    <w:rsid w:val="00482447"/>
    <w:rsid w:val="0048248C"/>
    <w:rsid w:val="0048263F"/>
    <w:rsid w:val="00482741"/>
    <w:rsid w:val="004829EE"/>
    <w:rsid w:val="00482B4F"/>
    <w:rsid w:val="00482D14"/>
    <w:rsid w:val="00482D17"/>
    <w:rsid w:val="00482E31"/>
    <w:rsid w:val="00482E91"/>
    <w:rsid w:val="0048322D"/>
    <w:rsid w:val="00483288"/>
    <w:rsid w:val="004832A0"/>
    <w:rsid w:val="004832D9"/>
    <w:rsid w:val="0048370C"/>
    <w:rsid w:val="004837AE"/>
    <w:rsid w:val="004838EF"/>
    <w:rsid w:val="00483958"/>
    <w:rsid w:val="00483974"/>
    <w:rsid w:val="00483A95"/>
    <w:rsid w:val="00483AD6"/>
    <w:rsid w:val="00483B5E"/>
    <w:rsid w:val="00483C1A"/>
    <w:rsid w:val="00483CA1"/>
    <w:rsid w:val="00483FAD"/>
    <w:rsid w:val="0048457F"/>
    <w:rsid w:val="00484789"/>
    <w:rsid w:val="0048483B"/>
    <w:rsid w:val="004848C5"/>
    <w:rsid w:val="004849A5"/>
    <w:rsid w:val="00484A4F"/>
    <w:rsid w:val="00484D12"/>
    <w:rsid w:val="00484F7A"/>
    <w:rsid w:val="00485105"/>
    <w:rsid w:val="00485213"/>
    <w:rsid w:val="0048530D"/>
    <w:rsid w:val="0048541C"/>
    <w:rsid w:val="00485488"/>
    <w:rsid w:val="0048551B"/>
    <w:rsid w:val="0048570C"/>
    <w:rsid w:val="00485829"/>
    <w:rsid w:val="00485864"/>
    <w:rsid w:val="00485885"/>
    <w:rsid w:val="004858EB"/>
    <w:rsid w:val="00485AC0"/>
    <w:rsid w:val="00485C1A"/>
    <w:rsid w:val="00485C95"/>
    <w:rsid w:val="00485C9B"/>
    <w:rsid w:val="00485DC6"/>
    <w:rsid w:val="00485F30"/>
    <w:rsid w:val="00485F9B"/>
    <w:rsid w:val="00486232"/>
    <w:rsid w:val="0048631C"/>
    <w:rsid w:val="00486393"/>
    <w:rsid w:val="00486410"/>
    <w:rsid w:val="004864BD"/>
    <w:rsid w:val="00486597"/>
    <w:rsid w:val="0048667B"/>
    <w:rsid w:val="00486756"/>
    <w:rsid w:val="004867E9"/>
    <w:rsid w:val="004869F5"/>
    <w:rsid w:val="00486A13"/>
    <w:rsid w:val="00486AF9"/>
    <w:rsid w:val="00486C08"/>
    <w:rsid w:val="00486D53"/>
    <w:rsid w:val="00486D6F"/>
    <w:rsid w:val="00486DFE"/>
    <w:rsid w:val="00487066"/>
    <w:rsid w:val="0048712A"/>
    <w:rsid w:val="0048721D"/>
    <w:rsid w:val="00487562"/>
    <w:rsid w:val="00487691"/>
    <w:rsid w:val="004877D3"/>
    <w:rsid w:val="00487817"/>
    <w:rsid w:val="00487B93"/>
    <w:rsid w:val="00487C69"/>
    <w:rsid w:val="00487DFF"/>
    <w:rsid w:val="00487EA8"/>
    <w:rsid w:val="00490093"/>
    <w:rsid w:val="0049012C"/>
    <w:rsid w:val="00490204"/>
    <w:rsid w:val="004902CA"/>
    <w:rsid w:val="004902E1"/>
    <w:rsid w:val="00490510"/>
    <w:rsid w:val="00490675"/>
    <w:rsid w:val="00490E84"/>
    <w:rsid w:val="0049105B"/>
    <w:rsid w:val="0049105D"/>
    <w:rsid w:val="004910B2"/>
    <w:rsid w:val="004910E1"/>
    <w:rsid w:val="00491139"/>
    <w:rsid w:val="00491223"/>
    <w:rsid w:val="0049135D"/>
    <w:rsid w:val="0049145B"/>
    <w:rsid w:val="004915C8"/>
    <w:rsid w:val="004916B0"/>
    <w:rsid w:val="0049182A"/>
    <w:rsid w:val="004918C7"/>
    <w:rsid w:val="004918EE"/>
    <w:rsid w:val="0049196B"/>
    <w:rsid w:val="004919A3"/>
    <w:rsid w:val="00491B15"/>
    <w:rsid w:val="00491F6F"/>
    <w:rsid w:val="00492054"/>
    <w:rsid w:val="0049207D"/>
    <w:rsid w:val="0049214A"/>
    <w:rsid w:val="004924FA"/>
    <w:rsid w:val="00492579"/>
    <w:rsid w:val="0049263F"/>
    <w:rsid w:val="0049265D"/>
    <w:rsid w:val="004926D0"/>
    <w:rsid w:val="00492755"/>
    <w:rsid w:val="004927E7"/>
    <w:rsid w:val="004929B4"/>
    <w:rsid w:val="00492B12"/>
    <w:rsid w:val="00492B44"/>
    <w:rsid w:val="00492D70"/>
    <w:rsid w:val="00492D7A"/>
    <w:rsid w:val="00492E4E"/>
    <w:rsid w:val="00492EF3"/>
    <w:rsid w:val="00492FB7"/>
    <w:rsid w:val="00493208"/>
    <w:rsid w:val="00493272"/>
    <w:rsid w:val="00493508"/>
    <w:rsid w:val="00493520"/>
    <w:rsid w:val="004936CD"/>
    <w:rsid w:val="00493846"/>
    <w:rsid w:val="00493939"/>
    <w:rsid w:val="0049395D"/>
    <w:rsid w:val="00493990"/>
    <w:rsid w:val="004939DF"/>
    <w:rsid w:val="00493A05"/>
    <w:rsid w:val="00493A10"/>
    <w:rsid w:val="00493AE5"/>
    <w:rsid w:val="00493B02"/>
    <w:rsid w:val="00493BA5"/>
    <w:rsid w:val="00493C60"/>
    <w:rsid w:val="00493DA4"/>
    <w:rsid w:val="00493E3F"/>
    <w:rsid w:val="00493EAB"/>
    <w:rsid w:val="004940A9"/>
    <w:rsid w:val="0049417A"/>
    <w:rsid w:val="0049438C"/>
    <w:rsid w:val="00494448"/>
    <w:rsid w:val="00494634"/>
    <w:rsid w:val="0049463C"/>
    <w:rsid w:val="00494963"/>
    <w:rsid w:val="00494A42"/>
    <w:rsid w:val="00494D37"/>
    <w:rsid w:val="00494D3C"/>
    <w:rsid w:val="00494DC9"/>
    <w:rsid w:val="00494F10"/>
    <w:rsid w:val="00494F6C"/>
    <w:rsid w:val="004950F9"/>
    <w:rsid w:val="0049517B"/>
    <w:rsid w:val="004951F7"/>
    <w:rsid w:val="00495398"/>
    <w:rsid w:val="004954F9"/>
    <w:rsid w:val="0049557C"/>
    <w:rsid w:val="004956F8"/>
    <w:rsid w:val="0049579D"/>
    <w:rsid w:val="004959D3"/>
    <w:rsid w:val="00495AF2"/>
    <w:rsid w:val="00495E14"/>
    <w:rsid w:val="00495F7B"/>
    <w:rsid w:val="00495F8D"/>
    <w:rsid w:val="0049616F"/>
    <w:rsid w:val="00496214"/>
    <w:rsid w:val="0049645D"/>
    <w:rsid w:val="0049662C"/>
    <w:rsid w:val="00496702"/>
    <w:rsid w:val="00496768"/>
    <w:rsid w:val="004968A0"/>
    <w:rsid w:val="00496928"/>
    <w:rsid w:val="0049697E"/>
    <w:rsid w:val="00496ABC"/>
    <w:rsid w:val="00496B47"/>
    <w:rsid w:val="00496D09"/>
    <w:rsid w:val="00496D94"/>
    <w:rsid w:val="00496DCD"/>
    <w:rsid w:val="00496DD2"/>
    <w:rsid w:val="00497106"/>
    <w:rsid w:val="004971E7"/>
    <w:rsid w:val="0049725F"/>
    <w:rsid w:val="0049726C"/>
    <w:rsid w:val="00497328"/>
    <w:rsid w:val="004973EC"/>
    <w:rsid w:val="00497469"/>
    <w:rsid w:val="0049749A"/>
    <w:rsid w:val="00497589"/>
    <w:rsid w:val="0049771D"/>
    <w:rsid w:val="0049777C"/>
    <w:rsid w:val="004978E7"/>
    <w:rsid w:val="00497A36"/>
    <w:rsid w:val="00497A7F"/>
    <w:rsid w:val="00497B48"/>
    <w:rsid w:val="00497B94"/>
    <w:rsid w:val="00497BA0"/>
    <w:rsid w:val="00497C2B"/>
    <w:rsid w:val="004A0120"/>
    <w:rsid w:val="004A01EE"/>
    <w:rsid w:val="004A037B"/>
    <w:rsid w:val="004A03F9"/>
    <w:rsid w:val="004A03FF"/>
    <w:rsid w:val="004A0450"/>
    <w:rsid w:val="004A04E0"/>
    <w:rsid w:val="004A054D"/>
    <w:rsid w:val="004A0871"/>
    <w:rsid w:val="004A0E19"/>
    <w:rsid w:val="004A0EB5"/>
    <w:rsid w:val="004A10B0"/>
    <w:rsid w:val="004A10C8"/>
    <w:rsid w:val="004A11DF"/>
    <w:rsid w:val="004A13FC"/>
    <w:rsid w:val="004A15C8"/>
    <w:rsid w:val="004A16D4"/>
    <w:rsid w:val="004A173A"/>
    <w:rsid w:val="004A183B"/>
    <w:rsid w:val="004A1A2E"/>
    <w:rsid w:val="004A1BF4"/>
    <w:rsid w:val="004A1C1F"/>
    <w:rsid w:val="004A1C39"/>
    <w:rsid w:val="004A1C52"/>
    <w:rsid w:val="004A1D62"/>
    <w:rsid w:val="004A1E80"/>
    <w:rsid w:val="004A1F99"/>
    <w:rsid w:val="004A1FB5"/>
    <w:rsid w:val="004A204A"/>
    <w:rsid w:val="004A2216"/>
    <w:rsid w:val="004A2266"/>
    <w:rsid w:val="004A22EB"/>
    <w:rsid w:val="004A2363"/>
    <w:rsid w:val="004A237F"/>
    <w:rsid w:val="004A25BD"/>
    <w:rsid w:val="004A2655"/>
    <w:rsid w:val="004A2760"/>
    <w:rsid w:val="004A27E0"/>
    <w:rsid w:val="004A2923"/>
    <w:rsid w:val="004A2972"/>
    <w:rsid w:val="004A2992"/>
    <w:rsid w:val="004A2AD0"/>
    <w:rsid w:val="004A2BC1"/>
    <w:rsid w:val="004A2E87"/>
    <w:rsid w:val="004A2FC6"/>
    <w:rsid w:val="004A3220"/>
    <w:rsid w:val="004A3246"/>
    <w:rsid w:val="004A336F"/>
    <w:rsid w:val="004A3564"/>
    <w:rsid w:val="004A358D"/>
    <w:rsid w:val="004A3623"/>
    <w:rsid w:val="004A3646"/>
    <w:rsid w:val="004A3664"/>
    <w:rsid w:val="004A36FE"/>
    <w:rsid w:val="004A37F8"/>
    <w:rsid w:val="004A39FF"/>
    <w:rsid w:val="004A3A8C"/>
    <w:rsid w:val="004A3DCB"/>
    <w:rsid w:val="004A4061"/>
    <w:rsid w:val="004A4260"/>
    <w:rsid w:val="004A42E3"/>
    <w:rsid w:val="004A43EE"/>
    <w:rsid w:val="004A449F"/>
    <w:rsid w:val="004A44BC"/>
    <w:rsid w:val="004A4515"/>
    <w:rsid w:val="004A482D"/>
    <w:rsid w:val="004A4942"/>
    <w:rsid w:val="004A496E"/>
    <w:rsid w:val="004A4A33"/>
    <w:rsid w:val="004A4A71"/>
    <w:rsid w:val="004A4CCF"/>
    <w:rsid w:val="004A4D43"/>
    <w:rsid w:val="004A4D5D"/>
    <w:rsid w:val="004A4D8B"/>
    <w:rsid w:val="004A4FEF"/>
    <w:rsid w:val="004A50A3"/>
    <w:rsid w:val="004A50EA"/>
    <w:rsid w:val="004A521C"/>
    <w:rsid w:val="004A5281"/>
    <w:rsid w:val="004A55AE"/>
    <w:rsid w:val="004A55DA"/>
    <w:rsid w:val="004A55E9"/>
    <w:rsid w:val="004A562B"/>
    <w:rsid w:val="004A567B"/>
    <w:rsid w:val="004A56C8"/>
    <w:rsid w:val="004A58C9"/>
    <w:rsid w:val="004A58CC"/>
    <w:rsid w:val="004A5965"/>
    <w:rsid w:val="004A5A5E"/>
    <w:rsid w:val="004A5EC2"/>
    <w:rsid w:val="004A5EF8"/>
    <w:rsid w:val="004A6033"/>
    <w:rsid w:val="004A6412"/>
    <w:rsid w:val="004A656F"/>
    <w:rsid w:val="004A66A0"/>
    <w:rsid w:val="004A66B0"/>
    <w:rsid w:val="004A66F5"/>
    <w:rsid w:val="004A67F5"/>
    <w:rsid w:val="004A6841"/>
    <w:rsid w:val="004A69A3"/>
    <w:rsid w:val="004A6BA7"/>
    <w:rsid w:val="004A6C1E"/>
    <w:rsid w:val="004A6D8B"/>
    <w:rsid w:val="004A6F64"/>
    <w:rsid w:val="004A7370"/>
    <w:rsid w:val="004A7522"/>
    <w:rsid w:val="004A7799"/>
    <w:rsid w:val="004A7BD0"/>
    <w:rsid w:val="004A7CEE"/>
    <w:rsid w:val="004B00D2"/>
    <w:rsid w:val="004B00E8"/>
    <w:rsid w:val="004B03D8"/>
    <w:rsid w:val="004B04BD"/>
    <w:rsid w:val="004B0546"/>
    <w:rsid w:val="004B06E2"/>
    <w:rsid w:val="004B0790"/>
    <w:rsid w:val="004B0807"/>
    <w:rsid w:val="004B0A4E"/>
    <w:rsid w:val="004B0C0C"/>
    <w:rsid w:val="004B0C77"/>
    <w:rsid w:val="004B0CB6"/>
    <w:rsid w:val="004B0D23"/>
    <w:rsid w:val="004B0D4D"/>
    <w:rsid w:val="004B0DD1"/>
    <w:rsid w:val="004B0E9A"/>
    <w:rsid w:val="004B12CF"/>
    <w:rsid w:val="004B14B3"/>
    <w:rsid w:val="004B1599"/>
    <w:rsid w:val="004B15C2"/>
    <w:rsid w:val="004B15C8"/>
    <w:rsid w:val="004B1731"/>
    <w:rsid w:val="004B18B6"/>
    <w:rsid w:val="004B190D"/>
    <w:rsid w:val="004B1963"/>
    <w:rsid w:val="004B1968"/>
    <w:rsid w:val="004B1AF1"/>
    <w:rsid w:val="004B1B7B"/>
    <w:rsid w:val="004B1DD6"/>
    <w:rsid w:val="004B1E98"/>
    <w:rsid w:val="004B1F2E"/>
    <w:rsid w:val="004B2046"/>
    <w:rsid w:val="004B21D1"/>
    <w:rsid w:val="004B21DF"/>
    <w:rsid w:val="004B244E"/>
    <w:rsid w:val="004B2488"/>
    <w:rsid w:val="004B2563"/>
    <w:rsid w:val="004B2626"/>
    <w:rsid w:val="004B269B"/>
    <w:rsid w:val="004B26FF"/>
    <w:rsid w:val="004B2721"/>
    <w:rsid w:val="004B2751"/>
    <w:rsid w:val="004B2844"/>
    <w:rsid w:val="004B2A85"/>
    <w:rsid w:val="004B2A96"/>
    <w:rsid w:val="004B2AE5"/>
    <w:rsid w:val="004B2B4F"/>
    <w:rsid w:val="004B2BC2"/>
    <w:rsid w:val="004B2C90"/>
    <w:rsid w:val="004B2CAA"/>
    <w:rsid w:val="004B2CE1"/>
    <w:rsid w:val="004B2D5C"/>
    <w:rsid w:val="004B314F"/>
    <w:rsid w:val="004B31F3"/>
    <w:rsid w:val="004B32B0"/>
    <w:rsid w:val="004B3403"/>
    <w:rsid w:val="004B346E"/>
    <w:rsid w:val="004B3EF8"/>
    <w:rsid w:val="004B3FE1"/>
    <w:rsid w:val="004B40AB"/>
    <w:rsid w:val="004B422C"/>
    <w:rsid w:val="004B4273"/>
    <w:rsid w:val="004B448F"/>
    <w:rsid w:val="004B4493"/>
    <w:rsid w:val="004B4502"/>
    <w:rsid w:val="004B4649"/>
    <w:rsid w:val="004B4854"/>
    <w:rsid w:val="004B4BEF"/>
    <w:rsid w:val="004B4C0E"/>
    <w:rsid w:val="004B4CE1"/>
    <w:rsid w:val="004B4DD7"/>
    <w:rsid w:val="004B4EA1"/>
    <w:rsid w:val="004B4ED5"/>
    <w:rsid w:val="004B4EE0"/>
    <w:rsid w:val="004B4FDE"/>
    <w:rsid w:val="004B533C"/>
    <w:rsid w:val="004B5455"/>
    <w:rsid w:val="004B5527"/>
    <w:rsid w:val="004B55CE"/>
    <w:rsid w:val="004B5875"/>
    <w:rsid w:val="004B588E"/>
    <w:rsid w:val="004B59C3"/>
    <w:rsid w:val="004B5A0E"/>
    <w:rsid w:val="004B5AFA"/>
    <w:rsid w:val="004B5B24"/>
    <w:rsid w:val="004B5BF1"/>
    <w:rsid w:val="004B5DE5"/>
    <w:rsid w:val="004B5FD3"/>
    <w:rsid w:val="004B6163"/>
    <w:rsid w:val="004B621A"/>
    <w:rsid w:val="004B6333"/>
    <w:rsid w:val="004B63AB"/>
    <w:rsid w:val="004B641F"/>
    <w:rsid w:val="004B66AE"/>
    <w:rsid w:val="004B67F2"/>
    <w:rsid w:val="004B684B"/>
    <w:rsid w:val="004B69A6"/>
    <w:rsid w:val="004B6BC7"/>
    <w:rsid w:val="004B6E35"/>
    <w:rsid w:val="004B6F41"/>
    <w:rsid w:val="004B6F7A"/>
    <w:rsid w:val="004B714F"/>
    <w:rsid w:val="004B71B4"/>
    <w:rsid w:val="004B7256"/>
    <w:rsid w:val="004B73BA"/>
    <w:rsid w:val="004B752E"/>
    <w:rsid w:val="004B7697"/>
    <w:rsid w:val="004B797A"/>
    <w:rsid w:val="004B7B64"/>
    <w:rsid w:val="004B7B76"/>
    <w:rsid w:val="004B7C39"/>
    <w:rsid w:val="004B7D60"/>
    <w:rsid w:val="004B7D8C"/>
    <w:rsid w:val="004B7ED1"/>
    <w:rsid w:val="004B7F79"/>
    <w:rsid w:val="004C01A9"/>
    <w:rsid w:val="004C036B"/>
    <w:rsid w:val="004C03C3"/>
    <w:rsid w:val="004C0456"/>
    <w:rsid w:val="004C04A5"/>
    <w:rsid w:val="004C04DA"/>
    <w:rsid w:val="004C04E3"/>
    <w:rsid w:val="004C0557"/>
    <w:rsid w:val="004C067B"/>
    <w:rsid w:val="004C0894"/>
    <w:rsid w:val="004C08D7"/>
    <w:rsid w:val="004C0AD4"/>
    <w:rsid w:val="004C0B63"/>
    <w:rsid w:val="004C0D83"/>
    <w:rsid w:val="004C0ECE"/>
    <w:rsid w:val="004C0F55"/>
    <w:rsid w:val="004C0F9C"/>
    <w:rsid w:val="004C1037"/>
    <w:rsid w:val="004C1042"/>
    <w:rsid w:val="004C109E"/>
    <w:rsid w:val="004C10B7"/>
    <w:rsid w:val="004C118A"/>
    <w:rsid w:val="004C1338"/>
    <w:rsid w:val="004C148E"/>
    <w:rsid w:val="004C1670"/>
    <w:rsid w:val="004C17BB"/>
    <w:rsid w:val="004C1960"/>
    <w:rsid w:val="004C19CD"/>
    <w:rsid w:val="004C1AD3"/>
    <w:rsid w:val="004C1DB3"/>
    <w:rsid w:val="004C1EA5"/>
    <w:rsid w:val="004C2263"/>
    <w:rsid w:val="004C2603"/>
    <w:rsid w:val="004C277D"/>
    <w:rsid w:val="004C28A7"/>
    <w:rsid w:val="004C2A74"/>
    <w:rsid w:val="004C2AFD"/>
    <w:rsid w:val="004C2C33"/>
    <w:rsid w:val="004C2C86"/>
    <w:rsid w:val="004C2C8A"/>
    <w:rsid w:val="004C2CAA"/>
    <w:rsid w:val="004C2D66"/>
    <w:rsid w:val="004C2DF8"/>
    <w:rsid w:val="004C2EC4"/>
    <w:rsid w:val="004C300E"/>
    <w:rsid w:val="004C3074"/>
    <w:rsid w:val="004C3215"/>
    <w:rsid w:val="004C3419"/>
    <w:rsid w:val="004C349B"/>
    <w:rsid w:val="004C366C"/>
    <w:rsid w:val="004C36B0"/>
    <w:rsid w:val="004C38E5"/>
    <w:rsid w:val="004C39E7"/>
    <w:rsid w:val="004C3A51"/>
    <w:rsid w:val="004C3A6E"/>
    <w:rsid w:val="004C3AE9"/>
    <w:rsid w:val="004C3C18"/>
    <w:rsid w:val="004C3C21"/>
    <w:rsid w:val="004C3D76"/>
    <w:rsid w:val="004C3DDB"/>
    <w:rsid w:val="004C4381"/>
    <w:rsid w:val="004C44A6"/>
    <w:rsid w:val="004C4579"/>
    <w:rsid w:val="004C45BD"/>
    <w:rsid w:val="004C46B9"/>
    <w:rsid w:val="004C46E9"/>
    <w:rsid w:val="004C4B77"/>
    <w:rsid w:val="004C4FBF"/>
    <w:rsid w:val="004C4FDE"/>
    <w:rsid w:val="004C518A"/>
    <w:rsid w:val="004C531B"/>
    <w:rsid w:val="004C533D"/>
    <w:rsid w:val="004C579D"/>
    <w:rsid w:val="004C58DA"/>
    <w:rsid w:val="004C59F7"/>
    <w:rsid w:val="004C5B54"/>
    <w:rsid w:val="004C5BC2"/>
    <w:rsid w:val="004C5C95"/>
    <w:rsid w:val="004C5FF9"/>
    <w:rsid w:val="004C6046"/>
    <w:rsid w:val="004C60A4"/>
    <w:rsid w:val="004C6101"/>
    <w:rsid w:val="004C6123"/>
    <w:rsid w:val="004C613E"/>
    <w:rsid w:val="004C630B"/>
    <w:rsid w:val="004C638D"/>
    <w:rsid w:val="004C6494"/>
    <w:rsid w:val="004C666E"/>
    <w:rsid w:val="004C66A6"/>
    <w:rsid w:val="004C66EB"/>
    <w:rsid w:val="004C6A1C"/>
    <w:rsid w:val="004C6BAD"/>
    <w:rsid w:val="004C6BD5"/>
    <w:rsid w:val="004C6CE9"/>
    <w:rsid w:val="004C6D4B"/>
    <w:rsid w:val="004C6E0D"/>
    <w:rsid w:val="004C6EF8"/>
    <w:rsid w:val="004C712E"/>
    <w:rsid w:val="004C72D3"/>
    <w:rsid w:val="004C72DA"/>
    <w:rsid w:val="004C737F"/>
    <w:rsid w:val="004C74D5"/>
    <w:rsid w:val="004C7538"/>
    <w:rsid w:val="004C75DA"/>
    <w:rsid w:val="004C78F1"/>
    <w:rsid w:val="004C7BBA"/>
    <w:rsid w:val="004C7D77"/>
    <w:rsid w:val="004C7E41"/>
    <w:rsid w:val="004C7E52"/>
    <w:rsid w:val="004D02FF"/>
    <w:rsid w:val="004D0362"/>
    <w:rsid w:val="004D05B6"/>
    <w:rsid w:val="004D05BF"/>
    <w:rsid w:val="004D05F1"/>
    <w:rsid w:val="004D080E"/>
    <w:rsid w:val="004D085E"/>
    <w:rsid w:val="004D09C4"/>
    <w:rsid w:val="004D0AF9"/>
    <w:rsid w:val="004D0B9B"/>
    <w:rsid w:val="004D0CCC"/>
    <w:rsid w:val="004D0D2A"/>
    <w:rsid w:val="004D0E15"/>
    <w:rsid w:val="004D0EC4"/>
    <w:rsid w:val="004D0F00"/>
    <w:rsid w:val="004D1011"/>
    <w:rsid w:val="004D111D"/>
    <w:rsid w:val="004D1196"/>
    <w:rsid w:val="004D11B7"/>
    <w:rsid w:val="004D12EA"/>
    <w:rsid w:val="004D1323"/>
    <w:rsid w:val="004D154C"/>
    <w:rsid w:val="004D1566"/>
    <w:rsid w:val="004D17E2"/>
    <w:rsid w:val="004D17F8"/>
    <w:rsid w:val="004D1ADE"/>
    <w:rsid w:val="004D1B53"/>
    <w:rsid w:val="004D1C33"/>
    <w:rsid w:val="004D1C45"/>
    <w:rsid w:val="004D1CB0"/>
    <w:rsid w:val="004D1D17"/>
    <w:rsid w:val="004D1D47"/>
    <w:rsid w:val="004D218E"/>
    <w:rsid w:val="004D21DD"/>
    <w:rsid w:val="004D21F3"/>
    <w:rsid w:val="004D2307"/>
    <w:rsid w:val="004D2511"/>
    <w:rsid w:val="004D28F3"/>
    <w:rsid w:val="004D2A82"/>
    <w:rsid w:val="004D2B14"/>
    <w:rsid w:val="004D2DBF"/>
    <w:rsid w:val="004D3004"/>
    <w:rsid w:val="004D3182"/>
    <w:rsid w:val="004D328A"/>
    <w:rsid w:val="004D32C0"/>
    <w:rsid w:val="004D3483"/>
    <w:rsid w:val="004D34F0"/>
    <w:rsid w:val="004D357B"/>
    <w:rsid w:val="004D36C3"/>
    <w:rsid w:val="004D375E"/>
    <w:rsid w:val="004D389B"/>
    <w:rsid w:val="004D39F1"/>
    <w:rsid w:val="004D3ACE"/>
    <w:rsid w:val="004D3C23"/>
    <w:rsid w:val="004D3C81"/>
    <w:rsid w:val="004D3DFF"/>
    <w:rsid w:val="004D3EF8"/>
    <w:rsid w:val="004D3F85"/>
    <w:rsid w:val="004D4220"/>
    <w:rsid w:val="004D4288"/>
    <w:rsid w:val="004D428D"/>
    <w:rsid w:val="004D453E"/>
    <w:rsid w:val="004D4639"/>
    <w:rsid w:val="004D4865"/>
    <w:rsid w:val="004D48FB"/>
    <w:rsid w:val="004D495A"/>
    <w:rsid w:val="004D49C1"/>
    <w:rsid w:val="004D4C6A"/>
    <w:rsid w:val="004D4C73"/>
    <w:rsid w:val="004D4E40"/>
    <w:rsid w:val="004D500E"/>
    <w:rsid w:val="004D5363"/>
    <w:rsid w:val="004D5411"/>
    <w:rsid w:val="004D5636"/>
    <w:rsid w:val="004D5651"/>
    <w:rsid w:val="004D56BB"/>
    <w:rsid w:val="004D5825"/>
    <w:rsid w:val="004D5882"/>
    <w:rsid w:val="004D5B5D"/>
    <w:rsid w:val="004D5EA8"/>
    <w:rsid w:val="004D5F4B"/>
    <w:rsid w:val="004D5FA9"/>
    <w:rsid w:val="004D621E"/>
    <w:rsid w:val="004D62BC"/>
    <w:rsid w:val="004D6473"/>
    <w:rsid w:val="004D679D"/>
    <w:rsid w:val="004D67B1"/>
    <w:rsid w:val="004D6821"/>
    <w:rsid w:val="004D6883"/>
    <w:rsid w:val="004D69E1"/>
    <w:rsid w:val="004D6A4B"/>
    <w:rsid w:val="004D6BF9"/>
    <w:rsid w:val="004D6CDA"/>
    <w:rsid w:val="004D6D09"/>
    <w:rsid w:val="004D6E43"/>
    <w:rsid w:val="004D6E73"/>
    <w:rsid w:val="004D6F76"/>
    <w:rsid w:val="004D7125"/>
    <w:rsid w:val="004D7325"/>
    <w:rsid w:val="004D7398"/>
    <w:rsid w:val="004D73ED"/>
    <w:rsid w:val="004D7452"/>
    <w:rsid w:val="004D750F"/>
    <w:rsid w:val="004D7536"/>
    <w:rsid w:val="004D7614"/>
    <w:rsid w:val="004D781D"/>
    <w:rsid w:val="004D7947"/>
    <w:rsid w:val="004D79C6"/>
    <w:rsid w:val="004D7A3F"/>
    <w:rsid w:val="004D7BBB"/>
    <w:rsid w:val="004D7D7B"/>
    <w:rsid w:val="004D7EFA"/>
    <w:rsid w:val="004D7F15"/>
    <w:rsid w:val="004D7F5C"/>
    <w:rsid w:val="004D7FA9"/>
    <w:rsid w:val="004E001E"/>
    <w:rsid w:val="004E0122"/>
    <w:rsid w:val="004E0399"/>
    <w:rsid w:val="004E0412"/>
    <w:rsid w:val="004E0487"/>
    <w:rsid w:val="004E05C2"/>
    <w:rsid w:val="004E0724"/>
    <w:rsid w:val="004E08BA"/>
    <w:rsid w:val="004E08E2"/>
    <w:rsid w:val="004E0B33"/>
    <w:rsid w:val="004E0DB3"/>
    <w:rsid w:val="004E0E3E"/>
    <w:rsid w:val="004E1066"/>
    <w:rsid w:val="004E134B"/>
    <w:rsid w:val="004E14A9"/>
    <w:rsid w:val="004E14DD"/>
    <w:rsid w:val="004E1571"/>
    <w:rsid w:val="004E15A4"/>
    <w:rsid w:val="004E1901"/>
    <w:rsid w:val="004E192D"/>
    <w:rsid w:val="004E1A88"/>
    <w:rsid w:val="004E1D0C"/>
    <w:rsid w:val="004E1E8C"/>
    <w:rsid w:val="004E1E9B"/>
    <w:rsid w:val="004E1EB4"/>
    <w:rsid w:val="004E1F6E"/>
    <w:rsid w:val="004E21BC"/>
    <w:rsid w:val="004E22A8"/>
    <w:rsid w:val="004E22B3"/>
    <w:rsid w:val="004E2324"/>
    <w:rsid w:val="004E258C"/>
    <w:rsid w:val="004E2751"/>
    <w:rsid w:val="004E283A"/>
    <w:rsid w:val="004E28AA"/>
    <w:rsid w:val="004E28AC"/>
    <w:rsid w:val="004E2902"/>
    <w:rsid w:val="004E2B54"/>
    <w:rsid w:val="004E2D44"/>
    <w:rsid w:val="004E2E7E"/>
    <w:rsid w:val="004E3732"/>
    <w:rsid w:val="004E3993"/>
    <w:rsid w:val="004E3BEE"/>
    <w:rsid w:val="004E3E43"/>
    <w:rsid w:val="004E40FF"/>
    <w:rsid w:val="004E4140"/>
    <w:rsid w:val="004E4283"/>
    <w:rsid w:val="004E4446"/>
    <w:rsid w:val="004E44D2"/>
    <w:rsid w:val="004E454F"/>
    <w:rsid w:val="004E45E3"/>
    <w:rsid w:val="004E4626"/>
    <w:rsid w:val="004E46F2"/>
    <w:rsid w:val="004E472B"/>
    <w:rsid w:val="004E47ED"/>
    <w:rsid w:val="004E48EA"/>
    <w:rsid w:val="004E4A53"/>
    <w:rsid w:val="004E4BBB"/>
    <w:rsid w:val="004E4D55"/>
    <w:rsid w:val="004E4E40"/>
    <w:rsid w:val="004E50C0"/>
    <w:rsid w:val="004E50E9"/>
    <w:rsid w:val="004E5368"/>
    <w:rsid w:val="004E543E"/>
    <w:rsid w:val="004E56C2"/>
    <w:rsid w:val="004E56D1"/>
    <w:rsid w:val="004E5971"/>
    <w:rsid w:val="004E5B2E"/>
    <w:rsid w:val="004E5B4F"/>
    <w:rsid w:val="004E5C30"/>
    <w:rsid w:val="004E5C57"/>
    <w:rsid w:val="004E5D19"/>
    <w:rsid w:val="004E5D80"/>
    <w:rsid w:val="004E5E00"/>
    <w:rsid w:val="004E5F20"/>
    <w:rsid w:val="004E5FE4"/>
    <w:rsid w:val="004E6052"/>
    <w:rsid w:val="004E60F4"/>
    <w:rsid w:val="004E62E7"/>
    <w:rsid w:val="004E6349"/>
    <w:rsid w:val="004E636E"/>
    <w:rsid w:val="004E639B"/>
    <w:rsid w:val="004E6859"/>
    <w:rsid w:val="004E6CA9"/>
    <w:rsid w:val="004E6E0A"/>
    <w:rsid w:val="004E6EB8"/>
    <w:rsid w:val="004E6EDB"/>
    <w:rsid w:val="004E6FEB"/>
    <w:rsid w:val="004E7138"/>
    <w:rsid w:val="004E717D"/>
    <w:rsid w:val="004E718E"/>
    <w:rsid w:val="004E729B"/>
    <w:rsid w:val="004E7314"/>
    <w:rsid w:val="004E7583"/>
    <w:rsid w:val="004E75DE"/>
    <w:rsid w:val="004E785F"/>
    <w:rsid w:val="004E78B5"/>
    <w:rsid w:val="004E7B6D"/>
    <w:rsid w:val="004E7B6F"/>
    <w:rsid w:val="004E7C7C"/>
    <w:rsid w:val="004E7D08"/>
    <w:rsid w:val="004E7E9E"/>
    <w:rsid w:val="004F0076"/>
    <w:rsid w:val="004F00C6"/>
    <w:rsid w:val="004F0105"/>
    <w:rsid w:val="004F010B"/>
    <w:rsid w:val="004F0389"/>
    <w:rsid w:val="004F038F"/>
    <w:rsid w:val="004F03F3"/>
    <w:rsid w:val="004F045F"/>
    <w:rsid w:val="004F0657"/>
    <w:rsid w:val="004F0683"/>
    <w:rsid w:val="004F0830"/>
    <w:rsid w:val="004F095A"/>
    <w:rsid w:val="004F09E9"/>
    <w:rsid w:val="004F0A00"/>
    <w:rsid w:val="004F0A78"/>
    <w:rsid w:val="004F0A7C"/>
    <w:rsid w:val="004F0C80"/>
    <w:rsid w:val="004F0E97"/>
    <w:rsid w:val="004F0EE1"/>
    <w:rsid w:val="004F0FB3"/>
    <w:rsid w:val="004F0FD9"/>
    <w:rsid w:val="004F1008"/>
    <w:rsid w:val="004F10BC"/>
    <w:rsid w:val="004F112D"/>
    <w:rsid w:val="004F1199"/>
    <w:rsid w:val="004F1365"/>
    <w:rsid w:val="004F13AF"/>
    <w:rsid w:val="004F14F9"/>
    <w:rsid w:val="004F1620"/>
    <w:rsid w:val="004F16B5"/>
    <w:rsid w:val="004F16CB"/>
    <w:rsid w:val="004F190A"/>
    <w:rsid w:val="004F1BD0"/>
    <w:rsid w:val="004F1C43"/>
    <w:rsid w:val="004F1E58"/>
    <w:rsid w:val="004F2096"/>
    <w:rsid w:val="004F226A"/>
    <w:rsid w:val="004F2274"/>
    <w:rsid w:val="004F22E4"/>
    <w:rsid w:val="004F240F"/>
    <w:rsid w:val="004F2640"/>
    <w:rsid w:val="004F29CC"/>
    <w:rsid w:val="004F29F5"/>
    <w:rsid w:val="004F2A75"/>
    <w:rsid w:val="004F2AA4"/>
    <w:rsid w:val="004F2B52"/>
    <w:rsid w:val="004F2BDE"/>
    <w:rsid w:val="004F2C2A"/>
    <w:rsid w:val="004F3234"/>
    <w:rsid w:val="004F3679"/>
    <w:rsid w:val="004F36CF"/>
    <w:rsid w:val="004F3708"/>
    <w:rsid w:val="004F3BCC"/>
    <w:rsid w:val="004F3CFE"/>
    <w:rsid w:val="004F3D0C"/>
    <w:rsid w:val="004F3F90"/>
    <w:rsid w:val="004F3FE9"/>
    <w:rsid w:val="004F4030"/>
    <w:rsid w:val="004F42BB"/>
    <w:rsid w:val="004F4302"/>
    <w:rsid w:val="004F44CF"/>
    <w:rsid w:val="004F4568"/>
    <w:rsid w:val="004F459E"/>
    <w:rsid w:val="004F47B9"/>
    <w:rsid w:val="004F4802"/>
    <w:rsid w:val="004F4849"/>
    <w:rsid w:val="004F4A1A"/>
    <w:rsid w:val="004F4D46"/>
    <w:rsid w:val="004F4D9F"/>
    <w:rsid w:val="004F50D6"/>
    <w:rsid w:val="004F5414"/>
    <w:rsid w:val="004F56CB"/>
    <w:rsid w:val="004F57AD"/>
    <w:rsid w:val="004F5843"/>
    <w:rsid w:val="004F5968"/>
    <w:rsid w:val="004F5D30"/>
    <w:rsid w:val="004F5D9D"/>
    <w:rsid w:val="004F5EDB"/>
    <w:rsid w:val="004F5F38"/>
    <w:rsid w:val="004F6035"/>
    <w:rsid w:val="004F60CF"/>
    <w:rsid w:val="004F629B"/>
    <w:rsid w:val="004F6343"/>
    <w:rsid w:val="004F65A6"/>
    <w:rsid w:val="004F6636"/>
    <w:rsid w:val="004F6651"/>
    <w:rsid w:val="004F6774"/>
    <w:rsid w:val="004F67C1"/>
    <w:rsid w:val="004F68B1"/>
    <w:rsid w:val="004F699B"/>
    <w:rsid w:val="004F699E"/>
    <w:rsid w:val="004F6B8D"/>
    <w:rsid w:val="004F6F19"/>
    <w:rsid w:val="004F7220"/>
    <w:rsid w:val="004F743D"/>
    <w:rsid w:val="004F752D"/>
    <w:rsid w:val="004F75AB"/>
    <w:rsid w:val="004F75DA"/>
    <w:rsid w:val="004F76CC"/>
    <w:rsid w:val="004F7716"/>
    <w:rsid w:val="004F77B1"/>
    <w:rsid w:val="004F7B9C"/>
    <w:rsid w:val="004F7BAE"/>
    <w:rsid w:val="004F7DC9"/>
    <w:rsid w:val="004F7FF1"/>
    <w:rsid w:val="00500061"/>
    <w:rsid w:val="0050015A"/>
    <w:rsid w:val="005004F7"/>
    <w:rsid w:val="00500937"/>
    <w:rsid w:val="00500A54"/>
    <w:rsid w:val="00500C6B"/>
    <w:rsid w:val="00500F2E"/>
    <w:rsid w:val="00500F71"/>
    <w:rsid w:val="0050121C"/>
    <w:rsid w:val="005012C8"/>
    <w:rsid w:val="00501328"/>
    <w:rsid w:val="00501434"/>
    <w:rsid w:val="0050143D"/>
    <w:rsid w:val="005014FF"/>
    <w:rsid w:val="005015B4"/>
    <w:rsid w:val="00501787"/>
    <w:rsid w:val="005017B6"/>
    <w:rsid w:val="005017E3"/>
    <w:rsid w:val="0050183B"/>
    <w:rsid w:val="00501847"/>
    <w:rsid w:val="00501848"/>
    <w:rsid w:val="00501A22"/>
    <w:rsid w:val="00501D45"/>
    <w:rsid w:val="00501EEF"/>
    <w:rsid w:val="00502131"/>
    <w:rsid w:val="0050214D"/>
    <w:rsid w:val="005021BD"/>
    <w:rsid w:val="0050220B"/>
    <w:rsid w:val="005022D4"/>
    <w:rsid w:val="00502322"/>
    <w:rsid w:val="00502548"/>
    <w:rsid w:val="00502790"/>
    <w:rsid w:val="005027FA"/>
    <w:rsid w:val="00502823"/>
    <w:rsid w:val="00502AB7"/>
    <w:rsid w:val="00502B54"/>
    <w:rsid w:val="00502DAC"/>
    <w:rsid w:val="00502E53"/>
    <w:rsid w:val="005030BA"/>
    <w:rsid w:val="005030DB"/>
    <w:rsid w:val="00503194"/>
    <w:rsid w:val="005031DB"/>
    <w:rsid w:val="005031F6"/>
    <w:rsid w:val="005032E4"/>
    <w:rsid w:val="005033A1"/>
    <w:rsid w:val="0050393D"/>
    <w:rsid w:val="00503AD5"/>
    <w:rsid w:val="00503B11"/>
    <w:rsid w:val="00503C6A"/>
    <w:rsid w:val="00503DCF"/>
    <w:rsid w:val="00503E4A"/>
    <w:rsid w:val="00503E7B"/>
    <w:rsid w:val="00503F05"/>
    <w:rsid w:val="00504037"/>
    <w:rsid w:val="005040D3"/>
    <w:rsid w:val="00504358"/>
    <w:rsid w:val="005045A0"/>
    <w:rsid w:val="005047D7"/>
    <w:rsid w:val="00504875"/>
    <w:rsid w:val="005049D4"/>
    <w:rsid w:val="00504A04"/>
    <w:rsid w:val="00504BAC"/>
    <w:rsid w:val="00504C1E"/>
    <w:rsid w:val="00504E6C"/>
    <w:rsid w:val="00504EBC"/>
    <w:rsid w:val="00504ED7"/>
    <w:rsid w:val="00504F93"/>
    <w:rsid w:val="005050CA"/>
    <w:rsid w:val="005056D5"/>
    <w:rsid w:val="00505748"/>
    <w:rsid w:val="005058EE"/>
    <w:rsid w:val="00505E4F"/>
    <w:rsid w:val="00505E86"/>
    <w:rsid w:val="00505F28"/>
    <w:rsid w:val="00506114"/>
    <w:rsid w:val="00506129"/>
    <w:rsid w:val="0050653F"/>
    <w:rsid w:val="0050654F"/>
    <w:rsid w:val="0050659E"/>
    <w:rsid w:val="005069B6"/>
    <w:rsid w:val="00506B38"/>
    <w:rsid w:val="00506D9B"/>
    <w:rsid w:val="00506DC5"/>
    <w:rsid w:val="00506DE3"/>
    <w:rsid w:val="00507102"/>
    <w:rsid w:val="0050746E"/>
    <w:rsid w:val="0050752D"/>
    <w:rsid w:val="005076EA"/>
    <w:rsid w:val="00507757"/>
    <w:rsid w:val="00507790"/>
    <w:rsid w:val="005077C6"/>
    <w:rsid w:val="00507966"/>
    <w:rsid w:val="00507B7B"/>
    <w:rsid w:val="00507C4F"/>
    <w:rsid w:val="00507D1D"/>
    <w:rsid w:val="00507D87"/>
    <w:rsid w:val="00507DBD"/>
    <w:rsid w:val="00507E32"/>
    <w:rsid w:val="00507EE2"/>
    <w:rsid w:val="00507F7C"/>
    <w:rsid w:val="00507F8E"/>
    <w:rsid w:val="00510173"/>
    <w:rsid w:val="0051061A"/>
    <w:rsid w:val="005107CE"/>
    <w:rsid w:val="005107E6"/>
    <w:rsid w:val="0051082A"/>
    <w:rsid w:val="005108FA"/>
    <w:rsid w:val="00510900"/>
    <w:rsid w:val="00510B98"/>
    <w:rsid w:val="00510CE2"/>
    <w:rsid w:val="00510D1E"/>
    <w:rsid w:val="00510D40"/>
    <w:rsid w:val="00510E09"/>
    <w:rsid w:val="00510E8B"/>
    <w:rsid w:val="00510F05"/>
    <w:rsid w:val="00510F2C"/>
    <w:rsid w:val="005110F3"/>
    <w:rsid w:val="0051120F"/>
    <w:rsid w:val="0051121F"/>
    <w:rsid w:val="00511278"/>
    <w:rsid w:val="0051137A"/>
    <w:rsid w:val="00511507"/>
    <w:rsid w:val="00511567"/>
    <w:rsid w:val="0051166C"/>
    <w:rsid w:val="0051170A"/>
    <w:rsid w:val="00511719"/>
    <w:rsid w:val="00511773"/>
    <w:rsid w:val="00511946"/>
    <w:rsid w:val="00511970"/>
    <w:rsid w:val="00511978"/>
    <w:rsid w:val="005119B0"/>
    <w:rsid w:val="005119F0"/>
    <w:rsid w:val="00511B8D"/>
    <w:rsid w:val="00511C95"/>
    <w:rsid w:val="00511DAD"/>
    <w:rsid w:val="00511DD3"/>
    <w:rsid w:val="00511E12"/>
    <w:rsid w:val="00511E36"/>
    <w:rsid w:val="00511F14"/>
    <w:rsid w:val="00511F44"/>
    <w:rsid w:val="00511F66"/>
    <w:rsid w:val="005122A6"/>
    <w:rsid w:val="0051255B"/>
    <w:rsid w:val="005125D3"/>
    <w:rsid w:val="0051272F"/>
    <w:rsid w:val="00512752"/>
    <w:rsid w:val="0051281B"/>
    <w:rsid w:val="005128D7"/>
    <w:rsid w:val="005129CD"/>
    <w:rsid w:val="00512ACF"/>
    <w:rsid w:val="00512B15"/>
    <w:rsid w:val="00512B75"/>
    <w:rsid w:val="00512E30"/>
    <w:rsid w:val="00512E66"/>
    <w:rsid w:val="00512E7B"/>
    <w:rsid w:val="00512F53"/>
    <w:rsid w:val="00512FDD"/>
    <w:rsid w:val="0051305E"/>
    <w:rsid w:val="005130AF"/>
    <w:rsid w:val="0051310D"/>
    <w:rsid w:val="00513572"/>
    <w:rsid w:val="00513594"/>
    <w:rsid w:val="00513804"/>
    <w:rsid w:val="005138CC"/>
    <w:rsid w:val="00513A8A"/>
    <w:rsid w:val="00513B05"/>
    <w:rsid w:val="00513B72"/>
    <w:rsid w:val="00513CF1"/>
    <w:rsid w:val="00513D22"/>
    <w:rsid w:val="00513EAB"/>
    <w:rsid w:val="00514006"/>
    <w:rsid w:val="005140A7"/>
    <w:rsid w:val="0051492B"/>
    <w:rsid w:val="00514965"/>
    <w:rsid w:val="00514A71"/>
    <w:rsid w:val="00514B9B"/>
    <w:rsid w:val="00514DD8"/>
    <w:rsid w:val="00514ECC"/>
    <w:rsid w:val="00514F61"/>
    <w:rsid w:val="00514F87"/>
    <w:rsid w:val="005150CD"/>
    <w:rsid w:val="0051550A"/>
    <w:rsid w:val="00515543"/>
    <w:rsid w:val="00515584"/>
    <w:rsid w:val="00515591"/>
    <w:rsid w:val="005155B1"/>
    <w:rsid w:val="00515694"/>
    <w:rsid w:val="0051583F"/>
    <w:rsid w:val="005158F5"/>
    <w:rsid w:val="0051591E"/>
    <w:rsid w:val="005159EA"/>
    <w:rsid w:val="00515B04"/>
    <w:rsid w:val="00515B11"/>
    <w:rsid w:val="00515C42"/>
    <w:rsid w:val="00515CCC"/>
    <w:rsid w:val="00515D2A"/>
    <w:rsid w:val="00515D64"/>
    <w:rsid w:val="00515E74"/>
    <w:rsid w:val="00515EB7"/>
    <w:rsid w:val="0051629C"/>
    <w:rsid w:val="00516536"/>
    <w:rsid w:val="0051667F"/>
    <w:rsid w:val="00516748"/>
    <w:rsid w:val="005167A9"/>
    <w:rsid w:val="00516809"/>
    <w:rsid w:val="00516CE0"/>
    <w:rsid w:val="00517086"/>
    <w:rsid w:val="00517130"/>
    <w:rsid w:val="00517156"/>
    <w:rsid w:val="005171B9"/>
    <w:rsid w:val="00517240"/>
    <w:rsid w:val="005172CF"/>
    <w:rsid w:val="0051735F"/>
    <w:rsid w:val="005174D8"/>
    <w:rsid w:val="0051763D"/>
    <w:rsid w:val="005176A3"/>
    <w:rsid w:val="00517724"/>
    <w:rsid w:val="00517AB9"/>
    <w:rsid w:val="00517AE1"/>
    <w:rsid w:val="00517B7E"/>
    <w:rsid w:val="00517C74"/>
    <w:rsid w:val="00517CE7"/>
    <w:rsid w:val="00517D3C"/>
    <w:rsid w:val="00517E0E"/>
    <w:rsid w:val="00517E21"/>
    <w:rsid w:val="00517F54"/>
    <w:rsid w:val="0052010A"/>
    <w:rsid w:val="0052020B"/>
    <w:rsid w:val="00520211"/>
    <w:rsid w:val="0052061E"/>
    <w:rsid w:val="005206D6"/>
    <w:rsid w:val="005207D5"/>
    <w:rsid w:val="0052097E"/>
    <w:rsid w:val="00520C66"/>
    <w:rsid w:val="00520CBC"/>
    <w:rsid w:val="00520DA1"/>
    <w:rsid w:val="005211CB"/>
    <w:rsid w:val="00521256"/>
    <w:rsid w:val="00521314"/>
    <w:rsid w:val="0052145D"/>
    <w:rsid w:val="00521641"/>
    <w:rsid w:val="00521683"/>
    <w:rsid w:val="00521714"/>
    <w:rsid w:val="00521784"/>
    <w:rsid w:val="00521829"/>
    <w:rsid w:val="0052185F"/>
    <w:rsid w:val="005218CB"/>
    <w:rsid w:val="00521A4B"/>
    <w:rsid w:val="00521AFE"/>
    <w:rsid w:val="00521B4D"/>
    <w:rsid w:val="00521D52"/>
    <w:rsid w:val="00521D61"/>
    <w:rsid w:val="00521E5E"/>
    <w:rsid w:val="0052210D"/>
    <w:rsid w:val="005221D8"/>
    <w:rsid w:val="005221E6"/>
    <w:rsid w:val="00522230"/>
    <w:rsid w:val="005223B8"/>
    <w:rsid w:val="0052284D"/>
    <w:rsid w:val="00522B37"/>
    <w:rsid w:val="00522C4B"/>
    <w:rsid w:val="00522D70"/>
    <w:rsid w:val="00522E43"/>
    <w:rsid w:val="00523074"/>
    <w:rsid w:val="00523194"/>
    <w:rsid w:val="005231D3"/>
    <w:rsid w:val="00523560"/>
    <w:rsid w:val="00523630"/>
    <w:rsid w:val="005237F8"/>
    <w:rsid w:val="0052383B"/>
    <w:rsid w:val="005238E3"/>
    <w:rsid w:val="005238F7"/>
    <w:rsid w:val="0052390E"/>
    <w:rsid w:val="005239BA"/>
    <w:rsid w:val="00523A00"/>
    <w:rsid w:val="00523A07"/>
    <w:rsid w:val="00523A10"/>
    <w:rsid w:val="00523B9D"/>
    <w:rsid w:val="00523D68"/>
    <w:rsid w:val="00524130"/>
    <w:rsid w:val="0052419D"/>
    <w:rsid w:val="005242C5"/>
    <w:rsid w:val="00524435"/>
    <w:rsid w:val="00524554"/>
    <w:rsid w:val="005246FB"/>
    <w:rsid w:val="00524734"/>
    <w:rsid w:val="00524945"/>
    <w:rsid w:val="005249A7"/>
    <w:rsid w:val="00524A54"/>
    <w:rsid w:val="00524CB9"/>
    <w:rsid w:val="00524D9B"/>
    <w:rsid w:val="00524DE3"/>
    <w:rsid w:val="00524EFB"/>
    <w:rsid w:val="005251EA"/>
    <w:rsid w:val="00525264"/>
    <w:rsid w:val="00525401"/>
    <w:rsid w:val="0052547B"/>
    <w:rsid w:val="005254C7"/>
    <w:rsid w:val="005254D1"/>
    <w:rsid w:val="00525539"/>
    <w:rsid w:val="00525739"/>
    <w:rsid w:val="0052573F"/>
    <w:rsid w:val="00525782"/>
    <w:rsid w:val="00525888"/>
    <w:rsid w:val="005259FF"/>
    <w:rsid w:val="00525BC2"/>
    <w:rsid w:val="00525D27"/>
    <w:rsid w:val="00525D52"/>
    <w:rsid w:val="00525D71"/>
    <w:rsid w:val="00525E28"/>
    <w:rsid w:val="00525F86"/>
    <w:rsid w:val="00526097"/>
    <w:rsid w:val="005260C4"/>
    <w:rsid w:val="0052610B"/>
    <w:rsid w:val="005261AD"/>
    <w:rsid w:val="0052628D"/>
    <w:rsid w:val="0052635A"/>
    <w:rsid w:val="0052638F"/>
    <w:rsid w:val="0052678A"/>
    <w:rsid w:val="00526801"/>
    <w:rsid w:val="005268C5"/>
    <w:rsid w:val="005268FF"/>
    <w:rsid w:val="0052691D"/>
    <w:rsid w:val="0052699F"/>
    <w:rsid w:val="005269A1"/>
    <w:rsid w:val="00526A32"/>
    <w:rsid w:val="00526B91"/>
    <w:rsid w:val="00526C4B"/>
    <w:rsid w:val="00526E3B"/>
    <w:rsid w:val="00526E65"/>
    <w:rsid w:val="00526FB4"/>
    <w:rsid w:val="0052718A"/>
    <w:rsid w:val="0052721C"/>
    <w:rsid w:val="00527272"/>
    <w:rsid w:val="00527293"/>
    <w:rsid w:val="00527777"/>
    <w:rsid w:val="00527899"/>
    <w:rsid w:val="005279D6"/>
    <w:rsid w:val="00527AF1"/>
    <w:rsid w:val="00527B2C"/>
    <w:rsid w:val="00527F1B"/>
    <w:rsid w:val="00527F74"/>
    <w:rsid w:val="00527FC1"/>
    <w:rsid w:val="0053007B"/>
    <w:rsid w:val="0053020A"/>
    <w:rsid w:val="00530310"/>
    <w:rsid w:val="00530535"/>
    <w:rsid w:val="005305CC"/>
    <w:rsid w:val="00530668"/>
    <w:rsid w:val="00530994"/>
    <w:rsid w:val="00530A55"/>
    <w:rsid w:val="00530AE8"/>
    <w:rsid w:val="00530B1A"/>
    <w:rsid w:val="00530D0C"/>
    <w:rsid w:val="00530D24"/>
    <w:rsid w:val="00530DA3"/>
    <w:rsid w:val="00530F82"/>
    <w:rsid w:val="005310D1"/>
    <w:rsid w:val="00531143"/>
    <w:rsid w:val="00531506"/>
    <w:rsid w:val="0053152F"/>
    <w:rsid w:val="0053158D"/>
    <w:rsid w:val="00531754"/>
    <w:rsid w:val="00531AEA"/>
    <w:rsid w:val="00531BCF"/>
    <w:rsid w:val="00531BE4"/>
    <w:rsid w:val="00531C4B"/>
    <w:rsid w:val="00531C6F"/>
    <w:rsid w:val="00531D57"/>
    <w:rsid w:val="00531EE0"/>
    <w:rsid w:val="00531F62"/>
    <w:rsid w:val="00532085"/>
    <w:rsid w:val="00532146"/>
    <w:rsid w:val="00532214"/>
    <w:rsid w:val="00532360"/>
    <w:rsid w:val="00532419"/>
    <w:rsid w:val="0053258E"/>
    <w:rsid w:val="005326DC"/>
    <w:rsid w:val="0053273F"/>
    <w:rsid w:val="0053274D"/>
    <w:rsid w:val="005327B9"/>
    <w:rsid w:val="005329EA"/>
    <w:rsid w:val="00532A14"/>
    <w:rsid w:val="00532A66"/>
    <w:rsid w:val="00532B1A"/>
    <w:rsid w:val="00532BAC"/>
    <w:rsid w:val="00532E4A"/>
    <w:rsid w:val="00532F17"/>
    <w:rsid w:val="00532F66"/>
    <w:rsid w:val="0053308D"/>
    <w:rsid w:val="00533130"/>
    <w:rsid w:val="00533333"/>
    <w:rsid w:val="00533355"/>
    <w:rsid w:val="00533488"/>
    <w:rsid w:val="005334D5"/>
    <w:rsid w:val="00533573"/>
    <w:rsid w:val="005335A8"/>
    <w:rsid w:val="0053366A"/>
    <w:rsid w:val="00533773"/>
    <w:rsid w:val="00533A04"/>
    <w:rsid w:val="00533B3C"/>
    <w:rsid w:val="00533E2D"/>
    <w:rsid w:val="00533EFC"/>
    <w:rsid w:val="00533F18"/>
    <w:rsid w:val="00533F48"/>
    <w:rsid w:val="00533F5E"/>
    <w:rsid w:val="00533FDB"/>
    <w:rsid w:val="00534018"/>
    <w:rsid w:val="0053417F"/>
    <w:rsid w:val="0053429B"/>
    <w:rsid w:val="005342B5"/>
    <w:rsid w:val="00534454"/>
    <w:rsid w:val="00534659"/>
    <w:rsid w:val="0053476E"/>
    <w:rsid w:val="00534949"/>
    <w:rsid w:val="00534C46"/>
    <w:rsid w:val="00534CF9"/>
    <w:rsid w:val="00534DA9"/>
    <w:rsid w:val="00534DB6"/>
    <w:rsid w:val="00534E33"/>
    <w:rsid w:val="00534E36"/>
    <w:rsid w:val="00534F14"/>
    <w:rsid w:val="0053504F"/>
    <w:rsid w:val="005350E7"/>
    <w:rsid w:val="00535458"/>
    <w:rsid w:val="00535507"/>
    <w:rsid w:val="00535534"/>
    <w:rsid w:val="005356AD"/>
    <w:rsid w:val="005357B0"/>
    <w:rsid w:val="00535814"/>
    <w:rsid w:val="0053586D"/>
    <w:rsid w:val="0053589D"/>
    <w:rsid w:val="00535919"/>
    <w:rsid w:val="00535A33"/>
    <w:rsid w:val="00535FCE"/>
    <w:rsid w:val="005361D8"/>
    <w:rsid w:val="00536274"/>
    <w:rsid w:val="00536404"/>
    <w:rsid w:val="00536557"/>
    <w:rsid w:val="00536594"/>
    <w:rsid w:val="005365B9"/>
    <w:rsid w:val="005365BA"/>
    <w:rsid w:val="005365EA"/>
    <w:rsid w:val="00536690"/>
    <w:rsid w:val="00536755"/>
    <w:rsid w:val="00536780"/>
    <w:rsid w:val="0053696E"/>
    <w:rsid w:val="00536A23"/>
    <w:rsid w:val="00536B30"/>
    <w:rsid w:val="00536C0C"/>
    <w:rsid w:val="00536C63"/>
    <w:rsid w:val="00536CC2"/>
    <w:rsid w:val="00536DC8"/>
    <w:rsid w:val="00536E87"/>
    <w:rsid w:val="00536ED8"/>
    <w:rsid w:val="00536F6A"/>
    <w:rsid w:val="0053703D"/>
    <w:rsid w:val="00537081"/>
    <w:rsid w:val="005370D3"/>
    <w:rsid w:val="005370D7"/>
    <w:rsid w:val="00537112"/>
    <w:rsid w:val="00537158"/>
    <w:rsid w:val="0053740A"/>
    <w:rsid w:val="00537640"/>
    <w:rsid w:val="005376DE"/>
    <w:rsid w:val="00537750"/>
    <w:rsid w:val="00537856"/>
    <w:rsid w:val="005379B8"/>
    <w:rsid w:val="00537A00"/>
    <w:rsid w:val="00537AB6"/>
    <w:rsid w:val="00537C89"/>
    <w:rsid w:val="00537E59"/>
    <w:rsid w:val="00537EB8"/>
    <w:rsid w:val="00537F2C"/>
    <w:rsid w:val="00537F31"/>
    <w:rsid w:val="00537F4E"/>
    <w:rsid w:val="00537FC1"/>
    <w:rsid w:val="005402C8"/>
    <w:rsid w:val="00540501"/>
    <w:rsid w:val="005405B4"/>
    <w:rsid w:val="005406A7"/>
    <w:rsid w:val="00540867"/>
    <w:rsid w:val="005409A2"/>
    <w:rsid w:val="00540B91"/>
    <w:rsid w:val="00540C1B"/>
    <w:rsid w:val="00540CD2"/>
    <w:rsid w:val="00540DB3"/>
    <w:rsid w:val="00541071"/>
    <w:rsid w:val="00541203"/>
    <w:rsid w:val="00541204"/>
    <w:rsid w:val="00541239"/>
    <w:rsid w:val="00541398"/>
    <w:rsid w:val="00541474"/>
    <w:rsid w:val="005415F6"/>
    <w:rsid w:val="00541A77"/>
    <w:rsid w:val="00541C22"/>
    <w:rsid w:val="00541C73"/>
    <w:rsid w:val="00541F0B"/>
    <w:rsid w:val="00541F3E"/>
    <w:rsid w:val="0054215B"/>
    <w:rsid w:val="0054228A"/>
    <w:rsid w:val="00542301"/>
    <w:rsid w:val="005423F5"/>
    <w:rsid w:val="00542695"/>
    <w:rsid w:val="005426E0"/>
    <w:rsid w:val="005427A2"/>
    <w:rsid w:val="005427C6"/>
    <w:rsid w:val="0054289C"/>
    <w:rsid w:val="00542BA7"/>
    <w:rsid w:val="00542D19"/>
    <w:rsid w:val="00542F16"/>
    <w:rsid w:val="00542F3D"/>
    <w:rsid w:val="00542FD9"/>
    <w:rsid w:val="00543028"/>
    <w:rsid w:val="00543087"/>
    <w:rsid w:val="005431D3"/>
    <w:rsid w:val="00543212"/>
    <w:rsid w:val="00543262"/>
    <w:rsid w:val="0054354B"/>
    <w:rsid w:val="005435AE"/>
    <w:rsid w:val="005435EB"/>
    <w:rsid w:val="0054366B"/>
    <w:rsid w:val="005436D6"/>
    <w:rsid w:val="00543A23"/>
    <w:rsid w:val="00543B72"/>
    <w:rsid w:val="00543DF9"/>
    <w:rsid w:val="00543E41"/>
    <w:rsid w:val="00543F3A"/>
    <w:rsid w:val="00543FED"/>
    <w:rsid w:val="00544221"/>
    <w:rsid w:val="00544444"/>
    <w:rsid w:val="00544537"/>
    <w:rsid w:val="0054468C"/>
    <w:rsid w:val="00544A5F"/>
    <w:rsid w:val="00544B42"/>
    <w:rsid w:val="00544BE3"/>
    <w:rsid w:val="00544D97"/>
    <w:rsid w:val="00544DBC"/>
    <w:rsid w:val="00544DDD"/>
    <w:rsid w:val="00544E64"/>
    <w:rsid w:val="00544EC1"/>
    <w:rsid w:val="00544F75"/>
    <w:rsid w:val="00545052"/>
    <w:rsid w:val="005455B4"/>
    <w:rsid w:val="005455BD"/>
    <w:rsid w:val="00545916"/>
    <w:rsid w:val="00545C9B"/>
    <w:rsid w:val="00545E41"/>
    <w:rsid w:val="00545E55"/>
    <w:rsid w:val="00545EBB"/>
    <w:rsid w:val="0054613C"/>
    <w:rsid w:val="00546151"/>
    <w:rsid w:val="00546234"/>
    <w:rsid w:val="00546501"/>
    <w:rsid w:val="00546531"/>
    <w:rsid w:val="00546A8F"/>
    <w:rsid w:val="00546BB4"/>
    <w:rsid w:val="00546BEF"/>
    <w:rsid w:val="00546C75"/>
    <w:rsid w:val="00546CE3"/>
    <w:rsid w:val="00546EED"/>
    <w:rsid w:val="00546F9B"/>
    <w:rsid w:val="00546FFA"/>
    <w:rsid w:val="005471ED"/>
    <w:rsid w:val="00547214"/>
    <w:rsid w:val="005472D7"/>
    <w:rsid w:val="005475D2"/>
    <w:rsid w:val="00547805"/>
    <w:rsid w:val="005478DB"/>
    <w:rsid w:val="00547CC6"/>
    <w:rsid w:val="00547EB0"/>
    <w:rsid w:val="00550172"/>
    <w:rsid w:val="00550374"/>
    <w:rsid w:val="005504CB"/>
    <w:rsid w:val="0055068B"/>
    <w:rsid w:val="005506E2"/>
    <w:rsid w:val="00550758"/>
    <w:rsid w:val="00550783"/>
    <w:rsid w:val="00550825"/>
    <w:rsid w:val="005508F4"/>
    <w:rsid w:val="0055097B"/>
    <w:rsid w:val="005509DC"/>
    <w:rsid w:val="00550A48"/>
    <w:rsid w:val="00550B37"/>
    <w:rsid w:val="0055101F"/>
    <w:rsid w:val="005510F8"/>
    <w:rsid w:val="00551161"/>
    <w:rsid w:val="00551504"/>
    <w:rsid w:val="005516A4"/>
    <w:rsid w:val="00551724"/>
    <w:rsid w:val="00551779"/>
    <w:rsid w:val="00551877"/>
    <w:rsid w:val="00551A98"/>
    <w:rsid w:val="00551BAE"/>
    <w:rsid w:val="00551CBC"/>
    <w:rsid w:val="00551E31"/>
    <w:rsid w:val="00551E89"/>
    <w:rsid w:val="00551EB0"/>
    <w:rsid w:val="00551F0E"/>
    <w:rsid w:val="00552239"/>
    <w:rsid w:val="0055226E"/>
    <w:rsid w:val="00552277"/>
    <w:rsid w:val="005524BD"/>
    <w:rsid w:val="005526DD"/>
    <w:rsid w:val="0055276F"/>
    <w:rsid w:val="00552804"/>
    <w:rsid w:val="00552870"/>
    <w:rsid w:val="005528BD"/>
    <w:rsid w:val="005528E1"/>
    <w:rsid w:val="0055296E"/>
    <w:rsid w:val="00552A08"/>
    <w:rsid w:val="00552A6B"/>
    <w:rsid w:val="00552B26"/>
    <w:rsid w:val="00552EF2"/>
    <w:rsid w:val="00553020"/>
    <w:rsid w:val="0055306D"/>
    <w:rsid w:val="00553186"/>
    <w:rsid w:val="005532BE"/>
    <w:rsid w:val="0055361E"/>
    <w:rsid w:val="00553A0A"/>
    <w:rsid w:val="00553A73"/>
    <w:rsid w:val="00553A8D"/>
    <w:rsid w:val="00553AF6"/>
    <w:rsid w:val="00553BC5"/>
    <w:rsid w:val="00553D54"/>
    <w:rsid w:val="00553E9D"/>
    <w:rsid w:val="00553F95"/>
    <w:rsid w:val="00554068"/>
    <w:rsid w:val="005542C8"/>
    <w:rsid w:val="005542F9"/>
    <w:rsid w:val="00554615"/>
    <w:rsid w:val="0055465A"/>
    <w:rsid w:val="005546D1"/>
    <w:rsid w:val="005547C6"/>
    <w:rsid w:val="00554903"/>
    <w:rsid w:val="00554A12"/>
    <w:rsid w:val="00554A42"/>
    <w:rsid w:val="00554ABF"/>
    <w:rsid w:val="00554AC5"/>
    <w:rsid w:val="00554B50"/>
    <w:rsid w:val="00554C0B"/>
    <w:rsid w:val="00554EA2"/>
    <w:rsid w:val="00554F40"/>
    <w:rsid w:val="00554F74"/>
    <w:rsid w:val="00555078"/>
    <w:rsid w:val="005551F9"/>
    <w:rsid w:val="00555230"/>
    <w:rsid w:val="0055526E"/>
    <w:rsid w:val="00555461"/>
    <w:rsid w:val="0055557C"/>
    <w:rsid w:val="00555953"/>
    <w:rsid w:val="005559B7"/>
    <w:rsid w:val="00555A7F"/>
    <w:rsid w:val="00555B80"/>
    <w:rsid w:val="00555BA6"/>
    <w:rsid w:val="00555BDA"/>
    <w:rsid w:val="00555E61"/>
    <w:rsid w:val="00555FF5"/>
    <w:rsid w:val="00556110"/>
    <w:rsid w:val="005563B6"/>
    <w:rsid w:val="005563DE"/>
    <w:rsid w:val="00556575"/>
    <w:rsid w:val="005565E1"/>
    <w:rsid w:val="0055664D"/>
    <w:rsid w:val="005567D1"/>
    <w:rsid w:val="005568AC"/>
    <w:rsid w:val="00556B92"/>
    <w:rsid w:val="00556B96"/>
    <w:rsid w:val="00556C13"/>
    <w:rsid w:val="00556CA6"/>
    <w:rsid w:val="00556CAE"/>
    <w:rsid w:val="00556EBA"/>
    <w:rsid w:val="00556FE0"/>
    <w:rsid w:val="005570D7"/>
    <w:rsid w:val="0055718C"/>
    <w:rsid w:val="005573C5"/>
    <w:rsid w:val="00557462"/>
    <w:rsid w:val="00557546"/>
    <w:rsid w:val="00557601"/>
    <w:rsid w:val="00557683"/>
    <w:rsid w:val="0055789D"/>
    <w:rsid w:val="00557931"/>
    <w:rsid w:val="00557B1B"/>
    <w:rsid w:val="00557BB3"/>
    <w:rsid w:val="00557CF6"/>
    <w:rsid w:val="00557D4A"/>
    <w:rsid w:val="00557D87"/>
    <w:rsid w:val="00557E6C"/>
    <w:rsid w:val="00557EBC"/>
    <w:rsid w:val="00557F27"/>
    <w:rsid w:val="0056007D"/>
    <w:rsid w:val="0056014F"/>
    <w:rsid w:val="005601B8"/>
    <w:rsid w:val="00560240"/>
    <w:rsid w:val="005602D3"/>
    <w:rsid w:val="0056030D"/>
    <w:rsid w:val="005603EA"/>
    <w:rsid w:val="00560483"/>
    <w:rsid w:val="00560536"/>
    <w:rsid w:val="005605AF"/>
    <w:rsid w:val="00560613"/>
    <w:rsid w:val="005606F2"/>
    <w:rsid w:val="00560804"/>
    <w:rsid w:val="00560B13"/>
    <w:rsid w:val="00560B95"/>
    <w:rsid w:val="00560C32"/>
    <w:rsid w:val="00560C9F"/>
    <w:rsid w:val="00560D13"/>
    <w:rsid w:val="00560D1E"/>
    <w:rsid w:val="00560EEF"/>
    <w:rsid w:val="0056104A"/>
    <w:rsid w:val="0056105D"/>
    <w:rsid w:val="00561126"/>
    <w:rsid w:val="005611AE"/>
    <w:rsid w:val="0056120F"/>
    <w:rsid w:val="005612C0"/>
    <w:rsid w:val="00561322"/>
    <w:rsid w:val="005613DD"/>
    <w:rsid w:val="00561400"/>
    <w:rsid w:val="00561B79"/>
    <w:rsid w:val="00562367"/>
    <w:rsid w:val="0056241A"/>
    <w:rsid w:val="0056244F"/>
    <w:rsid w:val="005626E8"/>
    <w:rsid w:val="00562775"/>
    <w:rsid w:val="005627C6"/>
    <w:rsid w:val="00562927"/>
    <w:rsid w:val="0056297C"/>
    <w:rsid w:val="00562A56"/>
    <w:rsid w:val="00562A71"/>
    <w:rsid w:val="00562C57"/>
    <w:rsid w:val="00562E2A"/>
    <w:rsid w:val="00562ECC"/>
    <w:rsid w:val="00563244"/>
    <w:rsid w:val="0056355B"/>
    <w:rsid w:val="005637A5"/>
    <w:rsid w:val="00563890"/>
    <w:rsid w:val="005638D2"/>
    <w:rsid w:val="005639FC"/>
    <w:rsid w:val="00563ACC"/>
    <w:rsid w:val="00563B47"/>
    <w:rsid w:val="00563C2A"/>
    <w:rsid w:val="00563C87"/>
    <w:rsid w:val="00563C9F"/>
    <w:rsid w:val="00563CFF"/>
    <w:rsid w:val="00563D62"/>
    <w:rsid w:val="00563D8A"/>
    <w:rsid w:val="00563FA0"/>
    <w:rsid w:val="00563FC9"/>
    <w:rsid w:val="00563FDA"/>
    <w:rsid w:val="0056414F"/>
    <w:rsid w:val="0056420A"/>
    <w:rsid w:val="005642DF"/>
    <w:rsid w:val="00564393"/>
    <w:rsid w:val="005643BA"/>
    <w:rsid w:val="005643E9"/>
    <w:rsid w:val="0056454C"/>
    <w:rsid w:val="00564630"/>
    <w:rsid w:val="0056463E"/>
    <w:rsid w:val="00564699"/>
    <w:rsid w:val="00564755"/>
    <w:rsid w:val="00564B99"/>
    <w:rsid w:val="00564D33"/>
    <w:rsid w:val="00564D97"/>
    <w:rsid w:val="00565087"/>
    <w:rsid w:val="00565168"/>
    <w:rsid w:val="00565186"/>
    <w:rsid w:val="00565316"/>
    <w:rsid w:val="00565367"/>
    <w:rsid w:val="005654D3"/>
    <w:rsid w:val="00565729"/>
    <w:rsid w:val="00565731"/>
    <w:rsid w:val="00565882"/>
    <w:rsid w:val="00565893"/>
    <w:rsid w:val="0056596B"/>
    <w:rsid w:val="00565989"/>
    <w:rsid w:val="00565A7A"/>
    <w:rsid w:val="00565BB5"/>
    <w:rsid w:val="00565CD9"/>
    <w:rsid w:val="00565DFE"/>
    <w:rsid w:val="00565FA5"/>
    <w:rsid w:val="00566019"/>
    <w:rsid w:val="005661E1"/>
    <w:rsid w:val="0056638E"/>
    <w:rsid w:val="005664B7"/>
    <w:rsid w:val="005665DE"/>
    <w:rsid w:val="005666DA"/>
    <w:rsid w:val="0056696E"/>
    <w:rsid w:val="00566BAC"/>
    <w:rsid w:val="00566C23"/>
    <w:rsid w:val="00566C39"/>
    <w:rsid w:val="00566D20"/>
    <w:rsid w:val="00566E04"/>
    <w:rsid w:val="005670B8"/>
    <w:rsid w:val="00567114"/>
    <w:rsid w:val="0056712C"/>
    <w:rsid w:val="00567264"/>
    <w:rsid w:val="0056730F"/>
    <w:rsid w:val="005673C1"/>
    <w:rsid w:val="005674D3"/>
    <w:rsid w:val="00567572"/>
    <w:rsid w:val="00567685"/>
    <w:rsid w:val="005677EC"/>
    <w:rsid w:val="00567996"/>
    <w:rsid w:val="00567A06"/>
    <w:rsid w:val="00567BB7"/>
    <w:rsid w:val="0057022A"/>
    <w:rsid w:val="005702E1"/>
    <w:rsid w:val="00570449"/>
    <w:rsid w:val="005705DA"/>
    <w:rsid w:val="00570629"/>
    <w:rsid w:val="00570710"/>
    <w:rsid w:val="005707D5"/>
    <w:rsid w:val="00570840"/>
    <w:rsid w:val="0057099C"/>
    <w:rsid w:val="005709F3"/>
    <w:rsid w:val="00570C36"/>
    <w:rsid w:val="00570CA6"/>
    <w:rsid w:val="00570DB3"/>
    <w:rsid w:val="00570DE9"/>
    <w:rsid w:val="0057115D"/>
    <w:rsid w:val="00571176"/>
    <w:rsid w:val="005713C2"/>
    <w:rsid w:val="005714CF"/>
    <w:rsid w:val="00571769"/>
    <w:rsid w:val="0057187C"/>
    <w:rsid w:val="005719D2"/>
    <w:rsid w:val="00571A9F"/>
    <w:rsid w:val="00571B21"/>
    <w:rsid w:val="00571B9A"/>
    <w:rsid w:val="005721D9"/>
    <w:rsid w:val="0057259C"/>
    <w:rsid w:val="005725BB"/>
    <w:rsid w:val="005729D8"/>
    <w:rsid w:val="00572A8C"/>
    <w:rsid w:val="00572AC6"/>
    <w:rsid w:val="00572C30"/>
    <w:rsid w:val="00572E02"/>
    <w:rsid w:val="00572F20"/>
    <w:rsid w:val="005731AC"/>
    <w:rsid w:val="005731FC"/>
    <w:rsid w:val="0057327A"/>
    <w:rsid w:val="005732CD"/>
    <w:rsid w:val="005733C9"/>
    <w:rsid w:val="005733F3"/>
    <w:rsid w:val="005735B3"/>
    <w:rsid w:val="005736E8"/>
    <w:rsid w:val="00573885"/>
    <w:rsid w:val="00573918"/>
    <w:rsid w:val="00573C9D"/>
    <w:rsid w:val="00573E71"/>
    <w:rsid w:val="00573EC1"/>
    <w:rsid w:val="00573F40"/>
    <w:rsid w:val="00573FB6"/>
    <w:rsid w:val="00573FDE"/>
    <w:rsid w:val="00574013"/>
    <w:rsid w:val="00574170"/>
    <w:rsid w:val="005741D6"/>
    <w:rsid w:val="005741E6"/>
    <w:rsid w:val="005742FA"/>
    <w:rsid w:val="005743BF"/>
    <w:rsid w:val="005744F2"/>
    <w:rsid w:val="0057459A"/>
    <w:rsid w:val="005748F0"/>
    <w:rsid w:val="0057493E"/>
    <w:rsid w:val="00574A14"/>
    <w:rsid w:val="00574DD5"/>
    <w:rsid w:val="00574E02"/>
    <w:rsid w:val="00574FA8"/>
    <w:rsid w:val="00575008"/>
    <w:rsid w:val="00575075"/>
    <w:rsid w:val="00575220"/>
    <w:rsid w:val="005755A0"/>
    <w:rsid w:val="005758AF"/>
    <w:rsid w:val="00575AD4"/>
    <w:rsid w:val="00575C0C"/>
    <w:rsid w:val="00575CB6"/>
    <w:rsid w:val="00575DAA"/>
    <w:rsid w:val="00575E65"/>
    <w:rsid w:val="00575FDF"/>
    <w:rsid w:val="0057605A"/>
    <w:rsid w:val="00576463"/>
    <w:rsid w:val="0057673B"/>
    <w:rsid w:val="005767F6"/>
    <w:rsid w:val="00576841"/>
    <w:rsid w:val="00576A00"/>
    <w:rsid w:val="00576B6E"/>
    <w:rsid w:val="00576BA8"/>
    <w:rsid w:val="00576BE7"/>
    <w:rsid w:val="00576CFC"/>
    <w:rsid w:val="00576E78"/>
    <w:rsid w:val="00576FF6"/>
    <w:rsid w:val="00577296"/>
    <w:rsid w:val="005772BB"/>
    <w:rsid w:val="005772FF"/>
    <w:rsid w:val="00577303"/>
    <w:rsid w:val="005773A9"/>
    <w:rsid w:val="005773D0"/>
    <w:rsid w:val="005773D8"/>
    <w:rsid w:val="00577422"/>
    <w:rsid w:val="005774C0"/>
    <w:rsid w:val="00577528"/>
    <w:rsid w:val="00577911"/>
    <w:rsid w:val="00577918"/>
    <w:rsid w:val="00577A46"/>
    <w:rsid w:val="00577A62"/>
    <w:rsid w:val="00577B10"/>
    <w:rsid w:val="00577B50"/>
    <w:rsid w:val="00577CD2"/>
    <w:rsid w:val="00577D14"/>
    <w:rsid w:val="00577D60"/>
    <w:rsid w:val="00577DB8"/>
    <w:rsid w:val="00577DD2"/>
    <w:rsid w:val="00577E0F"/>
    <w:rsid w:val="00577F7C"/>
    <w:rsid w:val="00580116"/>
    <w:rsid w:val="00580169"/>
    <w:rsid w:val="00580182"/>
    <w:rsid w:val="0058032A"/>
    <w:rsid w:val="00580681"/>
    <w:rsid w:val="0058075A"/>
    <w:rsid w:val="00580847"/>
    <w:rsid w:val="005808C1"/>
    <w:rsid w:val="00580AF1"/>
    <w:rsid w:val="00580B7C"/>
    <w:rsid w:val="00580C8D"/>
    <w:rsid w:val="00580C9A"/>
    <w:rsid w:val="00580D1B"/>
    <w:rsid w:val="00580E7E"/>
    <w:rsid w:val="00580FF5"/>
    <w:rsid w:val="0058150F"/>
    <w:rsid w:val="0058155E"/>
    <w:rsid w:val="005817B5"/>
    <w:rsid w:val="00581885"/>
    <w:rsid w:val="005819BE"/>
    <w:rsid w:val="00581A2D"/>
    <w:rsid w:val="00581C3F"/>
    <w:rsid w:val="00582057"/>
    <w:rsid w:val="005821C6"/>
    <w:rsid w:val="005822A4"/>
    <w:rsid w:val="005822D3"/>
    <w:rsid w:val="00582315"/>
    <w:rsid w:val="005823DE"/>
    <w:rsid w:val="00582406"/>
    <w:rsid w:val="0058249C"/>
    <w:rsid w:val="005824BF"/>
    <w:rsid w:val="0058250C"/>
    <w:rsid w:val="00582534"/>
    <w:rsid w:val="00582606"/>
    <w:rsid w:val="00582729"/>
    <w:rsid w:val="00582730"/>
    <w:rsid w:val="00582824"/>
    <w:rsid w:val="0058284C"/>
    <w:rsid w:val="00582899"/>
    <w:rsid w:val="005829A7"/>
    <w:rsid w:val="00582A9F"/>
    <w:rsid w:val="00582AC1"/>
    <w:rsid w:val="00582B69"/>
    <w:rsid w:val="00582B95"/>
    <w:rsid w:val="00582BA7"/>
    <w:rsid w:val="00582BD2"/>
    <w:rsid w:val="00582DB6"/>
    <w:rsid w:val="00582FFE"/>
    <w:rsid w:val="00583002"/>
    <w:rsid w:val="005831B2"/>
    <w:rsid w:val="0058322E"/>
    <w:rsid w:val="005833B3"/>
    <w:rsid w:val="0058345D"/>
    <w:rsid w:val="00583563"/>
    <w:rsid w:val="005837B7"/>
    <w:rsid w:val="005837E2"/>
    <w:rsid w:val="00583897"/>
    <w:rsid w:val="00583B6E"/>
    <w:rsid w:val="00583F90"/>
    <w:rsid w:val="00584058"/>
    <w:rsid w:val="005841AF"/>
    <w:rsid w:val="005843D3"/>
    <w:rsid w:val="005844F2"/>
    <w:rsid w:val="005846AC"/>
    <w:rsid w:val="005846E6"/>
    <w:rsid w:val="005848FB"/>
    <w:rsid w:val="00584BEE"/>
    <w:rsid w:val="00584C06"/>
    <w:rsid w:val="00585038"/>
    <w:rsid w:val="0058503A"/>
    <w:rsid w:val="005851D5"/>
    <w:rsid w:val="00585490"/>
    <w:rsid w:val="0058558B"/>
    <w:rsid w:val="00585594"/>
    <w:rsid w:val="005855CD"/>
    <w:rsid w:val="00585666"/>
    <w:rsid w:val="0058573A"/>
    <w:rsid w:val="005857C6"/>
    <w:rsid w:val="0058580F"/>
    <w:rsid w:val="00585848"/>
    <w:rsid w:val="00585884"/>
    <w:rsid w:val="005858EB"/>
    <w:rsid w:val="00585C7C"/>
    <w:rsid w:val="00585D0C"/>
    <w:rsid w:val="00585D65"/>
    <w:rsid w:val="00585DD7"/>
    <w:rsid w:val="00585EBC"/>
    <w:rsid w:val="00585F5C"/>
    <w:rsid w:val="00586179"/>
    <w:rsid w:val="0058629F"/>
    <w:rsid w:val="005863B1"/>
    <w:rsid w:val="005863BF"/>
    <w:rsid w:val="005864D1"/>
    <w:rsid w:val="00586507"/>
    <w:rsid w:val="005868BB"/>
    <w:rsid w:val="0058693B"/>
    <w:rsid w:val="00587037"/>
    <w:rsid w:val="0058704C"/>
    <w:rsid w:val="005871D3"/>
    <w:rsid w:val="0058723D"/>
    <w:rsid w:val="0058732F"/>
    <w:rsid w:val="00587379"/>
    <w:rsid w:val="005873D3"/>
    <w:rsid w:val="00587402"/>
    <w:rsid w:val="00587573"/>
    <w:rsid w:val="0058762D"/>
    <w:rsid w:val="00587738"/>
    <w:rsid w:val="005877B6"/>
    <w:rsid w:val="005878AC"/>
    <w:rsid w:val="005879C8"/>
    <w:rsid w:val="00587A14"/>
    <w:rsid w:val="00587A70"/>
    <w:rsid w:val="00587A80"/>
    <w:rsid w:val="00587EEC"/>
    <w:rsid w:val="00590006"/>
    <w:rsid w:val="0059010F"/>
    <w:rsid w:val="0059017D"/>
    <w:rsid w:val="005901FD"/>
    <w:rsid w:val="005902F6"/>
    <w:rsid w:val="0059034C"/>
    <w:rsid w:val="00590488"/>
    <w:rsid w:val="00590528"/>
    <w:rsid w:val="005905ED"/>
    <w:rsid w:val="0059067B"/>
    <w:rsid w:val="00590A62"/>
    <w:rsid w:val="00590ACB"/>
    <w:rsid w:val="00590EE1"/>
    <w:rsid w:val="00591018"/>
    <w:rsid w:val="00591155"/>
    <w:rsid w:val="00591195"/>
    <w:rsid w:val="005912E6"/>
    <w:rsid w:val="00591353"/>
    <w:rsid w:val="00591497"/>
    <w:rsid w:val="005915C7"/>
    <w:rsid w:val="005916FB"/>
    <w:rsid w:val="00591862"/>
    <w:rsid w:val="00591BB2"/>
    <w:rsid w:val="00591BB6"/>
    <w:rsid w:val="00591D27"/>
    <w:rsid w:val="00591DA3"/>
    <w:rsid w:val="00591F47"/>
    <w:rsid w:val="00592315"/>
    <w:rsid w:val="00592603"/>
    <w:rsid w:val="00592704"/>
    <w:rsid w:val="00592976"/>
    <w:rsid w:val="00592AA9"/>
    <w:rsid w:val="00592BD8"/>
    <w:rsid w:val="00592C21"/>
    <w:rsid w:val="00592C65"/>
    <w:rsid w:val="00592E26"/>
    <w:rsid w:val="00593020"/>
    <w:rsid w:val="0059303C"/>
    <w:rsid w:val="00593257"/>
    <w:rsid w:val="005932F0"/>
    <w:rsid w:val="00593334"/>
    <w:rsid w:val="005935ED"/>
    <w:rsid w:val="0059378B"/>
    <w:rsid w:val="005937BD"/>
    <w:rsid w:val="00593926"/>
    <w:rsid w:val="00593AAE"/>
    <w:rsid w:val="00593C2A"/>
    <w:rsid w:val="00593D6F"/>
    <w:rsid w:val="00593DFF"/>
    <w:rsid w:val="00593EF8"/>
    <w:rsid w:val="00593F9C"/>
    <w:rsid w:val="00594044"/>
    <w:rsid w:val="005941E3"/>
    <w:rsid w:val="00594202"/>
    <w:rsid w:val="005942CA"/>
    <w:rsid w:val="005943B3"/>
    <w:rsid w:val="0059446B"/>
    <w:rsid w:val="005949E0"/>
    <w:rsid w:val="00594B88"/>
    <w:rsid w:val="00594B97"/>
    <w:rsid w:val="00594C5B"/>
    <w:rsid w:val="00594CBD"/>
    <w:rsid w:val="00594D46"/>
    <w:rsid w:val="00594FD2"/>
    <w:rsid w:val="00595044"/>
    <w:rsid w:val="0059505A"/>
    <w:rsid w:val="0059510A"/>
    <w:rsid w:val="0059517E"/>
    <w:rsid w:val="0059525D"/>
    <w:rsid w:val="0059548C"/>
    <w:rsid w:val="00595678"/>
    <w:rsid w:val="0059569E"/>
    <w:rsid w:val="005956EA"/>
    <w:rsid w:val="005957C5"/>
    <w:rsid w:val="005957FF"/>
    <w:rsid w:val="00595924"/>
    <w:rsid w:val="0059593C"/>
    <w:rsid w:val="00595D1D"/>
    <w:rsid w:val="00595D8F"/>
    <w:rsid w:val="00595E14"/>
    <w:rsid w:val="00595E3A"/>
    <w:rsid w:val="00595EE4"/>
    <w:rsid w:val="00595FC8"/>
    <w:rsid w:val="005961C7"/>
    <w:rsid w:val="00596374"/>
    <w:rsid w:val="005963EE"/>
    <w:rsid w:val="0059641E"/>
    <w:rsid w:val="005964D4"/>
    <w:rsid w:val="00596B1C"/>
    <w:rsid w:val="00596C3C"/>
    <w:rsid w:val="00596CF7"/>
    <w:rsid w:val="00596DFD"/>
    <w:rsid w:val="00596F6F"/>
    <w:rsid w:val="00596FF7"/>
    <w:rsid w:val="0059706F"/>
    <w:rsid w:val="00597086"/>
    <w:rsid w:val="005971E1"/>
    <w:rsid w:val="005972D5"/>
    <w:rsid w:val="00597341"/>
    <w:rsid w:val="00597411"/>
    <w:rsid w:val="0059747A"/>
    <w:rsid w:val="005976AF"/>
    <w:rsid w:val="005977DF"/>
    <w:rsid w:val="00597959"/>
    <w:rsid w:val="0059798E"/>
    <w:rsid w:val="005979B9"/>
    <w:rsid w:val="00597BB0"/>
    <w:rsid w:val="00597C60"/>
    <w:rsid w:val="00597E99"/>
    <w:rsid w:val="00597F9C"/>
    <w:rsid w:val="00597FDE"/>
    <w:rsid w:val="005A0126"/>
    <w:rsid w:val="005A018A"/>
    <w:rsid w:val="005A01E9"/>
    <w:rsid w:val="005A02F1"/>
    <w:rsid w:val="005A0389"/>
    <w:rsid w:val="005A03DF"/>
    <w:rsid w:val="005A03EA"/>
    <w:rsid w:val="005A04AE"/>
    <w:rsid w:val="005A079B"/>
    <w:rsid w:val="005A07A2"/>
    <w:rsid w:val="005A09FD"/>
    <w:rsid w:val="005A0A9D"/>
    <w:rsid w:val="005A0AAA"/>
    <w:rsid w:val="005A0AD6"/>
    <w:rsid w:val="005A0DFB"/>
    <w:rsid w:val="005A1072"/>
    <w:rsid w:val="005A135A"/>
    <w:rsid w:val="005A1402"/>
    <w:rsid w:val="005A1409"/>
    <w:rsid w:val="005A1475"/>
    <w:rsid w:val="005A1476"/>
    <w:rsid w:val="005A17C9"/>
    <w:rsid w:val="005A17F9"/>
    <w:rsid w:val="005A187B"/>
    <w:rsid w:val="005A18D3"/>
    <w:rsid w:val="005A1909"/>
    <w:rsid w:val="005A1937"/>
    <w:rsid w:val="005A1B20"/>
    <w:rsid w:val="005A1B4A"/>
    <w:rsid w:val="005A1C94"/>
    <w:rsid w:val="005A1C9E"/>
    <w:rsid w:val="005A1D33"/>
    <w:rsid w:val="005A1F4C"/>
    <w:rsid w:val="005A20FE"/>
    <w:rsid w:val="005A26C8"/>
    <w:rsid w:val="005A2855"/>
    <w:rsid w:val="005A28BB"/>
    <w:rsid w:val="005A28DB"/>
    <w:rsid w:val="005A2A7B"/>
    <w:rsid w:val="005A2B11"/>
    <w:rsid w:val="005A2B76"/>
    <w:rsid w:val="005A2BC2"/>
    <w:rsid w:val="005A2E74"/>
    <w:rsid w:val="005A2F77"/>
    <w:rsid w:val="005A2FCF"/>
    <w:rsid w:val="005A322C"/>
    <w:rsid w:val="005A331D"/>
    <w:rsid w:val="005A3425"/>
    <w:rsid w:val="005A360C"/>
    <w:rsid w:val="005A3689"/>
    <w:rsid w:val="005A3C77"/>
    <w:rsid w:val="005A3F60"/>
    <w:rsid w:val="005A404F"/>
    <w:rsid w:val="005A44C6"/>
    <w:rsid w:val="005A4630"/>
    <w:rsid w:val="005A46E2"/>
    <w:rsid w:val="005A4723"/>
    <w:rsid w:val="005A49C1"/>
    <w:rsid w:val="005A49C9"/>
    <w:rsid w:val="005A4B7C"/>
    <w:rsid w:val="005A4DBD"/>
    <w:rsid w:val="005A4FA9"/>
    <w:rsid w:val="005A5048"/>
    <w:rsid w:val="005A52FF"/>
    <w:rsid w:val="005A5497"/>
    <w:rsid w:val="005A5560"/>
    <w:rsid w:val="005A587E"/>
    <w:rsid w:val="005A58CF"/>
    <w:rsid w:val="005A5903"/>
    <w:rsid w:val="005A5999"/>
    <w:rsid w:val="005A59E9"/>
    <w:rsid w:val="005A5A3C"/>
    <w:rsid w:val="005A5ADA"/>
    <w:rsid w:val="005A5D6B"/>
    <w:rsid w:val="005A5FC5"/>
    <w:rsid w:val="005A602F"/>
    <w:rsid w:val="005A60CF"/>
    <w:rsid w:val="005A6153"/>
    <w:rsid w:val="005A6190"/>
    <w:rsid w:val="005A61DD"/>
    <w:rsid w:val="005A6387"/>
    <w:rsid w:val="005A67D7"/>
    <w:rsid w:val="005A6C8B"/>
    <w:rsid w:val="005A6D05"/>
    <w:rsid w:val="005A6FEE"/>
    <w:rsid w:val="005A7048"/>
    <w:rsid w:val="005A7092"/>
    <w:rsid w:val="005A7247"/>
    <w:rsid w:val="005A7304"/>
    <w:rsid w:val="005A73B1"/>
    <w:rsid w:val="005A75E4"/>
    <w:rsid w:val="005A7723"/>
    <w:rsid w:val="005A7863"/>
    <w:rsid w:val="005A79E1"/>
    <w:rsid w:val="005A7C51"/>
    <w:rsid w:val="005A7DAB"/>
    <w:rsid w:val="005A7E86"/>
    <w:rsid w:val="005A7F0C"/>
    <w:rsid w:val="005A7F25"/>
    <w:rsid w:val="005A7F3A"/>
    <w:rsid w:val="005A7FCA"/>
    <w:rsid w:val="005B0096"/>
    <w:rsid w:val="005B0127"/>
    <w:rsid w:val="005B01E4"/>
    <w:rsid w:val="005B0352"/>
    <w:rsid w:val="005B03C5"/>
    <w:rsid w:val="005B03DA"/>
    <w:rsid w:val="005B03E1"/>
    <w:rsid w:val="005B04B5"/>
    <w:rsid w:val="005B064E"/>
    <w:rsid w:val="005B09A1"/>
    <w:rsid w:val="005B0A42"/>
    <w:rsid w:val="005B0C0C"/>
    <w:rsid w:val="005B0C72"/>
    <w:rsid w:val="005B0D30"/>
    <w:rsid w:val="005B0D8A"/>
    <w:rsid w:val="005B0F5B"/>
    <w:rsid w:val="005B1041"/>
    <w:rsid w:val="005B10F6"/>
    <w:rsid w:val="005B112B"/>
    <w:rsid w:val="005B13EC"/>
    <w:rsid w:val="005B145B"/>
    <w:rsid w:val="005B146B"/>
    <w:rsid w:val="005B1492"/>
    <w:rsid w:val="005B14CB"/>
    <w:rsid w:val="005B1545"/>
    <w:rsid w:val="005B166D"/>
    <w:rsid w:val="005B167C"/>
    <w:rsid w:val="005B1696"/>
    <w:rsid w:val="005B174D"/>
    <w:rsid w:val="005B18B8"/>
    <w:rsid w:val="005B191F"/>
    <w:rsid w:val="005B1BF8"/>
    <w:rsid w:val="005B1D4C"/>
    <w:rsid w:val="005B1E8D"/>
    <w:rsid w:val="005B1FD7"/>
    <w:rsid w:val="005B22F1"/>
    <w:rsid w:val="005B23FF"/>
    <w:rsid w:val="005B27F3"/>
    <w:rsid w:val="005B2835"/>
    <w:rsid w:val="005B29AE"/>
    <w:rsid w:val="005B29FE"/>
    <w:rsid w:val="005B2CBE"/>
    <w:rsid w:val="005B2DC9"/>
    <w:rsid w:val="005B3083"/>
    <w:rsid w:val="005B30AF"/>
    <w:rsid w:val="005B336A"/>
    <w:rsid w:val="005B3371"/>
    <w:rsid w:val="005B337C"/>
    <w:rsid w:val="005B3390"/>
    <w:rsid w:val="005B341B"/>
    <w:rsid w:val="005B3614"/>
    <w:rsid w:val="005B3737"/>
    <w:rsid w:val="005B3738"/>
    <w:rsid w:val="005B38F6"/>
    <w:rsid w:val="005B3C6C"/>
    <w:rsid w:val="005B3E68"/>
    <w:rsid w:val="005B3EE3"/>
    <w:rsid w:val="005B4271"/>
    <w:rsid w:val="005B42A5"/>
    <w:rsid w:val="005B43CB"/>
    <w:rsid w:val="005B448C"/>
    <w:rsid w:val="005B472B"/>
    <w:rsid w:val="005B4A16"/>
    <w:rsid w:val="005B4AD2"/>
    <w:rsid w:val="005B4F9D"/>
    <w:rsid w:val="005B50BE"/>
    <w:rsid w:val="005B52A3"/>
    <w:rsid w:val="005B53DA"/>
    <w:rsid w:val="005B54AD"/>
    <w:rsid w:val="005B5711"/>
    <w:rsid w:val="005B587B"/>
    <w:rsid w:val="005B5A5D"/>
    <w:rsid w:val="005B5AA7"/>
    <w:rsid w:val="005B5B40"/>
    <w:rsid w:val="005B5B9C"/>
    <w:rsid w:val="005B5C05"/>
    <w:rsid w:val="005B5C0E"/>
    <w:rsid w:val="005B5DA0"/>
    <w:rsid w:val="005B5E7F"/>
    <w:rsid w:val="005B5F18"/>
    <w:rsid w:val="005B6030"/>
    <w:rsid w:val="005B6151"/>
    <w:rsid w:val="005B62EB"/>
    <w:rsid w:val="005B6431"/>
    <w:rsid w:val="005B6648"/>
    <w:rsid w:val="005B6842"/>
    <w:rsid w:val="005B694C"/>
    <w:rsid w:val="005B6AEC"/>
    <w:rsid w:val="005B6B22"/>
    <w:rsid w:val="005B6DA1"/>
    <w:rsid w:val="005B6DA7"/>
    <w:rsid w:val="005B6F50"/>
    <w:rsid w:val="005B7005"/>
    <w:rsid w:val="005B723D"/>
    <w:rsid w:val="005B7583"/>
    <w:rsid w:val="005B7590"/>
    <w:rsid w:val="005B7657"/>
    <w:rsid w:val="005B76DC"/>
    <w:rsid w:val="005B78DB"/>
    <w:rsid w:val="005B7982"/>
    <w:rsid w:val="005B798A"/>
    <w:rsid w:val="005B7C5E"/>
    <w:rsid w:val="005B7C90"/>
    <w:rsid w:val="005B7D49"/>
    <w:rsid w:val="005B7DF1"/>
    <w:rsid w:val="005B7F8C"/>
    <w:rsid w:val="005B7F8D"/>
    <w:rsid w:val="005C0069"/>
    <w:rsid w:val="005C006D"/>
    <w:rsid w:val="005C01FA"/>
    <w:rsid w:val="005C0249"/>
    <w:rsid w:val="005C037B"/>
    <w:rsid w:val="005C0408"/>
    <w:rsid w:val="005C0409"/>
    <w:rsid w:val="005C0486"/>
    <w:rsid w:val="005C04AB"/>
    <w:rsid w:val="005C059A"/>
    <w:rsid w:val="005C06C5"/>
    <w:rsid w:val="005C0A3D"/>
    <w:rsid w:val="005C0BF3"/>
    <w:rsid w:val="005C0DAF"/>
    <w:rsid w:val="005C0E99"/>
    <w:rsid w:val="005C0FE4"/>
    <w:rsid w:val="005C12BA"/>
    <w:rsid w:val="005C1430"/>
    <w:rsid w:val="005C14B5"/>
    <w:rsid w:val="005C1619"/>
    <w:rsid w:val="005C16FE"/>
    <w:rsid w:val="005C1E38"/>
    <w:rsid w:val="005C1F73"/>
    <w:rsid w:val="005C203B"/>
    <w:rsid w:val="005C203C"/>
    <w:rsid w:val="005C2109"/>
    <w:rsid w:val="005C2184"/>
    <w:rsid w:val="005C221B"/>
    <w:rsid w:val="005C2245"/>
    <w:rsid w:val="005C2349"/>
    <w:rsid w:val="005C2403"/>
    <w:rsid w:val="005C24C5"/>
    <w:rsid w:val="005C26F2"/>
    <w:rsid w:val="005C2B8E"/>
    <w:rsid w:val="005C2C7D"/>
    <w:rsid w:val="005C2E6A"/>
    <w:rsid w:val="005C30D2"/>
    <w:rsid w:val="005C3187"/>
    <w:rsid w:val="005C33DE"/>
    <w:rsid w:val="005C3452"/>
    <w:rsid w:val="005C3526"/>
    <w:rsid w:val="005C3666"/>
    <w:rsid w:val="005C38D4"/>
    <w:rsid w:val="005C3AFE"/>
    <w:rsid w:val="005C3B56"/>
    <w:rsid w:val="005C3E49"/>
    <w:rsid w:val="005C3EF5"/>
    <w:rsid w:val="005C3F2D"/>
    <w:rsid w:val="005C4044"/>
    <w:rsid w:val="005C41A3"/>
    <w:rsid w:val="005C42C9"/>
    <w:rsid w:val="005C443B"/>
    <w:rsid w:val="005C4519"/>
    <w:rsid w:val="005C45BF"/>
    <w:rsid w:val="005C467A"/>
    <w:rsid w:val="005C48BC"/>
    <w:rsid w:val="005C48E4"/>
    <w:rsid w:val="005C48FB"/>
    <w:rsid w:val="005C49D4"/>
    <w:rsid w:val="005C4A6F"/>
    <w:rsid w:val="005C4ADA"/>
    <w:rsid w:val="005C4B58"/>
    <w:rsid w:val="005C4DC8"/>
    <w:rsid w:val="005C4FA0"/>
    <w:rsid w:val="005C516B"/>
    <w:rsid w:val="005C5384"/>
    <w:rsid w:val="005C55D3"/>
    <w:rsid w:val="005C57E6"/>
    <w:rsid w:val="005C5807"/>
    <w:rsid w:val="005C5A77"/>
    <w:rsid w:val="005C5AD1"/>
    <w:rsid w:val="005C5C80"/>
    <w:rsid w:val="005C5E90"/>
    <w:rsid w:val="005C60B2"/>
    <w:rsid w:val="005C628C"/>
    <w:rsid w:val="005C6435"/>
    <w:rsid w:val="005C6456"/>
    <w:rsid w:val="005C64BA"/>
    <w:rsid w:val="005C6564"/>
    <w:rsid w:val="005C663C"/>
    <w:rsid w:val="005C66F7"/>
    <w:rsid w:val="005C6742"/>
    <w:rsid w:val="005C676E"/>
    <w:rsid w:val="005C6B2E"/>
    <w:rsid w:val="005C6F48"/>
    <w:rsid w:val="005C707E"/>
    <w:rsid w:val="005C709C"/>
    <w:rsid w:val="005C759D"/>
    <w:rsid w:val="005C765D"/>
    <w:rsid w:val="005C787E"/>
    <w:rsid w:val="005C7CDD"/>
    <w:rsid w:val="005C7F6A"/>
    <w:rsid w:val="005D0130"/>
    <w:rsid w:val="005D0237"/>
    <w:rsid w:val="005D03B5"/>
    <w:rsid w:val="005D0470"/>
    <w:rsid w:val="005D053D"/>
    <w:rsid w:val="005D082A"/>
    <w:rsid w:val="005D0AD9"/>
    <w:rsid w:val="005D0B07"/>
    <w:rsid w:val="005D0BE4"/>
    <w:rsid w:val="005D0C6B"/>
    <w:rsid w:val="005D0E28"/>
    <w:rsid w:val="005D0EC0"/>
    <w:rsid w:val="005D0F64"/>
    <w:rsid w:val="005D1002"/>
    <w:rsid w:val="005D1440"/>
    <w:rsid w:val="005D181B"/>
    <w:rsid w:val="005D1855"/>
    <w:rsid w:val="005D1940"/>
    <w:rsid w:val="005D1C3E"/>
    <w:rsid w:val="005D1E16"/>
    <w:rsid w:val="005D1FBF"/>
    <w:rsid w:val="005D2028"/>
    <w:rsid w:val="005D21B8"/>
    <w:rsid w:val="005D21E3"/>
    <w:rsid w:val="005D2362"/>
    <w:rsid w:val="005D2503"/>
    <w:rsid w:val="005D25A0"/>
    <w:rsid w:val="005D2638"/>
    <w:rsid w:val="005D274D"/>
    <w:rsid w:val="005D2752"/>
    <w:rsid w:val="005D2968"/>
    <w:rsid w:val="005D2C3A"/>
    <w:rsid w:val="005D2C3E"/>
    <w:rsid w:val="005D2C5F"/>
    <w:rsid w:val="005D2EFD"/>
    <w:rsid w:val="005D304E"/>
    <w:rsid w:val="005D3439"/>
    <w:rsid w:val="005D3441"/>
    <w:rsid w:val="005D34A8"/>
    <w:rsid w:val="005D380C"/>
    <w:rsid w:val="005D3901"/>
    <w:rsid w:val="005D3A76"/>
    <w:rsid w:val="005D3BC3"/>
    <w:rsid w:val="005D3CDE"/>
    <w:rsid w:val="005D3D63"/>
    <w:rsid w:val="005D3DAF"/>
    <w:rsid w:val="005D3E2A"/>
    <w:rsid w:val="005D3E40"/>
    <w:rsid w:val="005D44DF"/>
    <w:rsid w:val="005D4649"/>
    <w:rsid w:val="005D46FB"/>
    <w:rsid w:val="005D472B"/>
    <w:rsid w:val="005D4941"/>
    <w:rsid w:val="005D49EC"/>
    <w:rsid w:val="005D4CCA"/>
    <w:rsid w:val="005D4D78"/>
    <w:rsid w:val="005D4F64"/>
    <w:rsid w:val="005D5126"/>
    <w:rsid w:val="005D54A7"/>
    <w:rsid w:val="005D54E3"/>
    <w:rsid w:val="005D560E"/>
    <w:rsid w:val="005D579F"/>
    <w:rsid w:val="005D57CB"/>
    <w:rsid w:val="005D5863"/>
    <w:rsid w:val="005D5901"/>
    <w:rsid w:val="005D593F"/>
    <w:rsid w:val="005D59BB"/>
    <w:rsid w:val="005D5AA4"/>
    <w:rsid w:val="005D5CD6"/>
    <w:rsid w:val="005D5D83"/>
    <w:rsid w:val="005D5E27"/>
    <w:rsid w:val="005D5EAF"/>
    <w:rsid w:val="005D5EF5"/>
    <w:rsid w:val="005D60FC"/>
    <w:rsid w:val="005D6260"/>
    <w:rsid w:val="005D63B0"/>
    <w:rsid w:val="005D6763"/>
    <w:rsid w:val="005D6861"/>
    <w:rsid w:val="005D68CE"/>
    <w:rsid w:val="005D6930"/>
    <w:rsid w:val="005D69C2"/>
    <w:rsid w:val="005D69F6"/>
    <w:rsid w:val="005D6AF7"/>
    <w:rsid w:val="005D6B50"/>
    <w:rsid w:val="005D6B63"/>
    <w:rsid w:val="005D6BBB"/>
    <w:rsid w:val="005D6C98"/>
    <w:rsid w:val="005D6FB7"/>
    <w:rsid w:val="005D7269"/>
    <w:rsid w:val="005D72DA"/>
    <w:rsid w:val="005D7310"/>
    <w:rsid w:val="005D7364"/>
    <w:rsid w:val="005D75E7"/>
    <w:rsid w:val="005D7647"/>
    <w:rsid w:val="005D791A"/>
    <w:rsid w:val="005D7A09"/>
    <w:rsid w:val="005D7AE5"/>
    <w:rsid w:val="005D7AE9"/>
    <w:rsid w:val="005D7AF5"/>
    <w:rsid w:val="005D7B66"/>
    <w:rsid w:val="005D7DB9"/>
    <w:rsid w:val="005D7F05"/>
    <w:rsid w:val="005D7F7B"/>
    <w:rsid w:val="005E003D"/>
    <w:rsid w:val="005E005C"/>
    <w:rsid w:val="005E034D"/>
    <w:rsid w:val="005E0351"/>
    <w:rsid w:val="005E0480"/>
    <w:rsid w:val="005E054B"/>
    <w:rsid w:val="005E059D"/>
    <w:rsid w:val="005E07C7"/>
    <w:rsid w:val="005E0848"/>
    <w:rsid w:val="005E0877"/>
    <w:rsid w:val="005E08B7"/>
    <w:rsid w:val="005E090D"/>
    <w:rsid w:val="005E0938"/>
    <w:rsid w:val="005E0967"/>
    <w:rsid w:val="005E0A5A"/>
    <w:rsid w:val="005E0D3E"/>
    <w:rsid w:val="005E0F1D"/>
    <w:rsid w:val="005E0FD3"/>
    <w:rsid w:val="005E110C"/>
    <w:rsid w:val="005E1165"/>
    <w:rsid w:val="005E1199"/>
    <w:rsid w:val="005E1294"/>
    <w:rsid w:val="005E138E"/>
    <w:rsid w:val="005E16C1"/>
    <w:rsid w:val="005E1749"/>
    <w:rsid w:val="005E1A59"/>
    <w:rsid w:val="005E1B8F"/>
    <w:rsid w:val="005E1C2D"/>
    <w:rsid w:val="005E1D09"/>
    <w:rsid w:val="005E1DBE"/>
    <w:rsid w:val="005E1E82"/>
    <w:rsid w:val="005E218C"/>
    <w:rsid w:val="005E22F3"/>
    <w:rsid w:val="005E2303"/>
    <w:rsid w:val="005E2683"/>
    <w:rsid w:val="005E279E"/>
    <w:rsid w:val="005E289D"/>
    <w:rsid w:val="005E28C2"/>
    <w:rsid w:val="005E2A78"/>
    <w:rsid w:val="005E2E6F"/>
    <w:rsid w:val="005E32AA"/>
    <w:rsid w:val="005E334A"/>
    <w:rsid w:val="005E3365"/>
    <w:rsid w:val="005E33AD"/>
    <w:rsid w:val="005E35AD"/>
    <w:rsid w:val="005E3749"/>
    <w:rsid w:val="005E38CB"/>
    <w:rsid w:val="005E3965"/>
    <w:rsid w:val="005E3ACB"/>
    <w:rsid w:val="005E3B3C"/>
    <w:rsid w:val="005E3C28"/>
    <w:rsid w:val="005E3D19"/>
    <w:rsid w:val="005E3DC8"/>
    <w:rsid w:val="005E3ED8"/>
    <w:rsid w:val="005E3EF0"/>
    <w:rsid w:val="005E3F22"/>
    <w:rsid w:val="005E3F3A"/>
    <w:rsid w:val="005E3F3E"/>
    <w:rsid w:val="005E3F57"/>
    <w:rsid w:val="005E4013"/>
    <w:rsid w:val="005E43FD"/>
    <w:rsid w:val="005E444A"/>
    <w:rsid w:val="005E4877"/>
    <w:rsid w:val="005E488B"/>
    <w:rsid w:val="005E49BE"/>
    <w:rsid w:val="005E4A0D"/>
    <w:rsid w:val="005E4A5B"/>
    <w:rsid w:val="005E4AC1"/>
    <w:rsid w:val="005E4BBF"/>
    <w:rsid w:val="005E4C77"/>
    <w:rsid w:val="005E4D5C"/>
    <w:rsid w:val="005E4E5B"/>
    <w:rsid w:val="005E4E96"/>
    <w:rsid w:val="005E4F60"/>
    <w:rsid w:val="005E5046"/>
    <w:rsid w:val="005E52C2"/>
    <w:rsid w:val="005E5617"/>
    <w:rsid w:val="005E5886"/>
    <w:rsid w:val="005E59F9"/>
    <w:rsid w:val="005E5CDD"/>
    <w:rsid w:val="005E5D52"/>
    <w:rsid w:val="005E5FE4"/>
    <w:rsid w:val="005E6243"/>
    <w:rsid w:val="005E6254"/>
    <w:rsid w:val="005E637B"/>
    <w:rsid w:val="005E6611"/>
    <w:rsid w:val="005E665A"/>
    <w:rsid w:val="005E6822"/>
    <w:rsid w:val="005E6889"/>
    <w:rsid w:val="005E69D4"/>
    <w:rsid w:val="005E6BA4"/>
    <w:rsid w:val="005E6BD2"/>
    <w:rsid w:val="005E6C3F"/>
    <w:rsid w:val="005E6C5A"/>
    <w:rsid w:val="005E6E0E"/>
    <w:rsid w:val="005E6EDB"/>
    <w:rsid w:val="005E6EE4"/>
    <w:rsid w:val="005E6F00"/>
    <w:rsid w:val="005E6FB5"/>
    <w:rsid w:val="005E72FE"/>
    <w:rsid w:val="005E7332"/>
    <w:rsid w:val="005E73E8"/>
    <w:rsid w:val="005E74DF"/>
    <w:rsid w:val="005E74E7"/>
    <w:rsid w:val="005E7573"/>
    <w:rsid w:val="005E791E"/>
    <w:rsid w:val="005E7CB6"/>
    <w:rsid w:val="005E7CBC"/>
    <w:rsid w:val="005E7D63"/>
    <w:rsid w:val="005E7ED4"/>
    <w:rsid w:val="005E7EEB"/>
    <w:rsid w:val="005E7FAC"/>
    <w:rsid w:val="005F007E"/>
    <w:rsid w:val="005F012F"/>
    <w:rsid w:val="005F0158"/>
    <w:rsid w:val="005F025A"/>
    <w:rsid w:val="005F0411"/>
    <w:rsid w:val="005F05C6"/>
    <w:rsid w:val="005F080A"/>
    <w:rsid w:val="005F087F"/>
    <w:rsid w:val="005F0C7A"/>
    <w:rsid w:val="005F0D3B"/>
    <w:rsid w:val="005F0F4D"/>
    <w:rsid w:val="005F102C"/>
    <w:rsid w:val="005F1150"/>
    <w:rsid w:val="005F132E"/>
    <w:rsid w:val="005F15E0"/>
    <w:rsid w:val="005F186A"/>
    <w:rsid w:val="005F1870"/>
    <w:rsid w:val="005F18D0"/>
    <w:rsid w:val="005F194C"/>
    <w:rsid w:val="005F1991"/>
    <w:rsid w:val="005F1A0E"/>
    <w:rsid w:val="005F1A51"/>
    <w:rsid w:val="005F1AE0"/>
    <w:rsid w:val="005F1EA2"/>
    <w:rsid w:val="005F2001"/>
    <w:rsid w:val="005F202A"/>
    <w:rsid w:val="005F2218"/>
    <w:rsid w:val="005F2427"/>
    <w:rsid w:val="005F244E"/>
    <w:rsid w:val="005F257F"/>
    <w:rsid w:val="005F2612"/>
    <w:rsid w:val="005F277D"/>
    <w:rsid w:val="005F291C"/>
    <w:rsid w:val="005F2955"/>
    <w:rsid w:val="005F2AED"/>
    <w:rsid w:val="005F2C8C"/>
    <w:rsid w:val="005F2D26"/>
    <w:rsid w:val="005F2D46"/>
    <w:rsid w:val="005F2D65"/>
    <w:rsid w:val="005F2FD2"/>
    <w:rsid w:val="005F3120"/>
    <w:rsid w:val="005F31D3"/>
    <w:rsid w:val="005F3461"/>
    <w:rsid w:val="005F34B2"/>
    <w:rsid w:val="005F369B"/>
    <w:rsid w:val="005F37E9"/>
    <w:rsid w:val="005F3874"/>
    <w:rsid w:val="005F3ADC"/>
    <w:rsid w:val="005F3B3D"/>
    <w:rsid w:val="005F3B70"/>
    <w:rsid w:val="005F3BFD"/>
    <w:rsid w:val="005F3C51"/>
    <w:rsid w:val="005F3C54"/>
    <w:rsid w:val="005F3D13"/>
    <w:rsid w:val="005F3E90"/>
    <w:rsid w:val="005F3F30"/>
    <w:rsid w:val="005F3F87"/>
    <w:rsid w:val="005F40D5"/>
    <w:rsid w:val="005F423D"/>
    <w:rsid w:val="005F4346"/>
    <w:rsid w:val="005F4420"/>
    <w:rsid w:val="005F4428"/>
    <w:rsid w:val="005F44AC"/>
    <w:rsid w:val="005F4667"/>
    <w:rsid w:val="005F472A"/>
    <w:rsid w:val="005F49C2"/>
    <w:rsid w:val="005F4A32"/>
    <w:rsid w:val="005F4B2E"/>
    <w:rsid w:val="005F4C05"/>
    <w:rsid w:val="005F4F0C"/>
    <w:rsid w:val="005F4F76"/>
    <w:rsid w:val="005F4F79"/>
    <w:rsid w:val="005F5030"/>
    <w:rsid w:val="005F51C8"/>
    <w:rsid w:val="005F526F"/>
    <w:rsid w:val="005F53EB"/>
    <w:rsid w:val="005F5419"/>
    <w:rsid w:val="005F546E"/>
    <w:rsid w:val="005F5470"/>
    <w:rsid w:val="005F5502"/>
    <w:rsid w:val="005F5778"/>
    <w:rsid w:val="005F586B"/>
    <w:rsid w:val="005F58F3"/>
    <w:rsid w:val="005F5A2B"/>
    <w:rsid w:val="005F5A9C"/>
    <w:rsid w:val="005F5B1D"/>
    <w:rsid w:val="005F5C0D"/>
    <w:rsid w:val="005F5DE6"/>
    <w:rsid w:val="005F5F6C"/>
    <w:rsid w:val="005F5FFD"/>
    <w:rsid w:val="005F621E"/>
    <w:rsid w:val="005F6488"/>
    <w:rsid w:val="005F652E"/>
    <w:rsid w:val="005F65CE"/>
    <w:rsid w:val="005F6613"/>
    <w:rsid w:val="005F6776"/>
    <w:rsid w:val="005F6843"/>
    <w:rsid w:val="005F6868"/>
    <w:rsid w:val="005F68DF"/>
    <w:rsid w:val="005F6929"/>
    <w:rsid w:val="005F6E46"/>
    <w:rsid w:val="005F6EC3"/>
    <w:rsid w:val="005F6F47"/>
    <w:rsid w:val="005F6FC1"/>
    <w:rsid w:val="005F7041"/>
    <w:rsid w:val="005F70A7"/>
    <w:rsid w:val="005F70DE"/>
    <w:rsid w:val="005F7110"/>
    <w:rsid w:val="005F71CF"/>
    <w:rsid w:val="005F7285"/>
    <w:rsid w:val="005F7314"/>
    <w:rsid w:val="005F7450"/>
    <w:rsid w:val="005F7716"/>
    <w:rsid w:val="005F784D"/>
    <w:rsid w:val="005F789F"/>
    <w:rsid w:val="005F7A60"/>
    <w:rsid w:val="005F7AD5"/>
    <w:rsid w:val="005F7DA9"/>
    <w:rsid w:val="005F7F08"/>
    <w:rsid w:val="00600016"/>
    <w:rsid w:val="0060037A"/>
    <w:rsid w:val="00600541"/>
    <w:rsid w:val="00600585"/>
    <w:rsid w:val="0060058A"/>
    <w:rsid w:val="00600672"/>
    <w:rsid w:val="006006EC"/>
    <w:rsid w:val="00600778"/>
    <w:rsid w:val="00600BA7"/>
    <w:rsid w:val="00600C76"/>
    <w:rsid w:val="00600D1C"/>
    <w:rsid w:val="00600ECD"/>
    <w:rsid w:val="00600EF9"/>
    <w:rsid w:val="00601341"/>
    <w:rsid w:val="006016D2"/>
    <w:rsid w:val="00601731"/>
    <w:rsid w:val="00601C00"/>
    <w:rsid w:val="00601C37"/>
    <w:rsid w:val="00601D87"/>
    <w:rsid w:val="00601DFD"/>
    <w:rsid w:val="00601FA7"/>
    <w:rsid w:val="006021D3"/>
    <w:rsid w:val="0060223C"/>
    <w:rsid w:val="00602336"/>
    <w:rsid w:val="00602432"/>
    <w:rsid w:val="0060268E"/>
    <w:rsid w:val="0060276F"/>
    <w:rsid w:val="006027A5"/>
    <w:rsid w:val="006027EE"/>
    <w:rsid w:val="00602ADC"/>
    <w:rsid w:val="00602CD7"/>
    <w:rsid w:val="00602FBE"/>
    <w:rsid w:val="00602FDF"/>
    <w:rsid w:val="0060302A"/>
    <w:rsid w:val="006030AA"/>
    <w:rsid w:val="00603104"/>
    <w:rsid w:val="00603232"/>
    <w:rsid w:val="00603253"/>
    <w:rsid w:val="006033F7"/>
    <w:rsid w:val="006035AB"/>
    <w:rsid w:val="006035E1"/>
    <w:rsid w:val="006035EB"/>
    <w:rsid w:val="00603602"/>
    <w:rsid w:val="0060377B"/>
    <w:rsid w:val="006037CE"/>
    <w:rsid w:val="0060382E"/>
    <w:rsid w:val="006039DD"/>
    <w:rsid w:val="006039EF"/>
    <w:rsid w:val="00603A95"/>
    <w:rsid w:val="00603AFA"/>
    <w:rsid w:val="00603C35"/>
    <w:rsid w:val="00603CD9"/>
    <w:rsid w:val="00603CE8"/>
    <w:rsid w:val="00603FF9"/>
    <w:rsid w:val="0060410D"/>
    <w:rsid w:val="00604707"/>
    <w:rsid w:val="00604929"/>
    <w:rsid w:val="006049FF"/>
    <w:rsid w:val="00604A55"/>
    <w:rsid w:val="00604B4C"/>
    <w:rsid w:val="00604BA1"/>
    <w:rsid w:val="00604BA9"/>
    <w:rsid w:val="00604EDF"/>
    <w:rsid w:val="00604F0B"/>
    <w:rsid w:val="006051EA"/>
    <w:rsid w:val="0060530D"/>
    <w:rsid w:val="00605394"/>
    <w:rsid w:val="0060573A"/>
    <w:rsid w:val="006057B7"/>
    <w:rsid w:val="006057BE"/>
    <w:rsid w:val="00605833"/>
    <w:rsid w:val="00605978"/>
    <w:rsid w:val="00605AD4"/>
    <w:rsid w:val="00605CD2"/>
    <w:rsid w:val="00605E46"/>
    <w:rsid w:val="00605ECF"/>
    <w:rsid w:val="006060A5"/>
    <w:rsid w:val="0060613D"/>
    <w:rsid w:val="00606154"/>
    <w:rsid w:val="006061D0"/>
    <w:rsid w:val="006062D5"/>
    <w:rsid w:val="00606327"/>
    <w:rsid w:val="00606440"/>
    <w:rsid w:val="0060668A"/>
    <w:rsid w:val="006067AE"/>
    <w:rsid w:val="00606810"/>
    <w:rsid w:val="00606954"/>
    <w:rsid w:val="00606B07"/>
    <w:rsid w:val="00606B22"/>
    <w:rsid w:val="00606DF9"/>
    <w:rsid w:val="00606EDA"/>
    <w:rsid w:val="00606FE6"/>
    <w:rsid w:val="00607004"/>
    <w:rsid w:val="00607094"/>
    <w:rsid w:val="006070DA"/>
    <w:rsid w:val="00607178"/>
    <w:rsid w:val="00607414"/>
    <w:rsid w:val="006075D8"/>
    <w:rsid w:val="006077F9"/>
    <w:rsid w:val="006078FB"/>
    <w:rsid w:val="006079C9"/>
    <w:rsid w:val="00607AEF"/>
    <w:rsid w:val="00607DFF"/>
    <w:rsid w:val="00607E8D"/>
    <w:rsid w:val="00607EB7"/>
    <w:rsid w:val="006100DE"/>
    <w:rsid w:val="006100E4"/>
    <w:rsid w:val="00610138"/>
    <w:rsid w:val="006102DC"/>
    <w:rsid w:val="0061045B"/>
    <w:rsid w:val="006104E5"/>
    <w:rsid w:val="00610620"/>
    <w:rsid w:val="00610636"/>
    <w:rsid w:val="00610A4A"/>
    <w:rsid w:val="00610BF4"/>
    <w:rsid w:val="00610C72"/>
    <w:rsid w:val="00610C95"/>
    <w:rsid w:val="00610D9A"/>
    <w:rsid w:val="00610DD2"/>
    <w:rsid w:val="00611026"/>
    <w:rsid w:val="0061165D"/>
    <w:rsid w:val="006116BF"/>
    <w:rsid w:val="006116F7"/>
    <w:rsid w:val="00611771"/>
    <w:rsid w:val="00611C88"/>
    <w:rsid w:val="00611D58"/>
    <w:rsid w:val="00611FE9"/>
    <w:rsid w:val="00611FF3"/>
    <w:rsid w:val="00612169"/>
    <w:rsid w:val="0061217E"/>
    <w:rsid w:val="0061228F"/>
    <w:rsid w:val="006123A4"/>
    <w:rsid w:val="0061263C"/>
    <w:rsid w:val="006126B6"/>
    <w:rsid w:val="0061275A"/>
    <w:rsid w:val="006129F0"/>
    <w:rsid w:val="006129F5"/>
    <w:rsid w:val="00612C80"/>
    <w:rsid w:val="00612CF6"/>
    <w:rsid w:val="00612D91"/>
    <w:rsid w:val="006131BC"/>
    <w:rsid w:val="006132CA"/>
    <w:rsid w:val="0061349C"/>
    <w:rsid w:val="006134CC"/>
    <w:rsid w:val="00613684"/>
    <w:rsid w:val="0061390C"/>
    <w:rsid w:val="0061394B"/>
    <w:rsid w:val="00613A4C"/>
    <w:rsid w:val="00613C6E"/>
    <w:rsid w:val="00613C7B"/>
    <w:rsid w:val="00613C7E"/>
    <w:rsid w:val="00613DA4"/>
    <w:rsid w:val="00613E2E"/>
    <w:rsid w:val="00613EAF"/>
    <w:rsid w:val="00614199"/>
    <w:rsid w:val="0061447A"/>
    <w:rsid w:val="006144FC"/>
    <w:rsid w:val="00614512"/>
    <w:rsid w:val="00614659"/>
    <w:rsid w:val="00614BF8"/>
    <w:rsid w:val="00614D4B"/>
    <w:rsid w:val="00614DF5"/>
    <w:rsid w:val="00614E49"/>
    <w:rsid w:val="00614FAE"/>
    <w:rsid w:val="0061514F"/>
    <w:rsid w:val="0061525D"/>
    <w:rsid w:val="0061535D"/>
    <w:rsid w:val="00615673"/>
    <w:rsid w:val="0061581F"/>
    <w:rsid w:val="0061590C"/>
    <w:rsid w:val="00615970"/>
    <w:rsid w:val="00615A4F"/>
    <w:rsid w:val="00615BD0"/>
    <w:rsid w:val="00615D94"/>
    <w:rsid w:val="00615EFD"/>
    <w:rsid w:val="00615F16"/>
    <w:rsid w:val="00616086"/>
    <w:rsid w:val="00616385"/>
    <w:rsid w:val="006163A4"/>
    <w:rsid w:val="006164DF"/>
    <w:rsid w:val="00616561"/>
    <w:rsid w:val="006166E5"/>
    <w:rsid w:val="0061678A"/>
    <w:rsid w:val="006167EF"/>
    <w:rsid w:val="0061687C"/>
    <w:rsid w:val="006168C2"/>
    <w:rsid w:val="006168D0"/>
    <w:rsid w:val="0061698D"/>
    <w:rsid w:val="00616A5C"/>
    <w:rsid w:val="00616CF0"/>
    <w:rsid w:val="00616CF5"/>
    <w:rsid w:val="00616D97"/>
    <w:rsid w:val="00617042"/>
    <w:rsid w:val="0061706E"/>
    <w:rsid w:val="00617111"/>
    <w:rsid w:val="00617697"/>
    <w:rsid w:val="006177A0"/>
    <w:rsid w:val="0061780D"/>
    <w:rsid w:val="00617820"/>
    <w:rsid w:val="00617B97"/>
    <w:rsid w:val="00617D2F"/>
    <w:rsid w:val="00617DBE"/>
    <w:rsid w:val="00617E0C"/>
    <w:rsid w:val="00617E49"/>
    <w:rsid w:val="00617E4E"/>
    <w:rsid w:val="006182A3"/>
    <w:rsid w:val="00620149"/>
    <w:rsid w:val="006203AD"/>
    <w:rsid w:val="0062053C"/>
    <w:rsid w:val="006205E2"/>
    <w:rsid w:val="006205E7"/>
    <w:rsid w:val="00620726"/>
    <w:rsid w:val="00620776"/>
    <w:rsid w:val="006207E8"/>
    <w:rsid w:val="00620AD3"/>
    <w:rsid w:val="00620CB0"/>
    <w:rsid w:val="00620CBF"/>
    <w:rsid w:val="00620CEE"/>
    <w:rsid w:val="00620E20"/>
    <w:rsid w:val="006214EC"/>
    <w:rsid w:val="00621547"/>
    <w:rsid w:val="00621657"/>
    <w:rsid w:val="006217BD"/>
    <w:rsid w:val="00621976"/>
    <w:rsid w:val="00621B03"/>
    <w:rsid w:val="00621B77"/>
    <w:rsid w:val="00621CA8"/>
    <w:rsid w:val="00621CEA"/>
    <w:rsid w:val="00621D76"/>
    <w:rsid w:val="006220DC"/>
    <w:rsid w:val="00622113"/>
    <w:rsid w:val="006221F1"/>
    <w:rsid w:val="006221FA"/>
    <w:rsid w:val="00622403"/>
    <w:rsid w:val="0062255F"/>
    <w:rsid w:val="006225CA"/>
    <w:rsid w:val="00622610"/>
    <w:rsid w:val="0062267D"/>
    <w:rsid w:val="00622740"/>
    <w:rsid w:val="00622743"/>
    <w:rsid w:val="00622945"/>
    <w:rsid w:val="00622A75"/>
    <w:rsid w:val="00622B48"/>
    <w:rsid w:val="00622B68"/>
    <w:rsid w:val="00622BB7"/>
    <w:rsid w:val="00622BEC"/>
    <w:rsid w:val="00622CE8"/>
    <w:rsid w:val="00622E06"/>
    <w:rsid w:val="00622F42"/>
    <w:rsid w:val="00622FE8"/>
    <w:rsid w:val="00622FFD"/>
    <w:rsid w:val="00623013"/>
    <w:rsid w:val="00623015"/>
    <w:rsid w:val="006230EA"/>
    <w:rsid w:val="006232C3"/>
    <w:rsid w:val="006233AA"/>
    <w:rsid w:val="006233DF"/>
    <w:rsid w:val="006233F3"/>
    <w:rsid w:val="00623439"/>
    <w:rsid w:val="00623486"/>
    <w:rsid w:val="00623492"/>
    <w:rsid w:val="00623536"/>
    <w:rsid w:val="00623583"/>
    <w:rsid w:val="006235E9"/>
    <w:rsid w:val="006235FF"/>
    <w:rsid w:val="00623667"/>
    <w:rsid w:val="006236F7"/>
    <w:rsid w:val="0062380F"/>
    <w:rsid w:val="00623888"/>
    <w:rsid w:val="00623895"/>
    <w:rsid w:val="006238B3"/>
    <w:rsid w:val="00623945"/>
    <w:rsid w:val="006240B4"/>
    <w:rsid w:val="00624168"/>
    <w:rsid w:val="00624360"/>
    <w:rsid w:val="0062456A"/>
    <w:rsid w:val="00624656"/>
    <w:rsid w:val="006247E2"/>
    <w:rsid w:val="00624900"/>
    <w:rsid w:val="00624AC6"/>
    <w:rsid w:val="00624DD5"/>
    <w:rsid w:val="0062518A"/>
    <w:rsid w:val="006254F1"/>
    <w:rsid w:val="006254F5"/>
    <w:rsid w:val="0062558C"/>
    <w:rsid w:val="006258A5"/>
    <w:rsid w:val="006259BE"/>
    <w:rsid w:val="00625EF4"/>
    <w:rsid w:val="00625F2C"/>
    <w:rsid w:val="00625F4C"/>
    <w:rsid w:val="00625F75"/>
    <w:rsid w:val="00626398"/>
    <w:rsid w:val="00626584"/>
    <w:rsid w:val="006265A3"/>
    <w:rsid w:val="006268FB"/>
    <w:rsid w:val="00626968"/>
    <w:rsid w:val="00626AEA"/>
    <w:rsid w:val="00626B78"/>
    <w:rsid w:val="00626C63"/>
    <w:rsid w:val="00626D3F"/>
    <w:rsid w:val="006272A2"/>
    <w:rsid w:val="00627430"/>
    <w:rsid w:val="006275AD"/>
    <w:rsid w:val="00627B4A"/>
    <w:rsid w:val="00627CF5"/>
    <w:rsid w:val="00627D45"/>
    <w:rsid w:val="00627EE1"/>
    <w:rsid w:val="00627F51"/>
    <w:rsid w:val="00630075"/>
    <w:rsid w:val="006300E2"/>
    <w:rsid w:val="006301DA"/>
    <w:rsid w:val="0063033D"/>
    <w:rsid w:val="00630580"/>
    <w:rsid w:val="006305A0"/>
    <w:rsid w:val="006305C8"/>
    <w:rsid w:val="0063081E"/>
    <w:rsid w:val="00630A13"/>
    <w:rsid w:val="00630ABE"/>
    <w:rsid w:val="00630DE9"/>
    <w:rsid w:val="00630E22"/>
    <w:rsid w:val="006310C1"/>
    <w:rsid w:val="006310D8"/>
    <w:rsid w:val="0063144A"/>
    <w:rsid w:val="0063152C"/>
    <w:rsid w:val="0063156B"/>
    <w:rsid w:val="006317E0"/>
    <w:rsid w:val="00631859"/>
    <w:rsid w:val="0063189D"/>
    <w:rsid w:val="00631A5D"/>
    <w:rsid w:val="00631A60"/>
    <w:rsid w:val="00631BCC"/>
    <w:rsid w:val="00631CBC"/>
    <w:rsid w:val="00631DE1"/>
    <w:rsid w:val="00631E3B"/>
    <w:rsid w:val="00631E75"/>
    <w:rsid w:val="00631EF5"/>
    <w:rsid w:val="00631EF9"/>
    <w:rsid w:val="00631FB4"/>
    <w:rsid w:val="00632211"/>
    <w:rsid w:val="0063223E"/>
    <w:rsid w:val="00632533"/>
    <w:rsid w:val="00632A0E"/>
    <w:rsid w:val="00632C40"/>
    <w:rsid w:val="00632C5F"/>
    <w:rsid w:val="00632D7A"/>
    <w:rsid w:val="00632F36"/>
    <w:rsid w:val="006331B3"/>
    <w:rsid w:val="006332F5"/>
    <w:rsid w:val="00633380"/>
    <w:rsid w:val="006335FE"/>
    <w:rsid w:val="0063375D"/>
    <w:rsid w:val="00633EC9"/>
    <w:rsid w:val="00633F3C"/>
    <w:rsid w:val="00634294"/>
    <w:rsid w:val="006343A6"/>
    <w:rsid w:val="006344B4"/>
    <w:rsid w:val="0063463F"/>
    <w:rsid w:val="00634669"/>
    <w:rsid w:val="006347C9"/>
    <w:rsid w:val="0063497D"/>
    <w:rsid w:val="006349EE"/>
    <w:rsid w:val="006349EF"/>
    <w:rsid w:val="00634D9D"/>
    <w:rsid w:val="00634DC0"/>
    <w:rsid w:val="00634F54"/>
    <w:rsid w:val="006350FF"/>
    <w:rsid w:val="00635279"/>
    <w:rsid w:val="0063529B"/>
    <w:rsid w:val="00635339"/>
    <w:rsid w:val="00635450"/>
    <w:rsid w:val="0063549B"/>
    <w:rsid w:val="0063568A"/>
    <w:rsid w:val="0063582E"/>
    <w:rsid w:val="00635922"/>
    <w:rsid w:val="0063592A"/>
    <w:rsid w:val="00635C53"/>
    <w:rsid w:val="00635EBF"/>
    <w:rsid w:val="0063616D"/>
    <w:rsid w:val="00636351"/>
    <w:rsid w:val="00636440"/>
    <w:rsid w:val="006364F7"/>
    <w:rsid w:val="00636875"/>
    <w:rsid w:val="00636966"/>
    <w:rsid w:val="00636983"/>
    <w:rsid w:val="006369A8"/>
    <w:rsid w:val="006369EA"/>
    <w:rsid w:val="00636A8D"/>
    <w:rsid w:val="00636B2F"/>
    <w:rsid w:val="00636CF7"/>
    <w:rsid w:val="00636D1F"/>
    <w:rsid w:val="00636E05"/>
    <w:rsid w:val="00636E07"/>
    <w:rsid w:val="00637310"/>
    <w:rsid w:val="006374F6"/>
    <w:rsid w:val="00637639"/>
    <w:rsid w:val="006377B8"/>
    <w:rsid w:val="00637887"/>
    <w:rsid w:val="006378BC"/>
    <w:rsid w:val="0063799B"/>
    <w:rsid w:val="00637B73"/>
    <w:rsid w:val="00637C68"/>
    <w:rsid w:val="00637D20"/>
    <w:rsid w:val="00637D9B"/>
    <w:rsid w:val="00637E7C"/>
    <w:rsid w:val="00637E93"/>
    <w:rsid w:val="00637FA7"/>
    <w:rsid w:val="006400F6"/>
    <w:rsid w:val="00640391"/>
    <w:rsid w:val="0064054E"/>
    <w:rsid w:val="006405BC"/>
    <w:rsid w:val="0064067D"/>
    <w:rsid w:val="0064070F"/>
    <w:rsid w:val="006407C1"/>
    <w:rsid w:val="006407F7"/>
    <w:rsid w:val="00640A15"/>
    <w:rsid w:val="00640C68"/>
    <w:rsid w:val="00640F7A"/>
    <w:rsid w:val="006410FE"/>
    <w:rsid w:val="00641278"/>
    <w:rsid w:val="00641288"/>
    <w:rsid w:val="00641401"/>
    <w:rsid w:val="0064164A"/>
    <w:rsid w:val="0064171F"/>
    <w:rsid w:val="00641B95"/>
    <w:rsid w:val="00641BF3"/>
    <w:rsid w:val="00641DCD"/>
    <w:rsid w:val="00641ED0"/>
    <w:rsid w:val="00641F01"/>
    <w:rsid w:val="00641FEA"/>
    <w:rsid w:val="006423F7"/>
    <w:rsid w:val="0064251E"/>
    <w:rsid w:val="00642562"/>
    <w:rsid w:val="00642641"/>
    <w:rsid w:val="006426DD"/>
    <w:rsid w:val="00642E1A"/>
    <w:rsid w:val="00642EB0"/>
    <w:rsid w:val="00642F13"/>
    <w:rsid w:val="00642F97"/>
    <w:rsid w:val="0064304A"/>
    <w:rsid w:val="0064310B"/>
    <w:rsid w:val="006432D0"/>
    <w:rsid w:val="0064350B"/>
    <w:rsid w:val="006437C9"/>
    <w:rsid w:val="00643842"/>
    <w:rsid w:val="00643C66"/>
    <w:rsid w:val="00643DB6"/>
    <w:rsid w:val="00643E01"/>
    <w:rsid w:val="00643F27"/>
    <w:rsid w:val="00643FB4"/>
    <w:rsid w:val="00644107"/>
    <w:rsid w:val="0064421D"/>
    <w:rsid w:val="006442B6"/>
    <w:rsid w:val="00644440"/>
    <w:rsid w:val="00644456"/>
    <w:rsid w:val="0064486E"/>
    <w:rsid w:val="006448F9"/>
    <w:rsid w:val="00644A84"/>
    <w:rsid w:val="00644BFF"/>
    <w:rsid w:val="00644C01"/>
    <w:rsid w:val="00644C23"/>
    <w:rsid w:val="00644C37"/>
    <w:rsid w:val="00644C59"/>
    <w:rsid w:val="00644C5A"/>
    <w:rsid w:val="00644C8C"/>
    <w:rsid w:val="00644F09"/>
    <w:rsid w:val="0064504E"/>
    <w:rsid w:val="006451D0"/>
    <w:rsid w:val="00645708"/>
    <w:rsid w:val="006457DF"/>
    <w:rsid w:val="00646001"/>
    <w:rsid w:val="00646015"/>
    <w:rsid w:val="00646106"/>
    <w:rsid w:val="0064648D"/>
    <w:rsid w:val="006464DA"/>
    <w:rsid w:val="006465A9"/>
    <w:rsid w:val="00646898"/>
    <w:rsid w:val="006468B3"/>
    <w:rsid w:val="00646D31"/>
    <w:rsid w:val="00646D9C"/>
    <w:rsid w:val="00646FDE"/>
    <w:rsid w:val="00647093"/>
    <w:rsid w:val="00647142"/>
    <w:rsid w:val="00647173"/>
    <w:rsid w:val="006471EC"/>
    <w:rsid w:val="006473C2"/>
    <w:rsid w:val="00647506"/>
    <w:rsid w:val="0064760E"/>
    <w:rsid w:val="00647927"/>
    <w:rsid w:val="00647A54"/>
    <w:rsid w:val="00647C38"/>
    <w:rsid w:val="00647CF5"/>
    <w:rsid w:val="00647D2D"/>
    <w:rsid w:val="00647DCF"/>
    <w:rsid w:val="00647F32"/>
    <w:rsid w:val="006501C2"/>
    <w:rsid w:val="006502C2"/>
    <w:rsid w:val="006503F4"/>
    <w:rsid w:val="00650535"/>
    <w:rsid w:val="00650582"/>
    <w:rsid w:val="00650741"/>
    <w:rsid w:val="00650763"/>
    <w:rsid w:val="006507A2"/>
    <w:rsid w:val="006508A1"/>
    <w:rsid w:val="00650AEC"/>
    <w:rsid w:val="00650B6A"/>
    <w:rsid w:val="00650C77"/>
    <w:rsid w:val="00650C7B"/>
    <w:rsid w:val="00650F61"/>
    <w:rsid w:val="00650F8A"/>
    <w:rsid w:val="00650F9B"/>
    <w:rsid w:val="006510B9"/>
    <w:rsid w:val="006510E4"/>
    <w:rsid w:val="006512EF"/>
    <w:rsid w:val="006513B6"/>
    <w:rsid w:val="006514B4"/>
    <w:rsid w:val="00651A8C"/>
    <w:rsid w:val="00651B72"/>
    <w:rsid w:val="00651C04"/>
    <w:rsid w:val="00651D5D"/>
    <w:rsid w:val="00651E81"/>
    <w:rsid w:val="00651F17"/>
    <w:rsid w:val="00651F96"/>
    <w:rsid w:val="0065203B"/>
    <w:rsid w:val="0065207D"/>
    <w:rsid w:val="006520EA"/>
    <w:rsid w:val="00652120"/>
    <w:rsid w:val="00652163"/>
    <w:rsid w:val="0065231D"/>
    <w:rsid w:val="0065258F"/>
    <w:rsid w:val="00652600"/>
    <w:rsid w:val="00652A30"/>
    <w:rsid w:val="00652AD1"/>
    <w:rsid w:val="00652B82"/>
    <w:rsid w:val="00652BE2"/>
    <w:rsid w:val="00652C7C"/>
    <w:rsid w:val="00652F42"/>
    <w:rsid w:val="00652F74"/>
    <w:rsid w:val="006532D8"/>
    <w:rsid w:val="0065332B"/>
    <w:rsid w:val="0065336A"/>
    <w:rsid w:val="006533DC"/>
    <w:rsid w:val="006536B7"/>
    <w:rsid w:val="006537D0"/>
    <w:rsid w:val="00653935"/>
    <w:rsid w:val="00653A71"/>
    <w:rsid w:val="00653AC4"/>
    <w:rsid w:val="00653C88"/>
    <w:rsid w:val="00653F23"/>
    <w:rsid w:val="00653F2F"/>
    <w:rsid w:val="00654112"/>
    <w:rsid w:val="0065432F"/>
    <w:rsid w:val="006547B1"/>
    <w:rsid w:val="00654833"/>
    <w:rsid w:val="0065489C"/>
    <w:rsid w:val="00654BFF"/>
    <w:rsid w:val="00654D4B"/>
    <w:rsid w:val="00654D67"/>
    <w:rsid w:val="00654DC0"/>
    <w:rsid w:val="00654E43"/>
    <w:rsid w:val="00654E90"/>
    <w:rsid w:val="00655056"/>
    <w:rsid w:val="00655066"/>
    <w:rsid w:val="006552AA"/>
    <w:rsid w:val="0065570E"/>
    <w:rsid w:val="0065589F"/>
    <w:rsid w:val="0065596E"/>
    <w:rsid w:val="00655A0F"/>
    <w:rsid w:val="00655AF5"/>
    <w:rsid w:val="00655CE1"/>
    <w:rsid w:val="00655F0A"/>
    <w:rsid w:val="00656207"/>
    <w:rsid w:val="00656292"/>
    <w:rsid w:val="00656347"/>
    <w:rsid w:val="00656462"/>
    <w:rsid w:val="006564D4"/>
    <w:rsid w:val="00656678"/>
    <w:rsid w:val="006569D5"/>
    <w:rsid w:val="00656A1F"/>
    <w:rsid w:val="00656A43"/>
    <w:rsid w:val="00656B11"/>
    <w:rsid w:val="00656C68"/>
    <w:rsid w:val="00656CC6"/>
    <w:rsid w:val="00656CDB"/>
    <w:rsid w:val="00656E9E"/>
    <w:rsid w:val="00656EAF"/>
    <w:rsid w:val="00656EC6"/>
    <w:rsid w:val="00656EEA"/>
    <w:rsid w:val="00656FAB"/>
    <w:rsid w:val="0065702A"/>
    <w:rsid w:val="006572F0"/>
    <w:rsid w:val="006572F3"/>
    <w:rsid w:val="00657454"/>
    <w:rsid w:val="0065751D"/>
    <w:rsid w:val="0065787C"/>
    <w:rsid w:val="006578C9"/>
    <w:rsid w:val="0065794D"/>
    <w:rsid w:val="006579CF"/>
    <w:rsid w:val="00657B45"/>
    <w:rsid w:val="00657B48"/>
    <w:rsid w:val="00657D12"/>
    <w:rsid w:val="00657D37"/>
    <w:rsid w:val="00657DE1"/>
    <w:rsid w:val="00657F6F"/>
    <w:rsid w:val="00660085"/>
    <w:rsid w:val="00660163"/>
    <w:rsid w:val="0066034F"/>
    <w:rsid w:val="00660432"/>
    <w:rsid w:val="00660551"/>
    <w:rsid w:val="0066072A"/>
    <w:rsid w:val="00660A05"/>
    <w:rsid w:val="00660AFC"/>
    <w:rsid w:val="00660F20"/>
    <w:rsid w:val="00661476"/>
    <w:rsid w:val="006614B2"/>
    <w:rsid w:val="00661537"/>
    <w:rsid w:val="00661B87"/>
    <w:rsid w:val="00661F98"/>
    <w:rsid w:val="00662171"/>
    <w:rsid w:val="00662684"/>
    <w:rsid w:val="00662688"/>
    <w:rsid w:val="006626FE"/>
    <w:rsid w:val="00662837"/>
    <w:rsid w:val="00662B62"/>
    <w:rsid w:val="00662CE8"/>
    <w:rsid w:val="00662D9C"/>
    <w:rsid w:val="00663069"/>
    <w:rsid w:val="00663073"/>
    <w:rsid w:val="0066310F"/>
    <w:rsid w:val="006633A2"/>
    <w:rsid w:val="00663550"/>
    <w:rsid w:val="0066355C"/>
    <w:rsid w:val="0066356A"/>
    <w:rsid w:val="00663AAA"/>
    <w:rsid w:val="00663ABF"/>
    <w:rsid w:val="00663AE6"/>
    <w:rsid w:val="00663B20"/>
    <w:rsid w:val="00663CDF"/>
    <w:rsid w:val="00663D17"/>
    <w:rsid w:val="00663D96"/>
    <w:rsid w:val="00663E13"/>
    <w:rsid w:val="00663F1E"/>
    <w:rsid w:val="00663F50"/>
    <w:rsid w:val="00663FDD"/>
    <w:rsid w:val="00664075"/>
    <w:rsid w:val="006641C2"/>
    <w:rsid w:val="006641E0"/>
    <w:rsid w:val="006642C9"/>
    <w:rsid w:val="0066448C"/>
    <w:rsid w:val="0066467C"/>
    <w:rsid w:val="006646EF"/>
    <w:rsid w:val="00664787"/>
    <w:rsid w:val="006647A8"/>
    <w:rsid w:val="006647F4"/>
    <w:rsid w:val="0066481A"/>
    <w:rsid w:val="00664965"/>
    <w:rsid w:val="00664AEC"/>
    <w:rsid w:val="00664C80"/>
    <w:rsid w:val="00664D3D"/>
    <w:rsid w:val="00664E48"/>
    <w:rsid w:val="00664F61"/>
    <w:rsid w:val="00664FCF"/>
    <w:rsid w:val="006651C1"/>
    <w:rsid w:val="00665212"/>
    <w:rsid w:val="00665250"/>
    <w:rsid w:val="006653BD"/>
    <w:rsid w:val="006655B4"/>
    <w:rsid w:val="0066566D"/>
    <w:rsid w:val="006657E8"/>
    <w:rsid w:val="006658BA"/>
    <w:rsid w:val="00665A6A"/>
    <w:rsid w:val="00665AE7"/>
    <w:rsid w:val="00665B44"/>
    <w:rsid w:val="00665C56"/>
    <w:rsid w:val="00665C7E"/>
    <w:rsid w:val="00665C84"/>
    <w:rsid w:val="00665E63"/>
    <w:rsid w:val="006661F1"/>
    <w:rsid w:val="00666474"/>
    <w:rsid w:val="00666515"/>
    <w:rsid w:val="00666731"/>
    <w:rsid w:val="0066680F"/>
    <w:rsid w:val="00666948"/>
    <w:rsid w:val="0066696D"/>
    <w:rsid w:val="00666E90"/>
    <w:rsid w:val="0066708A"/>
    <w:rsid w:val="006671B8"/>
    <w:rsid w:val="006671FC"/>
    <w:rsid w:val="006672C3"/>
    <w:rsid w:val="0066736B"/>
    <w:rsid w:val="0066737F"/>
    <w:rsid w:val="00667431"/>
    <w:rsid w:val="0066743C"/>
    <w:rsid w:val="006675F8"/>
    <w:rsid w:val="006677C2"/>
    <w:rsid w:val="006677C5"/>
    <w:rsid w:val="006678BA"/>
    <w:rsid w:val="006678E5"/>
    <w:rsid w:val="0066791A"/>
    <w:rsid w:val="00667922"/>
    <w:rsid w:val="00667F90"/>
    <w:rsid w:val="00670211"/>
    <w:rsid w:val="0067023A"/>
    <w:rsid w:val="0067029B"/>
    <w:rsid w:val="00670343"/>
    <w:rsid w:val="006706AD"/>
    <w:rsid w:val="006708F4"/>
    <w:rsid w:val="006709B1"/>
    <w:rsid w:val="00670B4E"/>
    <w:rsid w:val="00670E16"/>
    <w:rsid w:val="00670EF6"/>
    <w:rsid w:val="00671006"/>
    <w:rsid w:val="00671057"/>
    <w:rsid w:val="006710CA"/>
    <w:rsid w:val="006713CC"/>
    <w:rsid w:val="00671446"/>
    <w:rsid w:val="006714E7"/>
    <w:rsid w:val="00671562"/>
    <w:rsid w:val="006715F6"/>
    <w:rsid w:val="0067183F"/>
    <w:rsid w:val="00671898"/>
    <w:rsid w:val="00671C97"/>
    <w:rsid w:val="00671D55"/>
    <w:rsid w:val="00672378"/>
    <w:rsid w:val="006723C6"/>
    <w:rsid w:val="00672603"/>
    <w:rsid w:val="00672803"/>
    <w:rsid w:val="006729A9"/>
    <w:rsid w:val="00672B5F"/>
    <w:rsid w:val="00672BC9"/>
    <w:rsid w:val="00672C71"/>
    <w:rsid w:val="00672E59"/>
    <w:rsid w:val="00672F1B"/>
    <w:rsid w:val="00672F1F"/>
    <w:rsid w:val="00673023"/>
    <w:rsid w:val="00673029"/>
    <w:rsid w:val="006730D3"/>
    <w:rsid w:val="0067333E"/>
    <w:rsid w:val="006733FE"/>
    <w:rsid w:val="00673411"/>
    <w:rsid w:val="0067346D"/>
    <w:rsid w:val="006735B6"/>
    <w:rsid w:val="00673647"/>
    <w:rsid w:val="00673691"/>
    <w:rsid w:val="006737E8"/>
    <w:rsid w:val="00673B60"/>
    <w:rsid w:val="00673C21"/>
    <w:rsid w:val="00673C45"/>
    <w:rsid w:val="00673D0E"/>
    <w:rsid w:val="00674092"/>
    <w:rsid w:val="0067426F"/>
    <w:rsid w:val="006746CD"/>
    <w:rsid w:val="0067478C"/>
    <w:rsid w:val="00674C3B"/>
    <w:rsid w:val="00674D83"/>
    <w:rsid w:val="00674E0B"/>
    <w:rsid w:val="00674F30"/>
    <w:rsid w:val="0067504B"/>
    <w:rsid w:val="0067518B"/>
    <w:rsid w:val="00675396"/>
    <w:rsid w:val="0067552F"/>
    <w:rsid w:val="0067564A"/>
    <w:rsid w:val="006757AD"/>
    <w:rsid w:val="00675AA1"/>
    <w:rsid w:val="00675B99"/>
    <w:rsid w:val="006761DE"/>
    <w:rsid w:val="0067628F"/>
    <w:rsid w:val="00676473"/>
    <w:rsid w:val="00676644"/>
    <w:rsid w:val="00676672"/>
    <w:rsid w:val="006768CB"/>
    <w:rsid w:val="00676908"/>
    <w:rsid w:val="00676AF9"/>
    <w:rsid w:val="00676C3C"/>
    <w:rsid w:val="00676C6C"/>
    <w:rsid w:val="00676FC0"/>
    <w:rsid w:val="006772A5"/>
    <w:rsid w:val="006772D5"/>
    <w:rsid w:val="00677354"/>
    <w:rsid w:val="00677476"/>
    <w:rsid w:val="0067759F"/>
    <w:rsid w:val="00677638"/>
    <w:rsid w:val="006776CC"/>
    <w:rsid w:val="006776E7"/>
    <w:rsid w:val="0067780D"/>
    <w:rsid w:val="00677AFB"/>
    <w:rsid w:val="00677B00"/>
    <w:rsid w:val="00677CF9"/>
    <w:rsid w:val="00677E27"/>
    <w:rsid w:val="0068004B"/>
    <w:rsid w:val="006801C4"/>
    <w:rsid w:val="00680205"/>
    <w:rsid w:val="006804C9"/>
    <w:rsid w:val="00680581"/>
    <w:rsid w:val="00680AFF"/>
    <w:rsid w:val="00680BF7"/>
    <w:rsid w:val="00680DC5"/>
    <w:rsid w:val="00680DFD"/>
    <w:rsid w:val="00680E52"/>
    <w:rsid w:val="00680E84"/>
    <w:rsid w:val="00680E89"/>
    <w:rsid w:val="00681134"/>
    <w:rsid w:val="00681199"/>
    <w:rsid w:val="00681575"/>
    <w:rsid w:val="00681707"/>
    <w:rsid w:val="0068174D"/>
    <w:rsid w:val="00681A07"/>
    <w:rsid w:val="00681CC8"/>
    <w:rsid w:val="00681E76"/>
    <w:rsid w:val="00681E7A"/>
    <w:rsid w:val="0068208D"/>
    <w:rsid w:val="006820B0"/>
    <w:rsid w:val="00682110"/>
    <w:rsid w:val="0068211C"/>
    <w:rsid w:val="006821EE"/>
    <w:rsid w:val="00682278"/>
    <w:rsid w:val="00682387"/>
    <w:rsid w:val="00682451"/>
    <w:rsid w:val="00682577"/>
    <w:rsid w:val="006825F8"/>
    <w:rsid w:val="0068263C"/>
    <w:rsid w:val="0068279B"/>
    <w:rsid w:val="006828B9"/>
    <w:rsid w:val="00682AF9"/>
    <w:rsid w:val="00682BA6"/>
    <w:rsid w:val="00682CCE"/>
    <w:rsid w:val="00682CD2"/>
    <w:rsid w:val="00682E3F"/>
    <w:rsid w:val="00682F0D"/>
    <w:rsid w:val="00682F80"/>
    <w:rsid w:val="00682FAB"/>
    <w:rsid w:val="00683050"/>
    <w:rsid w:val="006833EF"/>
    <w:rsid w:val="00683538"/>
    <w:rsid w:val="00683581"/>
    <w:rsid w:val="006835D5"/>
    <w:rsid w:val="006835DC"/>
    <w:rsid w:val="0068373A"/>
    <w:rsid w:val="0068387A"/>
    <w:rsid w:val="006838F2"/>
    <w:rsid w:val="00683964"/>
    <w:rsid w:val="00683A43"/>
    <w:rsid w:val="00683A4E"/>
    <w:rsid w:val="00683CAE"/>
    <w:rsid w:val="00683F80"/>
    <w:rsid w:val="00683FCD"/>
    <w:rsid w:val="00684169"/>
    <w:rsid w:val="006841EE"/>
    <w:rsid w:val="006841F9"/>
    <w:rsid w:val="0068422F"/>
    <w:rsid w:val="00684282"/>
    <w:rsid w:val="00684326"/>
    <w:rsid w:val="0068437F"/>
    <w:rsid w:val="00684503"/>
    <w:rsid w:val="0068455A"/>
    <w:rsid w:val="0068457E"/>
    <w:rsid w:val="006846F4"/>
    <w:rsid w:val="00684707"/>
    <w:rsid w:val="00684963"/>
    <w:rsid w:val="00684A07"/>
    <w:rsid w:val="00684A1C"/>
    <w:rsid w:val="00684A46"/>
    <w:rsid w:val="00684B24"/>
    <w:rsid w:val="00684C15"/>
    <w:rsid w:val="00684C42"/>
    <w:rsid w:val="00684C64"/>
    <w:rsid w:val="00685058"/>
    <w:rsid w:val="006850E4"/>
    <w:rsid w:val="006850FE"/>
    <w:rsid w:val="006852F1"/>
    <w:rsid w:val="006854BA"/>
    <w:rsid w:val="006855FB"/>
    <w:rsid w:val="006856F9"/>
    <w:rsid w:val="00685705"/>
    <w:rsid w:val="006858D9"/>
    <w:rsid w:val="00685CEE"/>
    <w:rsid w:val="00685EEC"/>
    <w:rsid w:val="00685F8B"/>
    <w:rsid w:val="0068606E"/>
    <w:rsid w:val="00686215"/>
    <w:rsid w:val="00686301"/>
    <w:rsid w:val="00686386"/>
    <w:rsid w:val="006863BD"/>
    <w:rsid w:val="006868B2"/>
    <w:rsid w:val="00686A8A"/>
    <w:rsid w:val="00686D28"/>
    <w:rsid w:val="00686E42"/>
    <w:rsid w:val="0068704F"/>
    <w:rsid w:val="0068714D"/>
    <w:rsid w:val="006871C2"/>
    <w:rsid w:val="0068721C"/>
    <w:rsid w:val="006873A7"/>
    <w:rsid w:val="006875FB"/>
    <w:rsid w:val="00687671"/>
    <w:rsid w:val="0068776A"/>
    <w:rsid w:val="0068785F"/>
    <w:rsid w:val="006878A0"/>
    <w:rsid w:val="00687984"/>
    <w:rsid w:val="006879F5"/>
    <w:rsid w:val="00687A7C"/>
    <w:rsid w:val="00687B2C"/>
    <w:rsid w:val="00687B5D"/>
    <w:rsid w:val="00687D3A"/>
    <w:rsid w:val="00687D6D"/>
    <w:rsid w:val="00687EBE"/>
    <w:rsid w:val="00687F12"/>
    <w:rsid w:val="00687FF6"/>
    <w:rsid w:val="00690175"/>
    <w:rsid w:val="00690291"/>
    <w:rsid w:val="0069035D"/>
    <w:rsid w:val="006905D1"/>
    <w:rsid w:val="006905E4"/>
    <w:rsid w:val="00690726"/>
    <w:rsid w:val="0069078B"/>
    <w:rsid w:val="006907BE"/>
    <w:rsid w:val="006907DD"/>
    <w:rsid w:val="0069089F"/>
    <w:rsid w:val="00690A2F"/>
    <w:rsid w:val="00691348"/>
    <w:rsid w:val="0069164E"/>
    <w:rsid w:val="00691B35"/>
    <w:rsid w:val="00691CC3"/>
    <w:rsid w:val="00691CC5"/>
    <w:rsid w:val="00691CEB"/>
    <w:rsid w:val="00691E06"/>
    <w:rsid w:val="00691E31"/>
    <w:rsid w:val="00691F19"/>
    <w:rsid w:val="00691F1C"/>
    <w:rsid w:val="00691F77"/>
    <w:rsid w:val="00691FEF"/>
    <w:rsid w:val="006920A9"/>
    <w:rsid w:val="006920E4"/>
    <w:rsid w:val="006923C6"/>
    <w:rsid w:val="00692423"/>
    <w:rsid w:val="006924C6"/>
    <w:rsid w:val="006924C9"/>
    <w:rsid w:val="0069254B"/>
    <w:rsid w:val="006926A7"/>
    <w:rsid w:val="006926AD"/>
    <w:rsid w:val="006927C3"/>
    <w:rsid w:val="0069291C"/>
    <w:rsid w:val="0069295C"/>
    <w:rsid w:val="00692A98"/>
    <w:rsid w:val="00692CAF"/>
    <w:rsid w:val="00692EF3"/>
    <w:rsid w:val="00692EF4"/>
    <w:rsid w:val="006930C6"/>
    <w:rsid w:val="00693191"/>
    <w:rsid w:val="00693247"/>
    <w:rsid w:val="006932EC"/>
    <w:rsid w:val="006932FB"/>
    <w:rsid w:val="006933DC"/>
    <w:rsid w:val="00693407"/>
    <w:rsid w:val="006934AF"/>
    <w:rsid w:val="0069351A"/>
    <w:rsid w:val="006935D3"/>
    <w:rsid w:val="00693891"/>
    <w:rsid w:val="00693A42"/>
    <w:rsid w:val="00693C3B"/>
    <w:rsid w:val="00693CC9"/>
    <w:rsid w:val="00693CE2"/>
    <w:rsid w:val="00693CFA"/>
    <w:rsid w:val="00693E68"/>
    <w:rsid w:val="00693EC1"/>
    <w:rsid w:val="006942E5"/>
    <w:rsid w:val="006942ED"/>
    <w:rsid w:val="00694358"/>
    <w:rsid w:val="0069437F"/>
    <w:rsid w:val="00694789"/>
    <w:rsid w:val="006948EA"/>
    <w:rsid w:val="006949F7"/>
    <w:rsid w:val="00694ADB"/>
    <w:rsid w:val="00694BCB"/>
    <w:rsid w:val="00694D4B"/>
    <w:rsid w:val="00694D6E"/>
    <w:rsid w:val="00694ECD"/>
    <w:rsid w:val="00694F35"/>
    <w:rsid w:val="00695169"/>
    <w:rsid w:val="006952D5"/>
    <w:rsid w:val="00695308"/>
    <w:rsid w:val="006953C9"/>
    <w:rsid w:val="00695570"/>
    <w:rsid w:val="00695597"/>
    <w:rsid w:val="006955BD"/>
    <w:rsid w:val="006956D1"/>
    <w:rsid w:val="006956D7"/>
    <w:rsid w:val="00695983"/>
    <w:rsid w:val="00695A38"/>
    <w:rsid w:val="00695B54"/>
    <w:rsid w:val="00695C4D"/>
    <w:rsid w:val="00695D9D"/>
    <w:rsid w:val="006961F9"/>
    <w:rsid w:val="00696500"/>
    <w:rsid w:val="006966A0"/>
    <w:rsid w:val="00696851"/>
    <w:rsid w:val="006969AC"/>
    <w:rsid w:val="00696A86"/>
    <w:rsid w:val="00696A9C"/>
    <w:rsid w:val="00696B3A"/>
    <w:rsid w:val="00696B86"/>
    <w:rsid w:val="00696DA7"/>
    <w:rsid w:val="00696ED7"/>
    <w:rsid w:val="00697113"/>
    <w:rsid w:val="00697114"/>
    <w:rsid w:val="0069721C"/>
    <w:rsid w:val="006976A0"/>
    <w:rsid w:val="006976F1"/>
    <w:rsid w:val="006977A9"/>
    <w:rsid w:val="0069784A"/>
    <w:rsid w:val="006978CF"/>
    <w:rsid w:val="00697BB1"/>
    <w:rsid w:val="00697C53"/>
    <w:rsid w:val="00697C7D"/>
    <w:rsid w:val="006A0172"/>
    <w:rsid w:val="006A0238"/>
    <w:rsid w:val="006A0252"/>
    <w:rsid w:val="006A0534"/>
    <w:rsid w:val="006A061E"/>
    <w:rsid w:val="006A0700"/>
    <w:rsid w:val="006A07C4"/>
    <w:rsid w:val="006A07FA"/>
    <w:rsid w:val="006A09EE"/>
    <w:rsid w:val="006A0B7F"/>
    <w:rsid w:val="006A0EE1"/>
    <w:rsid w:val="006A0F27"/>
    <w:rsid w:val="006A10B0"/>
    <w:rsid w:val="006A12A6"/>
    <w:rsid w:val="006A1331"/>
    <w:rsid w:val="006A13C5"/>
    <w:rsid w:val="006A1549"/>
    <w:rsid w:val="006A15CD"/>
    <w:rsid w:val="006A16F5"/>
    <w:rsid w:val="006A1765"/>
    <w:rsid w:val="006A1A07"/>
    <w:rsid w:val="006A1AB1"/>
    <w:rsid w:val="006A1B7C"/>
    <w:rsid w:val="006A1D8F"/>
    <w:rsid w:val="006A1DA2"/>
    <w:rsid w:val="006A1E5E"/>
    <w:rsid w:val="006A1F04"/>
    <w:rsid w:val="006A1F44"/>
    <w:rsid w:val="006A20C0"/>
    <w:rsid w:val="006A214C"/>
    <w:rsid w:val="006A2255"/>
    <w:rsid w:val="006A2343"/>
    <w:rsid w:val="006A25C6"/>
    <w:rsid w:val="006A2979"/>
    <w:rsid w:val="006A2A0B"/>
    <w:rsid w:val="006A2AB4"/>
    <w:rsid w:val="006A2B0D"/>
    <w:rsid w:val="006A2B9D"/>
    <w:rsid w:val="006A2C58"/>
    <w:rsid w:val="006A2D98"/>
    <w:rsid w:val="006A2DB0"/>
    <w:rsid w:val="006A2E43"/>
    <w:rsid w:val="006A2F90"/>
    <w:rsid w:val="006A30ED"/>
    <w:rsid w:val="006A30F0"/>
    <w:rsid w:val="006A3163"/>
    <w:rsid w:val="006A3382"/>
    <w:rsid w:val="006A340E"/>
    <w:rsid w:val="006A3686"/>
    <w:rsid w:val="006A36B2"/>
    <w:rsid w:val="006A3775"/>
    <w:rsid w:val="006A381E"/>
    <w:rsid w:val="006A384C"/>
    <w:rsid w:val="006A38E2"/>
    <w:rsid w:val="006A397C"/>
    <w:rsid w:val="006A3A1D"/>
    <w:rsid w:val="006A3AA1"/>
    <w:rsid w:val="006A3D28"/>
    <w:rsid w:val="006A3DEB"/>
    <w:rsid w:val="006A3DF7"/>
    <w:rsid w:val="006A3F9C"/>
    <w:rsid w:val="006A426B"/>
    <w:rsid w:val="006A4392"/>
    <w:rsid w:val="006A445B"/>
    <w:rsid w:val="006A45C7"/>
    <w:rsid w:val="006A4607"/>
    <w:rsid w:val="006A473E"/>
    <w:rsid w:val="006A4813"/>
    <w:rsid w:val="006A4937"/>
    <w:rsid w:val="006A4B89"/>
    <w:rsid w:val="006A4EE9"/>
    <w:rsid w:val="006A5088"/>
    <w:rsid w:val="006A50CA"/>
    <w:rsid w:val="006A54DF"/>
    <w:rsid w:val="006A553D"/>
    <w:rsid w:val="006A5671"/>
    <w:rsid w:val="006A56A4"/>
    <w:rsid w:val="006A56E6"/>
    <w:rsid w:val="006A58D0"/>
    <w:rsid w:val="006A5913"/>
    <w:rsid w:val="006A5978"/>
    <w:rsid w:val="006A5D2F"/>
    <w:rsid w:val="006A5E2E"/>
    <w:rsid w:val="006A5EA4"/>
    <w:rsid w:val="006A5F3A"/>
    <w:rsid w:val="006A5FC0"/>
    <w:rsid w:val="006A5FE6"/>
    <w:rsid w:val="006A608E"/>
    <w:rsid w:val="006A60EE"/>
    <w:rsid w:val="006A6236"/>
    <w:rsid w:val="006A6446"/>
    <w:rsid w:val="006A649A"/>
    <w:rsid w:val="006A64D1"/>
    <w:rsid w:val="006A65DF"/>
    <w:rsid w:val="006A683B"/>
    <w:rsid w:val="006A6894"/>
    <w:rsid w:val="006A69B2"/>
    <w:rsid w:val="006A69CB"/>
    <w:rsid w:val="006A6A8A"/>
    <w:rsid w:val="006A6A9C"/>
    <w:rsid w:val="006A6C59"/>
    <w:rsid w:val="006A6C9F"/>
    <w:rsid w:val="006A6DD2"/>
    <w:rsid w:val="006A6EC3"/>
    <w:rsid w:val="006A6F35"/>
    <w:rsid w:val="006A741E"/>
    <w:rsid w:val="006A7627"/>
    <w:rsid w:val="006A7A65"/>
    <w:rsid w:val="006A7EC8"/>
    <w:rsid w:val="006A7F91"/>
    <w:rsid w:val="006B015D"/>
    <w:rsid w:val="006B0408"/>
    <w:rsid w:val="006B071D"/>
    <w:rsid w:val="006B08D5"/>
    <w:rsid w:val="006B08FE"/>
    <w:rsid w:val="006B0B1B"/>
    <w:rsid w:val="006B0DAB"/>
    <w:rsid w:val="006B0DE7"/>
    <w:rsid w:val="006B0E02"/>
    <w:rsid w:val="006B0F9F"/>
    <w:rsid w:val="006B117E"/>
    <w:rsid w:val="006B1320"/>
    <w:rsid w:val="006B143D"/>
    <w:rsid w:val="006B144F"/>
    <w:rsid w:val="006B1480"/>
    <w:rsid w:val="006B14DB"/>
    <w:rsid w:val="006B14E2"/>
    <w:rsid w:val="006B1513"/>
    <w:rsid w:val="006B1629"/>
    <w:rsid w:val="006B17C7"/>
    <w:rsid w:val="006B1823"/>
    <w:rsid w:val="006B190F"/>
    <w:rsid w:val="006B1959"/>
    <w:rsid w:val="006B1A7A"/>
    <w:rsid w:val="006B1AA0"/>
    <w:rsid w:val="006B1AA1"/>
    <w:rsid w:val="006B1C3B"/>
    <w:rsid w:val="006B2177"/>
    <w:rsid w:val="006B236E"/>
    <w:rsid w:val="006B2394"/>
    <w:rsid w:val="006B276B"/>
    <w:rsid w:val="006B27C7"/>
    <w:rsid w:val="006B286A"/>
    <w:rsid w:val="006B28CE"/>
    <w:rsid w:val="006B29BC"/>
    <w:rsid w:val="006B2A52"/>
    <w:rsid w:val="006B2AA5"/>
    <w:rsid w:val="006B2C89"/>
    <w:rsid w:val="006B2CBF"/>
    <w:rsid w:val="006B30B5"/>
    <w:rsid w:val="006B31B0"/>
    <w:rsid w:val="006B31E2"/>
    <w:rsid w:val="006B3340"/>
    <w:rsid w:val="006B36BE"/>
    <w:rsid w:val="006B36CB"/>
    <w:rsid w:val="006B36F0"/>
    <w:rsid w:val="006B36FF"/>
    <w:rsid w:val="006B3925"/>
    <w:rsid w:val="006B394D"/>
    <w:rsid w:val="006B3952"/>
    <w:rsid w:val="006B3B5D"/>
    <w:rsid w:val="006B3BB7"/>
    <w:rsid w:val="006B3D2C"/>
    <w:rsid w:val="006B3E17"/>
    <w:rsid w:val="006B3E7D"/>
    <w:rsid w:val="006B3F4C"/>
    <w:rsid w:val="006B45BE"/>
    <w:rsid w:val="006B45C3"/>
    <w:rsid w:val="006B45FE"/>
    <w:rsid w:val="006B46D6"/>
    <w:rsid w:val="006B493B"/>
    <w:rsid w:val="006B4AFA"/>
    <w:rsid w:val="006B4BEB"/>
    <w:rsid w:val="006B4CED"/>
    <w:rsid w:val="006B504A"/>
    <w:rsid w:val="006B50D7"/>
    <w:rsid w:val="006B511E"/>
    <w:rsid w:val="006B51E7"/>
    <w:rsid w:val="006B51E8"/>
    <w:rsid w:val="006B53AE"/>
    <w:rsid w:val="006B54F8"/>
    <w:rsid w:val="006B553B"/>
    <w:rsid w:val="006B5643"/>
    <w:rsid w:val="006B5767"/>
    <w:rsid w:val="006B5CD0"/>
    <w:rsid w:val="006B5D85"/>
    <w:rsid w:val="006B5E90"/>
    <w:rsid w:val="006B5F7F"/>
    <w:rsid w:val="006B6013"/>
    <w:rsid w:val="006B6238"/>
    <w:rsid w:val="006B642B"/>
    <w:rsid w:val="006B69AB"/>
    <w:rsid w:val="006B69BB"/>
    <w:rsid w:val="006B6A6F"/>
    <w:rsid w:val="006B6B75"/>
    <w:rsid w:val="006B6B7F"/>
    <w:rsid w:val="006B6CB7"/>
    <w:rsid w:val="006B6D0D"/>
    <w:rsid w:val="006B6D4A"/>
    <w:rsid w:val="006B6DA2"/>
    <w:rsid w:val="006B6EDC"/>
    <w:rsid w:val="006B6FFF"/>
    <w:rsid w:val="006B7164"/>
    <w:rsid w:val="006B7224"/>
    <w:rsid w:val="006B7389"/>
    <w:rsid w:val="006B76E9"/>
    <w:rsid w:val="006B772C"/>
    <w:rsid w:val="006B7755"/>
    <w:rsid w:val="006B7900"/>
    <w:rsid w:val="006B7949"/>
    <w:rsid w:val="006B7964"/>
    <w:rsid w:val="006B79E2"/>
    <w:rsid w:val="006B7C86"/>
    <w:rsid w:val="006B7DFD"/>
    <w:rsid w:val="006B7FB1"/>
    <w:rsid w:val="006C0017"/>
    <w:rsid w:val="006C002F"/>
    <w:rsid w:val="006C01E7"/>
    <w:rsid w:val="006C0512"/>
    <w:rsid w:val="006C06F0"/>
    <w:rsid w:val="006C0978"/>
    <w:rsid w:val="006C09FD"/>
    <w:rsid w:val="006C0DE4"/>
    <w:rsid w:val="006C0EB9"/>
    <w:rsid w:val="006C0FEE"/>
    <w:rsid w:val="006C108B"/>
    <w:rsid w:val="006C10C2"/>
    <w:rsid w:val="006C1639"/>
    <w:rsid w:val="006C1693"/>
    <w:rsid w:val="006C16F4"/>
    <w:rsid w:val="006C17E8"/>
    <w:rsid w:val="006C1877"/>
    <w:rsid w:val="006C1955"/>
    <w:rsid w:val="006C1998"/>
    <w:rsid w:val="006C1BC7"/>
    <w:rsid w:val="006C1D02"/>
    <w:rsid w:val="006C1EC7"/>
    <w:rsid w:val="006C1FE8"/>
    <w:rsid w:val="006C20D9"/>
    <w:rsid w:val="006C20E8"/>
    <w:rsid w:val="006C2186"/>
    <w:rsid w:val="006C234D"/>
    <w:rsid w:val="006C2678"/>
    <w:rsid w:val="006C2758"/>
    <w:rsid w:val="006C287F"/>
    <w:rsid w:val="006C2A92"/>
    <w:rsid w:val="006C2AEE"/>
    <w:rsid w:val="006C2B40"/>
    <w:rsid w:val="006C2CC4"/>
    <w:rsid w:val="006C2DCF"/>
    <w:rsid w:val="006C2FAE"/>
    <w:rsid w:val="006C307D"/>
    <w:rsid w:val="006C30CD"/>
    <w:rsid w:val="006C31D1"/>
    <w:rsid w:val="006C36CB"/>
    <w:rsid w:val="006C36D2"/>
    <w:rsid w:val="006C37D4"/>
    <w:rsid w:val="006C383B"/>
    <w:rsid w:val="006C3A98"/>
    <w:rsid w:val="006C3C32"/>
    <w:rsid w:val="006C3CA7"/>
    <w:rsid w:val="006C3D9C"/>
    <w:rsid w:val="006C4071"/>
    <w:rsid w:val="006C44BF"/>
    <w:rsid w:val="006C44D4"/>
    <w:rsid w:val="006C45BF"/>
    <w:rsid w:val="006C460A"/>
    <w:rsid w:val="006C46A2"/>
    <w:rsid w:val="006C4A69"/>
    <w:rsid w:val="006C4AAA"/>
    <w:rsid w:val="006C4AE4"/>
    <w:rsid w:val="006C4BB7"/>
    <w:rsid w:val="006C50EF"/>
    <w:rsid w:val="006C513A"/>
    <w:rsid w:val="006C520D"/>
    <w:rsid w:val="006C534A"/>
    <w:rsid w:val="006C538B"/>
    <w:rsid w:val="006C540D"/>
    <w:rsid w:val="006C582D"/>
    <w:rsid w:val="006C58AC"/>
    <w:rsid w:val="006C5AC3"/>
    <w:rsid w:val="006C5FC0"/>
    <w:rsid w:val="006C6467"/>
    <w:rsid w:val="006C64F8"/>
    <w:rsid w:val="006C6565"/>
    <w:rsid w:val="006C669D"/>
    <w:rsid w:val="006C67D1"/>
    <w:rsid w:val="006C6955"/>
    <w:rsid w:val="006C69B5"/>
    <w:rsid w:val="006C6F24"/>
    <w:rsid w:val="006C7004"/>
    <w:rsid w:val="006C7085"/>
    <w:rsid w:val="006C70AC"/>
    <w:rsid w:val="006C7188"/>
    <w:rsid w:val="006C725E"/>
    <w:rsid w:val="006C726C"/>
    <w:rsid w:val="006C7296"/>
    <w:rsid w:val="006C7559"/>
    <w:rsid w:val="006C76B4"/>
    <w:rsid w:val="006C778A"/>
    <w:rsid w:val="006C798F"/>
    <w:rsid w:val="006C7A57"/>
    <w:rsid w:val="006C7CF4"/>
    <w:rsid w:val="006C7D6F"/>
    <w:rsid w:val="006C7E72"/>
    <w:rsid w:val="006C7E7E"/>
    <w:rsid w:val="006C7F16"/>
    <w:rsid w:val="006D0291"/>
    <w:rsid w:val="006D049E"/>
    <w:rsid w:val="006D04B5"/>
    <w:rsid w:val="006D0724"/>
    <w:rsid w:val="006D08FE"/>
    <w:rsid w:val="006D093B"/>
    <w:rsid w:val="006D09C2"/>
    <w:rsid w:val="006D0B71"/>
    <w:rsid w:val="006D0BEC"/>
    <w:rsid w:val="006D0BEF"/>
    <w:rsid w:val="006D0BFE"/>
    <w:rsid w:val="006D0F27"/>
    <w:rsid w:val="006D0F51"/>
    <w:rsid w:val="006D0FC5"/>
    <w:rsid w:val="006D10BD"/>
    <w:rsid w:val="006D115A"/>
    <w:rsid w:val="006D1212"/>
    <w:rsid w:val="006D12A2"/>
    <w:rsid w:val="006D1319"/>
    <w:rsid w:val="006D1335"/>
    <w:rsid w:val="006D147C"/>
    <w:rsid w:val="006D15C1"/>
    <w:rsid w:val="006D17CD"/>
    <w:rsid w:val="006D1834"/>
    <w:rsid w:val="006D19C3"/>
    <w:rsid w:val="006D19C7"/>
    <w:rsid w:val="006D1D07"/>
    <w:rsid w:val="006D1DF0"/>
    <w:rsid w:val="006D1E36"/>
    <w:rsid w:val="006D1F3F"/>
    <w:rsid w:val="006D1F95"/>
    <w:rsid w:val="006D20E8"/>
    <w:rsid w:val="006D216D"/>
    <w:rsid w:val="006D223C"/>
    <w:rsid w:val="006D2316"/>
    <w:rsid w:val="006D231D"/>
    <w:rsid w:val="006D2365"/>
    <w:rsid w:val="006D26F5"/>
    <w:rsid w:val="006D2896"/>
    <w:rsid w:val="006D2A3A"/>
    <w:rsid w:val="006D2BE5"/>
    <w:rsid w:val="006D2D7B"/>
    <w:rsid w:val="006D2DED"/>
    <w:rsid w:val="006D2E39"/>
    <w:rsid w:val="006D2EAB"/>
    <w:rsid w:val="006D3062"/>
    <w:rsid w:val="006D32AC"/>
    <w:rsid w:val="006D32E5"/>
    <w:rsid w:val="006D3385"/>
    <w:rsid w:val="006D3589"/>
    <w:rsid w:val="006D35A6"/>
    <w:rsid w:val="006D35DB"/>
    <w:rsid w:val="006D3780"/>
    <w:rsid w:val="006D396E"/>
    <w:rsid w:val="006D3A84"/>
    <w:rsid w:val="006D3AA3"/>
    <w:rsid w:val="006D3AAA"/>
    <w:rsid w:val="006D3B69"/>
    <w:rsid w:val="006D3D94"/>
    <w:rsid w:val="006D3E45"/>
    <w:rsid w:val="006D3FF4"/>
    <w:rsid w:val="006D40EA"/>
    <w:rsid w:val="006D42B8"/>
    <w:rsid w:val="006D42CE"/>
    <w:rsid w:val="006D4322"/>
    <w:rsid w:val="006D4377"/>
    <w:rsid w:val="006D4429"/>
    <w:rsid w:val="006D443D"/>
    <w:rsid w:val="006D45A5"/>
    <w:rsid w:val="006D45CA"/>
    <w:rsid w:val="006D460D"/>
    <w:rsid w:val="006D464F"/>
    <w:rsid w:val="006D4750"/>
    <w:rsid w:val="006D4A74"/>
    <w:rsid w:val="006D4B2C"/>
    <w:rsid w:val="006D4CBE"/>
    <w:rsid w:val="006D4F61"/>
    <w:rsid w:val="006D505F"/>
    <w:rsid w:val="006D5132"/>
    <w:rsid w:val="006D51BE"/>
    <w:rsid w:val="006D550D"/>
    <w:rsid w:val="006D5562"/>
    <w:rsid w:val="006D57C9"/>
    <w:rsid w:val="006D5833"/>
    <w:rsid w:val="006D58F4"/>
    <w:rsid w:val="006D58FE"/>
    <w:rsid w:val="006D5C66"/>
    <w:rsid w:val="006D5CC1"/>
    <w:rsid w:val="006D5DE6"/>
    <w:rsid w:val="006D5E6A"/>
    <w:rsid w:val="006D5EC8"/>
    <w:rsid w:val="006D6126"/>
    <w:rsid w:val="006D626F"/>
    <w:rsid w:val="006D62D3"/>
    <w:rsid w:val="006D6439"/>
    <w:rsid w:val="006D6440"/>
    <w:rsid w:val="006D657A"/>
    <w:rsid w:val="006D6808"/>
    <w:rsid w:val="006D6881"/>
    <w:rsid w:val="006D6962"/>
    <w:rsid w:val="006D6AA3"/>
    <w:rsid w:val="006D6AB3"/>
    <w:rsid w:val="006D6D96"/>
    <w:rsid w:val="006D6DD4"/>
    <w:rsid w:val="006D6EA3"/>
    <w:rsid w:val="006D70F8"/>
    <w:rsid w:val="006D7119"/>
    <w:rsid w:val="006D731A"/>
    <w:rsid w:val="006D7692"/>
    <w:rsid w:val="006D76B3"/>
    <w:rsid w:val="006D77CC"/>
    <w:rsid w:val="006D7828"/>
    <w:rsid w:val="006D791C"/>
    <w:rsid w:val="006D7A59"/>
    <w:rsid w:val="006D7AB0"/>
    <w:rsid w:val="006D7ABA"/>
    <w:rsid w:val="006D7ABD"/>
    <w:rsid w:val="006D7ACE"/>
    <w:rsid w:val="006D7C57"/>
    <w:rsid w:val="006D7ECE"/>
    <w:rsid w:val="006D7F01"/>
    <w:rsid w:val="006D7F3D"/>
    <w:rsid w:val="006E0178"/>
    <w:rsid w:val="006E0289"/>
    <w:rsid w:val="006E0353"/>
    <w:rsid w:val="006E03CF"/>
    <w:rsid w:val="006E0466"/>
    <w:rsid w:val="006E069F"/>
    <w:rsid w:val="006E082D"/>
    <w:rsid w:val="006E0B02"/>
    <w:rsid w:val="006E0B74"/>
    <w:rsid w:val="006E0D46"/>
    <w:rsid w:val="006E0E20"/>
    <w:rsid w:val="006E0F74"/>
    <w:rsid w:val="006E0FAB"/>
    <w:rsid w:val="006E14F3"/>
    <w:rsid w:val="006E18D9"/>
    <w:rsid w:val="006E1940"/>
    <w:rsid w:val="006E1A66"/>
    <w:rsid w:val="006E1D9E"/>
    <w:rsid w:val="006E1DDD"/>
    <w:rsid w:val="006E1EB6"/>
    <w:rsid w:val="006E1F2F"/>
    <w:rsid w:val="006E1F5A"/>
    <w:rsid w:val="006E20D0"/>
    <w:rsid w:val="006E20D5"/>
    <w:rsid w:val="006E2221"/>
    <w:rsid w:val="006E2298"/>
    <w:rsid w:val="006E22D9"/>
    <w:rsid w:val="006E2399"/>
    <w:rsid w:val="006E2449"/>
    <w:rsid w:val="006E2618"/>
    <w:rsid w:val="006E2805"/>
    <w:rsid w:val="006E2960"/>
    <w:rsid w:val="006E2BD9"/>
    <w:rsid w:val="006E2DB9"/>
    <w:rsid w:val="006E2E77"/>
    <w:rsid w:val="006E2F24"/>
    <w:rsid w:val="006E3010"/>
    <w:rsid w:val="006E30E9"/>
    <w:rsid w:val="006E324F"/>
    <w:rsid w:val="006E3441"/>
    <w:rsid w:val="006E3515"/>
    <w:rsid w:val="006E35A7"/>
    <w:rsid w:val="006E35F1"/>
    <w:rsid w:val="006E35FB"/>
    <w:rsid w:val="006E389D"/>
    <w:rsid w:val="006E3920"/>
    <w:rsid w:val="006E3A26"/>
    <w:rsid w:val="006E3BB5"/>
    <w:rsid w:val="006E3C87"/>
    <w:rsid w:val="006E3E8F"/>
    <w:rsid w:val="006E3FA4"/>
    <w:rsid w:val="006E40A7"/>
    <w:rsid w:val="006E42D8"/>
    <w:rsid w:val="006E4457"/>
    <w:rsid w:val="006E4622"/>
    <w:rsid w:val="006E466B"/>
    <w:rsid w:val="006E46AD"/>
    <w:rsid w:val="006E4721"/>
    <w:rsid w:val="006E4952"/>
    <w:rsid w:val="006E4A99"/>
    <w:rsid w:val="006E4BA7"/>
    <w:rsid w:val="006E4BB9"/>
    <w:rsid w:val="006E4BED"/>
    <w:rsid w:val="006E4D40"/>
    <w:rsid w:val="006E4F7A"/>
    <w:rsid w:val="006E50C3"/>
    <w:rsid w:val="006E516C"/>
    <w:rsid w:val="006E5175"/>
    <w:rsid w:val="006E52CE"/>
    <w:rsid w:val="006E53C8"/>
    <w:rsid w:val="006E548E"/>
    <w:rsid w:val="006E5593"/>
    <w:rsid w:val="006E5ABA"/>
    <w:rsid w:val="006E5AF4"/>
    <w:rsid w:val="006E5BE2"/>
    <w:rsid w:val="006E5D5A"/>
    <w:rsid w:val="006E603A"/>
    <w:rsid w:val="006E6049"/>
    <w:rsid w:val="006E640F"/>
    <w:rsid w:val="006E6556"/>
    <w:rsid w:val="006E65CC"/>
    <w:rsid w:val="006E6864"/>
    <w:rsid w:val="006E6ADB"/>
    <w:rsid w:val="006E6B3B"/>
    <w:rsid w:val="006E6C18"/>
    <w:rsid w:val="006E6C75"/>
    <w:rsid w:val="006E6CE0"/>
    <w:rsid w:val="006E6D63"/>
    <w:rsid w:val="006E6FB9"/>
    <w:rsid w:val="006E7241"/>
    <w:rsid w:val="006E747B"/>
    <w:rsid w:val="006E74A8"/>
    <w:rsid w:val="006E754A"/>
    <w:rsid w:val="006E7829"/>
    <w:rsid w:val="006E7987"/>
    <w:rsid w:val="006E7A39"/>
    <w:rsid w:val="006E7AD4"/>
    <w:rsid w:val="006E7B52"/>
    <w:rsid w:val="006E7C8B"/>
    <w:rsid w:val="006E7F93"/>
    <w:rsid w:val="006F0045"/>
    <w:rsid w:val="006F008C"/>
    <w:rsid w:val="006F009B"/>
    <w:rsid w:val="006F035A"/>
    <w:rsid w:val="006F04BD"/>
    <w:rsid w:val="006F04CC"/>
    <w:rsid w:val="006F0783"/>
    <w:rsid w:val="006F0905"/>
    <w:rsid w:val="006F0906"/>
    <w:rsid w:val="006F0B77"/>
    <w:rsid w:val="006F0BE7"/>
    <w:rsid w:val="006F0C7D"/>
    <w:rsid w:val="006F0D65"/>
    <w:rsid w:val="006F0E78"/>
    <w:rsid w:val="006F1065"/>
    <w:rsid w:val="006F10BB"/>
    <w:rsid w:val="006F1318"/>
    <w:rsid w:val="006F132B"/>
    <w:rsid w:val="006F15B0"/>
    <w:rsid w:val="006F17A9"/>
    <w:rsid w:val="006F17CA"/>
    <w:rsid w:val="006F19F6"/>
    <w:rsid w:val="006F1AAD"/>
    <w:rsid w:val="006F1BE3"/>
    <w:rsid w:val="006F1CAB"/>
    <w:rsid w:val="006F1DED"/>
    <w:rsid w:val="006F1FB7"/>
    <w:rsid w:val="006F204E"/>
    <w:rsid w:val="006F2111"/>
    <w:rsid w:val="006F216E"/>
    <w:rsid w:val="006F22A7"/>
    <w:rsid w:val="006F2361"/>
    <w:rsid w:val="006F2391"/>
    <w:rsid w:val="006F24AB"/>
    <w:rsid w:val="006F25E5"/>
    <w:rsid w:val="006F2759"/>
    <w:rsid w:val="006F27A1"/>
    <w:rsid w:val="006F27E9"/>
    <w:rsid w:val="006F2A78"/>
    <w:rsid w:val="006F2B14"/>
    <w:rsid w:val="006F2D02"/>
    <w:rsid w:val="006F2D33"/>
    <w:rsid w:val="006F2D7A"/>
    <w:rsid w:val="006F2DAD"/>
    <w:rsid w:val="006F2E1E"/>
    <w:rsid w:val="006F2EEB"/>
    <w:rsid w:val="006F2F07"/>
    <w:rsid w:val="006F30A0"/>
    <w:rsid w:val="006F35FE"/>
    <w:rsid w:val="006F3836"/>
    <w:rsid w:val="006F3AD1"/>
    <w:rsid w:val="006F3DCC"/>
    <w:rsid w:val="006F3E04"/>
    <w:rsid w:val="006F3F24"/>
    <w:rsid w:val="006F3F62"/>
    <w:rsid w:val="006F3FAF"/>
    <w:rsid w:val="006F4068"/>
    <w:rsid w:val="006F411F"/>
    <w:rsid w:val="006F4220"/>
    <w:rsid w:val="006F46C7"/>
    <w:rsid w:val="006F47C9"/>
    <w:rsid w:val="006F48C2"/>
    <w:rsid w:val="006F4B22"/>
    <w:rsid w:val="006F4D1B"/>
    <w:rsid w:val="006F4DFD"/>
    <w:rsid w:val="006F4E9D"/>
    <w:rsid w:val="006F4FB1"/>
    <w:rsid w:val="006F505D"/>
    <w:rsid w:val="006F528E"/>
    <w:rsid w:val="006F529C"/>
    <w:rsid w:val="006F534F"/>
    <w:rsid w:val="006F5631"/>
    <w:rsid w:val="006F583C"/>
    <w:rsid w:val="006F5935"/>
    <w:rsid w:val="006F5C9A"/>
    <w:rsid w:val="006F5CC5"/>
    <w:rsid w:val="006F5D5D"/>
    <w:rsid w:val="006F5EEB"/>
    <w:rsid w:val="006F5F73"/>
    <w:rsid w:val="006F600B"/>
    <w:rsid w:val="006F60C6"/>
    <w:rsid w:val="006F64C6"/>
    <w:rsid w:val="006F666E"/>
    <w:rsid w:val="006F6828"/>
    <w:rsid w:val="006F6863"/>
    <w:rsid w:val="006F689A"/>
    <w:rsid w:val="006F6B89"/>
    <w:rsid w:val="006F6C94"/>
    <w:rsid w:val="006F6E1F"/>
    <w:rsid w:val="006F7094"/>
    <w:rsid w:val="006F7104"/>
    <w:rsid w:val="006F72BC"/>
    <w:rsid w:val="006F7340"/>
    <w:rsid w:val="006F735B"/>
    <w:rsid w:val="006F73FF"/>
    <w:rsid w:val="006F754D"/>
    <w:rsid w:val="006F799F"/>
    <w:rsid w:val="006F7A8F"/>
    <w:rsid w:val="006F7AFA"/>
    <w:rsid w:val="006F7B27"/>
    <w:rsid w:val="006F7E86"/>
    <w:rsid w:val="006F7EE1"/>
    <w:rsid w:val="006F7FDF"/>
    <w:rsid w:val="007000D7"/>
    <w:rsid w:val="007000F6"/>
    <w:rsid w:val="00700109"/>
    <w:rsid w:val="007004F8"/>
    <w:rsid w:val="00700613"/>
    <w:rsid w:val="00700789"/>
    <w:rsid w:val="0070078C"/>
    <w:rsid w:val="00700791"/>
    <w:rsid w:val="007007C0"/>
    <w:rsid w:val="00700A34"/>
    <w:rsid w:val="00700CB0"/>
    <w:rsid w:val="00700D29"/>
    <w:rsid w:val="00700E19"/>
    <w:rsid w:val="00700E82"/>
    <w:rsid w:val="00700E8A"/>
    <w:rsid w:val="00701020"/>
    <w:rsid w:val="007011CA"/>
    <w:rsid w:val="00701239"/>
    <w:rsid w:val="00701265"/>
    <w:rsid w:val="00701311"/>
    <w:rsid w:val="00701319"/>
    <w:rsid w:val="00701551"/>
    <w:rsid w:val="00701602"/>
    <w:rsid w:val="00701651"/>
    <w:rsid w:val="00701862"/>
    <w:rsid w:val="00701939"/>
    <w:rsid w:val="00701967"/>
    <w:rsid w:val="0070197A"/>
    <w:rsid w:val="00701AFB"/>
    <w:rsid w:val="00701AFC"/>
    <w:rsid w:val="00701B98"/>
    <w:rsid w:val="007021DA"/>
    <w:rsid w:val="007021DE"/>
    <w:rsid w:val="007023DA"/>
    <w:rsid w:val="007025FE"/>
    <w:rsid w:val="007027FA"/>
    <w:rsid w:val="007028BB"/>
    <w:rsid w:val="0070296A"/>
    <w:rsid w:val="00702FD2"/>
    <w:rsid w:val="007030DC"/>
    <w:rsid w:val="007030EB"/>
    <w:rsid w:val="007030EE"/>
    <w:rsid w:val="00703385"/>
    <w:rsid w:val="0070344E"/>
    <w:rsid w:val="00703770"/>
    <w:rsid w:val="007038B5"/>
    <w:rsid w:val="007038DA"/>
    <w:rsid w:val="00703915"/>
    <w:rsid w:val="007039E6"/>
    <w:rsid w:val="00703C09"/>
    <w:rsid w:val="00703CB5"/>
    <w:rsid w:val="00703CE8"/>
    <w:rsid w:val="00703E11"/>
    <w:rsid w:val="00703E6B"/>
    <w:rsid w:val="00703F34"/>
    <w:rsid w:val="00704005"/>
    <w:rsid w:val="007040A5"/>
    <w:rsid w:val="00704235"/>
    <w:rsid w:val="00704374"/>
    <w:rsid w:val="007046DB"/>
    <w:rsid w:val="00704737"/>
    <w:rsid w:val="007047DD"/>
    <w:rsid w:val="00704820"/>
    <w:rsid w:val="007048BB"/>
    <w:rsid w:val="007048DC"/>
    <w:rsid w:val="00704ABE"/>
    <w:rsid w:val="00704AC7"/>
    <w:rsid w:val="00704C1B"/>
    <w:rsid w:val="00704CF3"/>
    <w:rsid w:val="00704D06"/>
    <w:rsid w:val="00704E74"/>
    <w:rsid w:val="00704ECA"/>
    <w:rsid w:val="00704F8C"/>
    <w:rsid w:val="007051AE"/>
    <w:rsid w:val="0070521B"/>
    <w:rsid w:val="007053D0"/>
    <w:rsid w:val="00705415"/>
    <w:rsid w:val="007054B7"/>
    <w:rsid w:val="007055CF"/>
    <w:rsid w:val="0070577E"/>
    <w:rsid w:val="007059EA"/>
    <w:rsid w:val="00705B5C"/>
    <w:rsid w:val="00705C5C"/>
    <w:rsid w:val="00705D34"/>
    <w:rsid w:val="00705E15"/>
    <w:rsid w:val="00705F36"/>
    <w:rsid w:val="00706150"/>
    <w:rsid w:val="007061BE"/>
    <w:rsid w:val="007061D3"/>
    <w:rsid w:val="007062FD"/>
    <w:rsid w:val="0070634A"/>
    <w:rsid w:val="0070638A"/>
    <w:rsid w:val="007063FF"/>
    <w:rsid w:val="00706560"/>
    <w:rsid w:val="00706564"/>
    <w:rsid w:val="007065A3"/>
    <w:rsid w:val="00706679"/>
    <w:rsid w:val="007066EA"/>
    <w:rsid w:val="007067CB"/>
    <w:rsid w:val="007069DD"/>
    <w:rsid w:val="00706C03"/>
    <w:rsid w:val="00706C7F"/>
    <w:rsid w:val="00706F7B"/>
    <w:rsid w:val="00706F85"/>
    <w:rsid w:val="0070707F"/>
    <w:rsid w:val="007070D0"/>
    <w:rsid w:val="007070EA"/>
    <w:rsid w:val="00707110"/>
    <w:rsid w:val="007071EB"/>
    <w:rsid w:val="007073B9"/>
    <w:rsid w:val="007073C7"/>
    <w:rsid w:val="00707496"/>
    <w:rsid w:val="00707614"/>
    <w:rsid w:val="00707729"/>
    <w:rsid w:val="007077F8"/>
    <w:rsid w:val="0070781C"/>
    <w:rsid w:val="00707A4F"/>
    <w:rsid w:val="00707AAE"/>
    <w:rsid w:val="00707BF9"/>
    <w:rsid w:val="00707D0D"/>
    <w:rsid w:val="00707E4A"/>
    <w:rsid w:val="0071009F"/>
    <w:rsid w:val="0071015D"/>
    <w:rsid w:val="00710426"/>
    <w:rsid w:val="007106FB"/>
    <w:rsid w:val="00710819"/>
    <w:rsid w:val="00710906"/>
    <w:rsid w:val="00710A66"/>
    <w:rsid w:val="00710C9D"/>
    <w:rsid w:val="00710E9A"/>
    <w:rsid w:val="00711136"/>
    <w:rsid w:val="007113ED"/>
    <w:rsid w:val="00711564"/>
    <w:rsid w:val="007115C8"/>
    <w:rsid w:val="00711600"/>
    <w:rsid w:val="00711682"/>
    <w:rsid w:val="007117A5"/>
    <w:rsid w:val="00711804"/>
    <w:rsid w:val="00711AA5"/>
    <w:rsid w:val="00711F2F"/>
    <w:rsid w:val="00711FA0"/>
    <w:rsid w:val="007120DD"/>
    <w:rsid w:val="00712157"/>
    <w:rsid w:val="007121D1"/>
    <w:rsid w:val="00712298"/>
    <w:rsid w:val="007123BA"/>
    <w:rsid w:val="007123CF"/>
    <w:rsid w:val="00712433"/>
    <w:rsid w:val="0071257C"/>
    <w:rsid w:val="007125CF"/>
    <w:rsid w:val="0071266A"/>
    <w:rsid w:val="00712731"/>
    <w:rsid w:val="00712828"/>
    <w:rsid w:val="00712862"/>
    <w:rsid w:val="00712884"/>
    <w:rsid w:val="007128D1"/>
    <w:rsid w:val="00712914"/>
    <w:rsid w:val="00712991"/>
    <w:rsid w:val="007129BF"/>
    <w:rsid w:val="00712B0E"/>
    <w:rsid w:val="00712B19"/>
    <w:rsid w:val="00712D3B"/>
    <w:rsid w:val="00712E01"/>
    <w:rsid w:val="00712EB5"/>
    <w:rsid w:val="00712FC5"/>
    <w:rsid w:val="00712FE8"/>
    <w:rsid w:val="00713023"/>
    <w:rsid w:val="00713077"/>
    <w:rsid w:val="007131A7"/>
    <w:rsid w:val="00713515"/>
    <w:rsid w:val="00713591"/>
    <w:rsid w:val="007137AB"/>
    <w:rsid w:val="00713934"/>
    <w:rsid w:val="0071398B"/>
    <w:rsid w:val="00713AB4"/>
    <w:rsid w:val="00713D4D"/>
    <w:rsid w:val="00713DE5"/>
    <w:rsid w:val="00713ED9"/>
    <w:rsid w:val="00713EF7"/>
    <w:rsid w:val="00713F6D"/>
    <w:rsid w:val="0071417D"/>
    <w:rsid w:val="0071428D"/>
    <w:rsid w:val="007144AF"/>
    <w:rsid w:val="007146BF"/>
    <w:rsid w:val="00714792"/>
    <w:rsid w:val="0071483A"/>
    <w:rsid w:val="0071487D"/>
    <w:rsid w:val="00714A56"/>
    <w:rsid w:val="00714A5B"/>
    <w:rsid w:val="00714B68"/>
    <w:rsid w:val="00714B6A"/>
    <w:rsid w:val="00714BE4"/>
    <w:rsid w:val="00714DCD"/>
    <w:rsid w:val="00714F22"/>
    <w:rsid w:val="00714F38"/>
    <w:rsid w:val="00714FB6"/>
    <w:rsid w:val="00715601"/>
    <w:rsid w:val="00715639"/>
    <w:rsid w:val="0071564C"/>
    <w:rsid w:val="007156E5"/>
    <w:rsid w:val="00715750"/>
    <w:rsid w:val="00715912"/>
    <w:rsid w:val="00715C8E"/>
    <w:rsid w:val="00715D5E"/>
    <w:rsid w:val="00716253"/>
    <w:rsid w:val="0071629B"/>
    <w:rsid w:val="007162F1"/>
    <w:rsid w:val="00716316"/>
    <w:rsid w:val="00716560"/>
    <w:rsid w:val="0071693A"/>
    <w:rsid w:val="007169E7"/>
    <w:rsid w:val="007169F5"/>
    <w:rsid w:val="00716C45"/>
    <w:rsid w:val="00716CF0"/>
    <w:rsid w:val="00716E80"/>
    <w:rsid w:val="00716EC3"/>
    <w:rsid w:val="007170E1"/>
    <w:rsid w:val="00717213"/>
    <w:rsid w:val="00717389"/>
    <w:rsid w:val="007173AA"/>
    <w:rsid w:val="00717478"/>
    <w:rsid w:val="007175B8"/>
    <w:rsid w:val="0071772F"/>
    <w:rsid w:val="00717BFE"/>
    <w:rsid w:val="00717CAA"/>
    <w:rsid w:val="00717CB0"/>
    <w:rsid w:val="00717E96"/>
    <w:rsid w:val="007200F0"/>
    <w:rsid w:val="00720390"/>
    <w:rsid w:val="007204DC"/>
    <w:rsid w:val="007205F1"/>
    <w:rsid w:val="007207FE"/>
    <w:rsid w:val="007208AB"/>
    <w:rsid w:val="0072090B"/>
    <w:rsid w:val="0072096E"/>
    <w:rsid w:val="007209A3"/>
    <w:rsid w:val="007209EC"/>
    <w:rsid w:val="00721041"/>
    <w:rsid w:val="007210C0"/>
    <w:rsid w:val="00721140"/>
    <w:rsid w:val="00721218"/>
    <w:rsid w:val="0072124F"/>
    <w:rsid w:val="0072130B"/>
    <w:rsid w:val="007215EB"/>
    <w:rsid w:val="00721736"/>
    <w:rsid w:val="00721805"/>
    <w:rsid w:val="007218D2"/>
    <w:rsid w:val="0072193C"/>
    <w:rsid w:val="007219BF"/>
    <w:rsid w:val="00721AB1"/>
    <w:rsid w:val="00721AD5"/>
    <w:rsid w:val="00721CDE"/>
    <w:rsid w:val="00721D87"/>
    <w:rsid w:val="00721E19"/>
    <w:rsid w:val="00721F39"/>
    <w:rsid w:val="00722125"/>
    <w:rsid w:val="007222FD"/>
    <w:rsid w:val="00722328"/>
    <w:rsid w:val="0072238B"/>
    <w:rsid w:val="007224CA"/>
    <w:rsid w:val="00722518"/>
    <w:rsid w:val="00722734"/>
    <w:rsid w:val="0072280D"/>
    <w:rsid w:val="00722D0B"/>
    <w:rsid w:val="00722D60"/>
    <w:rsid w:val="00723086"/>
    <w:rsid w:val="007231BE"/>
    <w:rsid w:val="007233C3"/>
    <w:rsid w:val="007235AF"/>
    <w:rsid w:val="007235CA"/>
    <w:rsid w:val="00723832"/>
    <w:rsid w:val="00723A50"/>
    <w:rsid w:val="00723ADC"/>
    <w:rsid w:val="00723D85"/>
    <w:rsid w:val="00723E36"/>
    <w:rsid w:val="00723FC6"/>
    <w:rsid w:val="00724010"/>
    <w:rsid w:val="0072415F"/>
    <w:rsid w:val="00724427"/>
    <w:rsid w:val="00724428"/>
    <w:rsid w:val="00724660"/>
    <w:rsid w:val="0072472F"/>
    <w:rsid w:val="00724781"/>
    <w:rsid w:val="0072479F"/>
    <w:rsid w:val="0072483E"/>
    <w:rsid w:val="007248CD"/>
    <w:rsid w:val="007249E8"/>
    <w:rsid w:val="00724A36"/>
    <w:rsid w:val="00724BE5"/>
    <w:rsid w:val="00724C2F"/>
    <w:rsid w:val="00724DF2"/>
    <w:rsid w:val="00724E16"/>
    <w:rsid w:val="00724E32"/>
    <w:rsid w:val="00724E6E"/>
    <w:rsid w:val="0072520F"/>
    <w:rsid w:val="00725386"/>
    <w:rsid w:val="0072577E"/>
    <w:rsid w:val="007257E3"/>
    <w:rsid w:val="007258CC"/>
    <w:rsid w:val="0072592F"/>
    <w:rsid w:val="00725ACF"/>
    <w:rsid w:val="00725CAB"/>
    <w:rsid w:val="00725D40"/>
    <w:rsid w:val="00725E30"/>
    <w:rsid w:val="00725E3C"/>
    <w:rsid w:val="00725E61"/>
    <w:rsid w:val="00726072"/>
    <w:rsid w:val="007263DC"/>
    <w:rsid w:val="007265AE"/>
    <w:rsid w:val="007265D7"/>
    <w:rsid w:val="0072666D"/>
    <w:rsid w:val="0072684C"/>
    <w:rsid w:val="0072693C"/>
    <w:rsid w:val="0072697D"/>
    <w:rsid w:val="00726CDE"/>
    <w:rsid w:val="00726D28"/>
    <w:rsid w:val="00726D74"/>
    <w:rsid w:val="00726EE6"/>
    <w:rsid w:val="007271C2"/>
    <w:rsid w:val="007271DD"/>
    <w:rsid w:val="007272BB"/>
    <w:rsid w:val="007272EE"/>
    <w:rsid w:val="007272F6"/>
    <w:rsid w:val="007273B5"/>
    <w:rsid w:val="00727575"/>
    <w:rsid w:val="007275FA"/>
    <w:rsid w:val="00727685"/>
    <w:rsid w:val="0072770E"/>
    <w:rsid w:val="00727920"/>
    <w:rsid w:val="00727C82"/>
    <w:rsid w:val="00727C8D"/>
    <w:rsid w:val="00727D1F"/>
    <w:rsid w:val="00727D94"/>
    <w:rsid w:val="00727F09"/>
    <w:rsid w:val="007300FD"/>
    <w:rsid w:val="007301B3"/>
    <w:rsid w:val="0073038E"/>
    <w:rsid w:val="0073061F"/>
    <w:rsid w:val="0073064F"/>
    <w:rsid w:val="007307AB"/>
    <w:rsid w:val="007308C8"/>
    <w:rsid w:val="00730B1F"/>
    <w:rsid w:val="00730B85"/>
    <w:rsid w:val="00730BB0"/>
    <w:rsid w:val="00730C0E"/>
    <w:rsid w:val="00730C39"/>
    <w:rsid w:val="00730E7E"/>
    <w:rsid w:val="00730EEF"/>
    <w:rsid w:val="00730FCF"/>
    <w:rsid w:val="0073108A"/>
    <w:rsid w:val="007311C8"/>
    <w:rsid w:val="00731301"/>
    <w:rsid w:val="007314BD"/>
    <w:rsid w:val="007314D5"/>
    <w:rsid w:val="00731664"/>
    <w:rsid w:val="00731785"/>
    <w:rsid w:val="00731937"/>
    <w:rsid w:val="007319DC"/>
    <w:rsid w:val="00731D5B"/>
    <w:rsid w:val="00731DA1"/>
    <w:rsid w:val="00731E71"/>
    <w:rsid w:val="0073221B"/>
    <w:rsid w:val="00732288"/>
    <w:rsid w:val="007322AF"/>
    <w:rsid w:val="007322BA"/>
    <w:rsid w:val="00732381"/>
    <w:rsid w:val="00732399"/>
    <w:rsid w:val="00732478"/>
    <w:rsid w:val="00732488"/>
    <w:rsid w:val="00732702"/>
    <w:rsid w:val="00732A15"/>
    <w:rsid w:val="00732AD8"/>
    <w:rsid w:val="00732BFF"/>
    <w:rsid w:val="00732C73"/>
    <w:rsid w:val="00732CA6"/>
    <w:rsid w:val="00732EF1"/>
    <w:rsid w:val="00732F4C"/>
    <w:rsid w:val="00732FC2"/>
    <w:rsid w:val="00732FD9"/>
    <w:rsid w:val="00733362"/>
    <w:rsid w:val="0073386C"/>
    <w:rsid w:val="00733A25"/>
    <w:rsid w:val="00733B95"/>
    <w:rsid w:val="00733CA6"/>
    <w:rsid w:val="00733DA7"/>
    <w:rsid w:val="00733E53"/>
    <w:rsid w:val="0073417E"/>
    <w:rsid w:val="007341C1"/>
    <w:rsid w:val="007341FC"/>
    <w:rsid w:val="0073424C"/>
    <w:rsid w:val="0073429C"/>
    <w:rsid w:val="0073451F"/>
    <w:rsid w:val="00734526"/>
    <w:rsid w:val="00734915"/>
    <w:rsid w:val="00734BFC"/>
    <w:rsid w:val="00734D8E"/>
    <w:rsid w:val="00734E3B"/>
    <w:rsid w:val="00734EBA"/>
    <w:rsid w:val="00734F97"/>
    <w:rsid w:val="00735087"/>
    <w:rsid w:val="00735099"/>
    <w:rsid w:val="0073511C"/>
    <w:rsid w:val="007351FD"/>
    <w:rsid w:val="0073520F"/>
    <w:rsid w:val="007352B4"/>
    <w:rsid w:val="00735304"/>
    <w:rsid w:val="007353F2"/>
    <w:rsid w:val="007354F5"/>
    <w:rsid w:val="007357AD"/>
    <w:rsid w:val="007358C8"/>
    <w:rsid w:val="007358D3"/>
    <w:rsid w:val="00735ABC"/>
    <w:rsid w:val="00735BCC"/>
    <w:rsid w:val="00735C8A"/>
    <w:rsid w:val="00735CB4"/>
    <w:rsid w:val="00735D6B"/>
    <w:rsid w:val="00735DD0"/>
    <w:rsid w:val="00735E1E"/>
    <w:rsid w:val="00735E4F"/>
    <w:rsid w:val="007360D3"/>
    <w:rsid w:val="007363BB"/>
    <w:rsid w:val="0073651D"/>
    <w:rsid w:val="007365CF"/>
    <w:rsid w:val="0073663C"/>
    <w:rsid w:val="007366D0"/>
    <w:rsid w:val="00736A7F"/>
    <w:rsid w:val="00736B0C"/>
    <w:rsid w:val="00736D50"/>
    <w:rsid w:val="00736E3B"/>
    <w:rsid w:val="00736E46"/>
    <w:rsid w:val="00737019"/>
    <w:rsid w:val="007371DE"/>
    <w:rsid w:val="00737244"/>
    <w:rsid w:val="00737251"/>
    <w:rsid w:val="00737448"/>
    <w:rsid w:val="00737705"/>
    <w:rsid w:val="00737792"/>
    <w:rsid w:val="007378D8"/>
    <w:rsid w:val="0073790C"/>
    <w:rsid w:val="007379A0"/>
    <w:rsid w:val="007379C0"/>
    <w:rsid w:val="00737A48"/>
    <w:rsid w:val="00737B02"/>
    <w:rsid w:val="00737F14"/>
    <w:rsid w:val="0074002F"/>
    <w:rsid w:val="0074004E"/>
    <w:rsid w:val="0074041D"/>
    <w:rsid w:val="0074064A"/>
    <w:rsid w:val="007406D6"/>
    <w:rsid w:val="007408C1"/>
    <w:rsid w:val="00740AB2"/>
    <w:rsid w:val="00740CA7"/>
    <w:rsid w:val="00740E1A"/>
    <w:rsid w:val="00740FA5"/>
    <w:rsid w:val="0074116A"/>
    <w:rsid w:val="007411C9"/>
    <w:rsid w:val="0074126C"/>
    <w:rsid w:val="00741293"/>
    <w:rsid w:val="0074139B"/>
    <w:rsid w:val="00741536"/>
    <w:rsid w:val="007415AD"/>
    <w:rsid w:val="007415F2"/>
    <w:rsid w:val="00741717"/>
    <w:rsid w:val="007417B6"/>
    <w:rsid w:val="00741B45"/>
    <w:rsid w:val="00741C5D"/>
    <w:rsid w:val="00741DE2"/>
    <w:rsid w:val="00741E23"/>
    <w:rsid w:val="00741F0F"/>
    <w:rsid w:val="00741F68"/>
    <w:rsid w:val="00742192"/>
    <w:rsid w:val="007421AE"/>
    <w:rsid w:val="00742232"/>
    <w:rsid w:val="0074223B"/>
    <w:rsid w:val="00742453"/>
    <w:rsid w:val="00742787"/>
    <w:rsid w:val="007427A4"/>
    <w:rsid w:val="007429CC"/>
    <w:rsid w:val="00742BDD"/>
    <w:rsid w:val="00742EC9"/>
    <w:rsid w:val="0074302A"/>
    <w:rsid w:val="007431B9"/>
    <w:rsid w:val="007432C9"/>
    <w:rsid w:val="007435E2"/>
    <w:rsid w:val="0074398E"/>
    <w:rsid w:val="00743A32"/>
    <w:rsid w:val="00743A82"/>
    <w:rsid w:val="00743A9E"/>
    <w:rsid w:val="00743D59"/>
    <w:rsid w:val="00743D8D"/>
    <w:rsid w:val="00743E25"/>
    <w:rsid w:val="00743E6F"/>
    <w:rsid w:val="00744138"/>
    <w:rsid w:val="0074425A"/>
    <w:rsid w:val="0074435F"/>
    <w:rsid w:val="007444F2"/>
    <w:rsid w:val="0074456A"/>
    <w:rsid w:val="00744692"/>
    <w:rsid w:val="0074474E"/>
    <w:rsid w:val="00744814"/>
    <w:rsid w:val="007448FB"/>
    <w:rsid w:val="00744BF9"/>
    <w:rsid w:val="00744F53"/>
    <w:rsid w:val="00744FA9"/>
    <w:rsid w:val="00744FF9"/>
    <w:rsid w:val="007450FA"/>
    <w:rsid w:val="00745468"/>
    <w:rsid w:val="0074558C"/>
    <w:rsid w:val="00745675"/>
    <w:rsid w:val="007456E8"/>
    <w:rsid w:val="0074585A"/>
    <w:rsid w:val="00745894"/>
    <w:rsid w:val="007459CE"/>
    <w:rsid w:val="007459E8"/>
    <w:rsid w:val="00745B33"/>
    <w:rsid w:val="00745C13"/>
    <w:rsid w:val="00745E25"/>
    <w:rsid w:val="00746072"/>
    <w:rsid w:val="007460E5"/>
    <w:rsid w:val="007461BB"/>
    <w:rsid w:val="00746334"/>
    <w:rsid w:val="007464E1"/>
    <w:rsid w:val="00746728"/>
    <w:rsid w:val="00746750"/>
    <w:rsid w:val="007467F4"/>
    <w:rsid w:val="007468F1"/>
    <w:rsid w:val="00746904"/>
    <w:rsid w:val="00746CC0"/>
    <w:rsid w:val="00746D97"/>
    <w:rsid w:val="00746E5E"/>
    <w:rsid w:val="00746FCC"/>
    <w:rsid w:val="00747190"/>
    <w:rsid w:val="00747206"/>
    <w:rsid w:val="007472E4"/>
    <w:rsid w:val="0074738A"/>
    <w:rsid w:val="007475B7"/>
    <w:rsid w:val="00747643"/>
    <w:rsid w:val="007477CD"/>
    <w:rsid w:val="007477FC"/>
    <w:rsid w:val="00747812"/>
    <w:rsid w:val="00747A99"/>
    <w:rsid w:val="00747BE2"/>
    <w:rsid w:val="00747D41"/>
    <w:rsid w:val="00747FC4"/>
    <w:rsid w:val="007500C1"/>
    <w:rsid w:val="0075025E"/>
    <w:rsid w:val="007503C3"/>
    <w:rsid w:val="007503F1"/>
    <w:rsid w:val="0075045E"/>
    <w:rsid w:val="007505F2"/>
    <w:rsid w:val="00750602"/>
    <w:rsid w:val="00750665"/>
    <w:rsid w:val="0075078B"/>
    <w:rsid w:val="007508F1"/>
    <w:rsid w:val="00750993"/>
    <w:rsid w:val="00750B3C"/>
    <w:rsid w:val="00750C6D"/>
    <w:rsid w:val="00750CEE"/>
    <w:rsid w:val="00750DF6"/>
    <w:rsid w:val="00750FC0"/>
    <w:rsid w:val="00750FEF"/>
    <w:rsid w:val="007510EB"/>
    <w:rsid w:val="007510F3"/>
    <w:rsid w:val="007511A7"/>
    <w:rsid w:val="007513CE"/>
    <w:rsid w:val="00751412"/>
    <w:rsid w:val="00751605"/>
    <w:rsid w:val="0075171C"/>
    <w:rsid w:val="00751876"/>
    <w:rsid w:val="00751956"/>
    <w:rsid w:val="007519A9"/>
    <w:rsid w:val="00751AB3"/>
    <w:rsid w:val="00751CB4"/>
    <w:rsid w:val="00751E3F"/>
    <w:rsid w:val="00751EC1"/>
    <w:rsid w:val="00751F5C"/>
    <w:rsid w:val="007522C9"/>
    <w:rsid w:val="0075256F"/>
    <w:rsid w:val="007528D9"/>
    <w:rsid w:val="007529E7"/>
    <w:rsid w:val="00752AEB"/>
    <w:rsid w:val="00752BCB"/>
    <w:rsid w:val="00752C78"/>
    <w:rsid w:val="00752DD4"/>
    <w:rsid w:val="00752EA3"/>
    <w:rsid w:val="00753055"/>
    <w:rsid w:val="0075333A"/>
    <w:rsid w:val="00753492"/>
    <w:rsid w:val="0075360A"/>
    <w:rsid w:val="007537E1"/>
    <w:rsid w:val="00753825"/>
    <w:rsid w:val="0075385A"/>
    <w:rsid w:val="00753875"/>
    <w:rsid w:val="007538CB"/>
    <w:rsid w:val="00753CBF"/>
    <w:rsid w:val="00753D52"/>
    <w:rsid w:val="00753E3C"/>
    <w:rsid w:val="00754027"/>
    <w:rsid w:val="00754109"/>
    <w:rsid w:val="00754229"/>
    <w:rsid w:val="00754434"/>
    <w:rsid w:val="00754444"/>
    <w:rsid w:val="0075468A"/>
    <w:rsid w:val="007547B5"/>
    <w:rsid w:val="0075498E"/>
    <w:rsid w:val="007549D0"/>
    <w:rsid w:val="00754A72"/>
    <w:rsid w:val="00754B97"/>
    <w:rsid w:val="00754EF4"/>
    <w:rsid w:val="00754F13"/>
    <w:rsid w:val="00754F87"/>
    <w:rsid w:val="00755493"/>
    <w:rsid w:val="007554E7"/>
    <w:rsid w:val="00755519"/>
    <w:rsid w:val="007556EA"/>
    <w:rsid w:val="0075570E"/>
    <w:rsid w:val="007558CB"/>
    <w:rsid w:val="00755985"/>
    <w:rsid w:val="007559A1"/>
    <w:rsid w:val="00755A96"/>
    <w:rsid w:val="00755BD9"/>
    <w:rsid w:val="00755C34"/>
    <w:rsid w:val="00755E27"/>
    <w:rsid w:val="00756208"/>
    <w:rsid w:val="0075623C"/>
    <w:rsid w:val="0075625E"/>
    <w:rsid w:val="007562E0"/>
    <w:rsid w:val="007563B1"/>
    <w:rsid w:val="0075649A"/>
    <w:rsid w:val="00756864"/>
    <w:rsid w:val="007568CF"/>
    <w:rsid w:val="00756953"/>
    <w:rsid w:val="00756B1E"/>
    <w:rsid w:val="00756B5C"/>
    <w:rsid w:val="00756C00"/>
    <w:rsid w:val="00756ECA"/>
    <w:rsid w:val="0075710C"/>
    <w:rsid w:val="00757258"/>
    <w:rsid w:val="00757265"/>
    <w:rsid w:val="0075732B"/>
    <w:rsid w:val="007573EF"/>
    <w:rsid w:val="00757477"/>
    <w:rsid w:val="007574B2"/>
    <w:rsid w:val="0075750E"/>
    <w:rsid w:val="00757525"/>
    <w:rsid w:val="0075764A"/>
    <w:rsid w:val="007577EE"/>
    <w:rsid w:val="00757A0E"/>
    <w:rsid w:val="00757B0D"/>
    <w:rsid w:val="00757B5A"/>
    <w:rsid w:val="00757C4A"/>
    <w:rsid w:val="00757CE2"/>
    <w:rsid w:val="00757E8A"/>
    <w:rsid w:val="00757EE2"/>
    <w:rsid w:val="00757FEB"/>
    <w:rsid w:val="0076010C"/>
    <w:rsid w:val="0076018F"/>
    <w:rsid w:val="00760236"/>
    <w:rsid w:val="0076052B"/>
    <w:rsid w:val="0076062C"/>
    <w:rsid w:val="00760826"/>
    <w:rsid w:val="0076085C"/>
    <w:rsid w:val="007609D2"/>
    <w:rsid w:val="00760C03"/>
    <w:rsid w:val="00760C28"/>
    <w:rsid w:val="00760CC5"/>
    <w:rsid w:val="00760D0A"/>
    <w:rsid w:val="00760D33"/>
    <w:rsid w:val="0076106D"/>
    <w:rsid w:val="007610F2"/>
    <w:rsid w:val="007611BE"/>
    <w:rsid w:val="0076127F"/>
    <w:rsid w:val="0076138E"/>
    <w:rsid w:val="00761487"/>
    <w:rsid w:val="007615B2"/>
    <w:rsid w:val="007616FA"/>
    <w:rsid w:val="007617B6"/>
    <w:rsid w:val="007618CF"/>
    <w:rsid w:val="007619F1"/>
    <w:rsid w:val="00761B6D"/>
    <w:rsid w:val="00761C05"/>
    <w:rsid w:val="00761D7D"/>
    <w:rsid w:val="00762018"/>
    <w:rsid w:val="00762184"/>
    <w:rsid w:val="0076242A"/>
    <w:rsid w:val="00762550"/>
    <w:rsid w:val="0076269D"/>
    <w:rsid w:val="007626C6"/>
    <w:rsid w:val="00762728"/>
    <w:rsid w:val="00762C71"/>
    <w:rsid w:val="00762CF4"/>
    <w:rsid w:val="00762D84"/>
    <w:rsid w:val="00762F6D"/>
    <w:rsid w:val="007632E4"/>
    <w:rsid w:val="007634AF"/>
    <w:rsid w:val="007635D1"/>
    <w:rsid w:val="007638C2"/>
    <w:rsid w:val="00763A38"/>
    <w:rsid w:val="00763B40"/>
    <w:rsid w:val="00763B66"/>
    <w:rsid w:val="00764025"/>
    <w:rsid w:val="00764062"/>
    <w:rsid w:val="00764097"/>
    <w:rsid w:val="007643A9"/>
    <w:rsid w:val="007644E0"/>
    <w:rsid w:val="007644F9"/>
    <w:rsid w:val="00764877"/>
    <w:rsid w:val="007648F1"/>
    <w:rsid w:val="00764932"/>
    <w:rsid w:val="00764D7C"/>
    <w:rsid w:val="00764D97"/>
    <w:rsid w:val="00764F69"/>
    <w:rsid w:val="007651D3"/>
    <w:rsid w:val="00765219"/>
    <w:rsid w:val="0076522E"/>
    <w:rsid w:val="00765315"/>
    <w:rsid w:val="0076549F"/>
    <w:rsid w:val="007655A7"/>
    <w:rsid w:val="007655D9"/>
    <w:rsid w:val="00765674"/>
    <w:rsid w:val="007656D0"/>
    <w:rsid w:val="0076594F"/>
    <w:rsid w:val="00765970"/>
    <w:rsid w:val="00765ACA"/>
    <w:rsid w:val="00765C4F"/>
    <w:rsid w:val="00765E18"/>
    <w:rsid w:val="00765E64"/>
    <w:rsid w:val="00765EFD"/>
    <w:rsid w:val="007660BD"/>
    <w:rsid w:val="007661B9"/>
    <w:rsid w:val="00766350"/>
    <w:rsid w:val="007663EC"/>
    <w:rsid w:val="007664E3"/>
    <w:rsid w:val="007668B7"/>
    <w:rsid w:val="007669F5"/>
    <w:rsid w:val="00766B79"/>
    <w:rsid w:val="00766C04"/>
    <w:rsid w:val="00766C8F"/>
    <w:rsid w:val="00766D74"/>
    <w:rsid w:val="00766E2E"/>
    <w:rsid w:val="00767144"/>
    <w:rsid w:val="00767172"/>
    <w:rsid w:val="00767324"/>
    <w:rsid w:val="007673CC"/>
    <w:rsid w:val="007677B5"/>
    <w:rsid w:val="00767C1F"/>
    <w:rsid w:val="00767D66"/>
    <w:rsid w:val="00767D75"/>
    <w:rsid w:val="00770154"/>
    <w:rsid w:val="00770268"/>
    <w:rsid w:val="0077026B"/>
    <w:rsid w:val="00770274"/>
    <w:rsid w:val="0077053C"/>
    <w:rsid w:val="007706BC"/>
    <w:rsid w:val="00770739"/>
    <w:rsid w:val="007707FC"/>
    <w:rsid w:val="00770A6E"/>
    <w:rsid w:val="00770B11"/>
    <w:rsid w:val="00770BF0"/>
    <w:rsid w:val="00770C42"/>
    <w:rsid w:val="00770D3F"/>
    <w:rsid w:val="00771056"/>
    <w:rsid w:val="0077107F"/>
    <w:rsid w:val="007710DB"/>
    <w:rsid w:val="0077155E"/>
    <w:rsid w:val="00771566"/>
    <w:rsid w:val="007715D8"/>
    <w:rsid w:val="007717F8"/>
    <w:rsid w:val="00771857"/>
    <w:rsid w:val="00771943"/>
    <w:rsid w:val="00771A31"/>
    <w:rsid w:val="00771C30"/>
    <w:rsid w:val="00771CC8"/>
    <w:rsid w:val="00771E39"/>
    <w:rsid w:val="00772099"/>
    <w:rsid w:val="0077220F"/>
    <w:rsid w:val="00772336"/>
    <w:rsid w:val="00772460"/>
    <w:rsid w:val="00772652"/>
    <w:rsid w:val="007727B9"/>
    <w:rsid w:val="00772910"/>
    <w:rsid w:val="007729A4"/>
    <w:rsid w:val="00772A17"/>
    <w:rsid w:val="00772A60"/>
    <w:rsid w:val="00772AB4"/>
    <w:rsid w:val="00772AFD"/>
    <w:rsid w:val="00772C77"/>
    <w:rsid w:val="00772DF7"/>
    <w:rsid w:val="00772E1D"/>
    <w:rsid w:val="00772F18"/>
    <w:rsid w:val="0077308F"/>
    <w:rsid w:val="007731BA"/>
    <w:rsid w:val="0077323F"/>
    <w:rsid w:val="00773285"/>
    <w:rsid w:val="007732D1"/>
    <w:rsid w:val="007734BD"/>
    <w:rsid w:val="00773654"/>
    <w:rsid w:val="00773658"/>
    <w:rsid w:val="007737DF"/>
    <w:rsid w:val="007737E2"/>
    <w:rsid w:val="00773B8D"/>
    <w:rsid w:val="00773C84"/>
    <w:rsid w:val="0077400C"/>
    <w:rsid w:val="0077410A"/>
    <w:rsid w:val="0077452A"/>
    <w:rsid w:val="00774848"/>
    <w:rsid w:val="00774904"/>
    <w:rsid w:val="00774A58"/>
    <w:rsid w:val="00774B1B"/>
    <w:rsid w:val="00774CDF"/>
    <w:rsid w:val="00774CFF"/>
    <w:rsid w:val="00774EE7"/>
    <w:rsid w:val="00774F39"/>
    <w:rsid w:val="00774FC6"/>
    <w:rsid w:val="007750CE"/>
    <w:rsid w:val="007756F8"/>
    <w:rsid w:val="007757F8"/>
    <w:rsid w:val="007758C4"/>
    <w:rsid w:val="007758F0"/>
    <w:rsid w:val="007758F5"/>
    <w:rsid w:val="0077593E"/>
    <w:rsid w:val="00775AE7"/>
    <w:rsid w:val="00775B73"/>
    <w:rsid w:val="00775BC3"/>
    <w:rsid w:val="00775C26"/>
    <w:rsid w:val="00775C71"/>
    <w:rsid w:val="00775DA0"/>
    <w:rsid w:val="0077606B"/>
    <w:rsid w:val="007760A6"/>
    <w:rsid w:val="007760FF"/>
    <w:rsid w:val="0077612A"/>
    <w:rsid w:val="007761A3"/>
    <w:rsid w:val="007761E1"/>
    <w:rsid w:val="00776204"/>
    <w:rsid w:val="00776284"/>
    <w:rsid w:val="007767C9"/>
    <w:rsid w:val="00776898"/>
    <w:rsid w:val="007769A7"/>
    <w:rsid w:val="00776BB6"/>
    <w:rsid w:val="00776D11"/>
    <w:rsid w:val="00776F09"/>
    <w:rsid w:val="00777355"/>
    <w:rsid w:val="007773C9"/>
    <w:rsid w:val="007775A2"/>
    <w:rsid w:val="007777E4"/>
    <w:rsid w:val="0077790B"/>
    <w:rsid w:val="00777A0F"/>
    <w:rsid w:val="00777B0E"/>
    <w:rsid w:val="00777B63"/>
    <w:rsid w:val="00777D26"/>
    <w:rsid w:val="00777DD5"/>
    <w:rsid w:val="00777EBE"/>
    <w:rsid w:val="00777F5A"/>
    <w:rsid w:val="0078003F"/>
    <w:rsid w:val="0078010D"/>
    <w:rsid w:val="007801FA"/>
    <w:rsid w:val="007803E7"/>
    <w:rsid w:val="0078082D"/>
    <w:rsid w:val="007808F3"/>
    <w:rsid w:val="00780BC2"/>
    <w:rsid w:val="00780F25"/>
    <w:rsid w:val="0078115C"/>
    <w:rsid w:val="00781245"/>
    <w:rsid w:val="00781322"/>
    <w:rsid w:val="00781783"/>
    <w:rsid w:val="0078179D"/>
    <w:rsid w:val="00781948"/>
    <w:rsid w:val="0078194F"/>
    <w:rsid w:val="00781974"/>
    <w:rsid w:val="00781A00"/>
    <w:rsid w:val="00781A51"/>
    <w:rsid w:val="00781B63"/>
    <w:rsid w:val="007820D1"/>
    <w:rsid w:val="007820FE"/>
    <w:rsid w:val="0078232F"/>
    <w:rsid w:val="0078233E"/>
    <w:rsid w:val="007825EA"/>
    <w:rsid w:val="00782854"/>
    <w:rsid w:val="0078299E"/>
    <w:rsid w:val="00782A21"/>
    <w:rsid w:val="00782A2E"/>
    <w:rsid w:val="00782ADD"/>
    <w:rsid w:val="00782BB1"/>
    <w:rsid w:val="00782E04"/>
    <w:rsid w:val="00782E31"/>
    <w:rsid w:val="00782F31"/>
    <w:rsid w:val="007836B2"/>
    <w:rsid w:val="007837DE"/>
    <w:rsid w:val="007837E1"/>
    <w:rsid w:val="007838FE"/>
    <w:rsid w:val="007839AA"/>
    <w:rsid w:val="00783A7B"/>
    <w:rsid w:val="00783E2F"/>
    <w:rsid w:val="00783ED7"/>
    <w:rsid w:val="00783F33"/>
    <w:rsid w:val="00783FF2"/>
    <w:rsid w:val="007840F2"/>
    <w:rsid w:val="00784103"/>
    <w:rsid w:val="00784147"/>
    <w:rsid w:val="0078418E"/>
    <w:rsid w:val="007841B4"/>
    <w:rsid w:val="00784331"/>
    <w:rsid w:val="007846C3"/>
    <w:rsid w:val="00784749"/>
    <w:rsid w:val="00784C03"/>
    <w:rsid w:val="00784DB9"/>
    <w:rsid w:val="00784EEC"/>
    <w:rsid w:val="00784FB6"/>
    <w:rsid w:val="00784FFB"/>
    <w:rsid w:val="007850B7"/>
    <w:rsid w:val="0078519C"/>
    <w:rsid w:val="0078530F"/>
    <w:rsid w:val="007853D5"/>
    <w:rsid w:val="00785601"/>
    <w:rsid w:val="007856F1"/>
    <w:rsid w:val="007857B3"/>
    <w:rsid w:val="007858E5"/>
    <w:rsid w:val="00785A48"/>
    <w:rsid w:val="00785D14"/>
    <w:rsid w:val="00785D60"/>
    <w:rsid w:val="00785DF5"/>
    <w:rsid w:val="00785E2A"/>
    <w:rsid w:val="007860E3"/>
    <w:rsid w:val="00786156"/>
    <w:rsid w:val="00786303"/>
    <w:rsid w:val="00786311"/>
    <w:rsid w:val="0078652D"/>
    <w:rsid w:val="007865B4"/>
    <w:rsid w:val="007865F2"/>
    <w:rsid w:val="007866C1"/>
    <w:rsid w:val="00786790"/>
    <w:rsid w:val="0078689B"/>
    <w:rsid w:val="00786A3A"/>
    <w:rsid w:val="00786A57"/>
    <w:rsid w:val="00786AB8"/>
    <w:rsid w:val="00786D37"/>
    <w:rsid w:val="0078701F"/>
    <w:rsid w:val="007870E2"/>
    <w:rsid w:val="007870E4"/>
    <w:rsid w:val="0078713C"/>
    <w:rsid w:val="00787155"/>
    <w:rsid w:val="00787282"/>
    <w:rsid w:val="0078728A"/>
    <w:rsid w:val="00787469"/>
    <w:rsid w:val="00787561"/>
    <w:rsid w:val="007877A2"/>
    <w:rsid w:val="00787B39"/>
    <w:rsid w:val="00787B7A"/>
    <w:rsid w:val="00787BEB"/>
    <w:rsid w:val="00787BEC"/>
    <w:rsid w:val="00787C25"/>
    <w:rsid w:val="00787D27"/>
    <w:rsid w:val="00787DCB"/>
    <w:rsid w:val="00787DCD"/>
    <w:rsid w:val="00787E49"/>
    <w:rsid w:val="00787E7D"/>
    <w:rsid w:val="00787EA0"/>
    <w:rsid w:val="00787EB4"/>
    <w:rsid w:val="00787ED8"/>
    <w:rsid w:val="00790456"/>
    <w:rsid w:val="00790494"/>
    <w:rsid w:val="007904A0"/>
    <w:rsid w:val="00790574"/>
    <w:rsid w:val="007906BC"/>
    <w:rsid w:val="007907B6"/>
    <w:rsid w:val="00790871"/>
    <w:rsid w:val="00790925"/>
    <w:rsid w:val="00790941"/>
    <w:rsid w:val="007909A5"/>
    <w:rsid w:val="007909AE"/>
    <w:rsid w:val="00790A4D"/>
    <w:rsid w:val="00790B3E"/>
    <w:rsid w:val="00790B4F"/>
    <w:rsid w:val="00790D15"/>
    <w:rsid w:val="00790D82"/>
    <w:rsid w:val="00790E34"/>
    <w:rsid w:val="00790EB2"/>
    <w:rsid w:val="00790EC1"/>
    <w:rsid w:val="00790ECB"/>
    <w:rsid w:val="00790F3B"/>
    <w:rsid w:val="00790FBA"/>
    <w:rsid w:val="0079101E"/>
    <w:rsid w:val="00791058"/>
    <w:rsid w:val="007910F6"/>
    <w:rsid w:val="0079121C"/>
    <w:rsid w:val="0079155C"/>
    <w:rsid w:val="007917AF"/>
    <w:rsid w:val="00791833"/>
    <w:rsid w:val="0079189D"/>
    <w:rsid w:val="0079194B"/>
    <w:rsid w:val="00791BC7"/>
    <w:rsid w:val="00791C5A"/>
    <w:rsid w:val="00791DF4"/>
    <w:rsid w:val="00791E8B"/>
    <w:rsid w:val="0079208F"/>
    <w:rsid w:val="00792337"/>
    <w:rsid w:val="00792412"/>
    <w:rsid w:val="007925C9"/>
    <w:rsid w:val="00792668"/>
    <w:rsid w:val="007928DD"/>
    <w:rsid w:val="00792914"/>
    <w:rsid w:val="0079293E"/>
    <w:rsid w:val="00792982"/>
    <w:rsid w:val="007929CF"/>
    <w:rsid w:val="00792A46"/>
    <w:rsid w:val="00792AC8"/>
    <w:rsid w:val="00792B4C"/>
    <w:rsid w:val="00792BC8"/>
    <w:rsid w:val="00792BDC"/>
    <w:rsid w:val="00792D28"/>
    <w:rsid w:val="00792F01"/>
    <w:rsid w:val="00793342"/>
    <w:rsid w:val="00793391"/>
    <w:rsid w:val="007934ED"/>
    <w:rsid w:val="007937FB"/>
    <w:rsid w:val="00793B26"/>
    <w:rsid w:val="00793C2D"/>
    <w:rsid w:val="00793C61"/>
    <w:rsid w:val="00793C9A"/>
    <w:rsid w:val="007943B2"/>
    <w:rsid w:val="0079450A"/>
    <w:rsid w:val="007946C4"/>
    <w:rsid w:val="00794BBC"/>
    <w:rsid w:val="00794BCE"/>
    <w:rsid w:val="00794C28"/>
    <w:rsid w:val="00794DB9"/>
    <w:rsid w:val="00795098"/>
    <w:rsid w:val="00795119"/>
    <w:rsid w:val="00795243"/>
    <w:rsid w:val="00795448"/>
    <w:rsid w:val="0079559B"/>
    <w:rsid w:val="007956E4"/>
    <w:rsid w:val="007957CE"/>
    <w:rsid w:val="00795A08"/>
    <w:rsid w:val="00795BE1"/>
    <w:rsid w:val="00795C79"/>
    <w:rsid w:val="00795E28"/>
    <w:rsid w:val="0079620B"/>
    <w:rsid w:val="00796537"/>
    <w:rsid w:val="0079663A"/>
    <w:rsid w:val="007967C5"/>
    <w:rsid w:val="0079690C"/>
    <w:rsid w:val="007969C6"/>
    <w:rsid w:val="00796D82"/>
    <w:rsid w:val="00796F06"/>
    <w:rsid w:val="00796F32"/>
    <w:rsid w:val="00796F7D"/>
    <w:rsid w:val="00797045"/>
    <w:rsid w:val="0079708A"/>
    <w:rsid w:val="00797190"/>
    <w:rsid w:val="00797209"/>
    <w:rsid w:val="007972D8"/>
    <w:rsid w:val="0079740E"/>
    <w:rsid w:val="00797451"/>
    <w:rsid w:val="00797541"/>
    <w:rsid w:val="007975D7"/>
    <w:rsid w:val="00797604"/>
    <w:rsid w:val="00797622"/>
    <w:rsid w:val="007977BA"/>
    <w:rsid w:val="00797A02"/>
    <w:rsid w:val="00797AF8"/>
    <w:rsid w:val="00797DF9"/>
    <w:rsid w:val="00797E3D"/>
    <w:rsid w:val="007A0046"/>
    <w:rsid w:val="007A011C"/>
    <w:rsid w:val="007A02E2"/>
    <w:rsid w:val="007A0388"/>
    <w:rsid w:val="007A0411"/>
    <w:rsid w:val="007A094B"/>
    <w:rsid w:val="007A09C6"/>
    <w:rsid w:val="007A0A5D"/>
    <w:rsid w:val="007A0B3F"/>
    <w:rsid w:val="007A0F8A"/>
    <w:rsid w:val="007A1033"/>
    <w:rsid w:val="007A132A"/>
    <w:rsid w:val="007A1350"/>
    <w:rsid w:val="007A1385"/>
    <w:rsid w:val="007A154A"/>
    <w:rsid w:val="007A1559"/>
    <w:rsid w:val="007A179B"/>
    <w:rsid w:val="007A186F"/>
    <w:rsid w:val="007A1AEA"/>
    <w:rsid w:val="007A1B84"/>
    <w:rsid w:val="007A1C74"/>
    <w:rsid w:val="007A1D92"/>
    <w:rsid w:val="007A1E4A"/>
    <w:rsid w:val="007A1FEE"/>
    <w:rsid w:val="007A1FF9"/>
    <w:rsid w:val="007A211C"/>
    <w:rsid w:val="007A2252"/>
    <w:rsid w:val="007A2523"/>
    <w:rsid w:val="007A265D"/>
    <w:rsid w:val="007A2661"/>
    <w:rsid w:val="007A2709"/>
    <w:rsid w:val="007A2855"/>
    <w:rsid w:val="007A2884"/>
    <w:rsid w:val="007A2AA0"/>
    <w:rsid w:val="007A2C7E"/>
    <w:rsid w:val="007A2E0C"/>
    <w:rsid w:val="007A2EF4"/>
    <w:rsid w:val="007A3271"/>
    <w:rsid w:val="007A336F"/>
    <w:rsid w:val="007A35F3"/>
    <w:rsid w:val="007A364F"/>
    <w:rsid w:val="007A3745"/>
    <w:rsid w:val="007A3763"/>
    <w:rsid w:val="007A376B"/>
    <w:rsid w:val="007A3809"/>
    <w:rsid w:val="007A398D"/>
    <w:rsid w:val="007A3A09"/>
    <w:rsid w:val="007A3B76"/>
    <w:rsid w:val="007A3C7E"/>
    <w:rsid w:val="007A3D23"/>
    <w:rsid w:val="007A3E48"/>
    <w:rsid w:val="007A3E50"/>
    <w:rsid w:val="007A4079"/>
    <w:rsid w:val="007A41D7"/>
    <w:rsid w:val="007A421C"/>
    <w:rsid w:val="007A42F5"/>
    <w:rsid w:val="007A439B"/>
    <w:rsid w:val="007A45A3"/>
    <w:rsid w:val="007A51E8"/>
    <w:rsid w:val="007A51FF"/>
    <w:rsid w:val="007A5305"/>
    <w:rsid w:val="007A5338"/>
    <w:rsid w:val="007A53CF"/>
    <w:rsid w:val="007A55C4"/>
    <w:rsid w:val="007A568D"/>
    <w:rsid w:val="007A56AC"/>
    <w:rsid w:val="007A591E"/>
    <w:rsid w:val="007A59E2"/>
    <w:rsid w:val="007A5B2F"/>
    <w:rsid w:val="007A620F"/>
    <w:rsid w:val="007A669B"/>
    <w:rsid w:val="007A6788"/>
    <w:rsid w:val="007A69E1"/>
    <w:rsid w:val="007A6EF3"/>
    <w:rsid w:val="007A7310"/>
    <w:rsid w:val="007A74BE"/>
    <w:rsid w:val="007A7618"/>
    <w:rsid w:val="007A7625"/>
    <w:rsid w:val="007A773E"/>
    <w:rsid w:val="007A788F"/>
    <w:rsid w:val="007A79D7"/>
    <w:rsid w:val="007A7A61"/>
    <w:rsid w:val="007A7AD6"/>
    <w:rsid w:val="007A7B8F"/>
    <w:rsid w:val="007A7DC0"/>
    <w:rsid w:val="007A7E97"/>
    <w:rsid w:val="007A7E9D"/>
    <w:rsid w:val="007A7EF9"/>
    <w:rsid w:val="007A7F55"/>
    <w:rsid w:val="007B01CD"/>
    <w:rsid w:val="007B020A"/>
    <w:rsid w:val="007B02F8"/>
    <w:rsid w:val="007B03D7"/>
    <w:rsid w:val="007B0434"/>
    <w:rsid w:val="007B06CF"/>
    <w:rsid w:val="007B07CD"/>
    <w:rsid w:val="007B0850"/>
    <w:rsid w:val="007B08E5"/>
    <w:rsid w:val="007B0B29"/>
    <w:rsid w:val="007B0C99"/>
    <w:rsid w:val="007B0E2E"/>
    <w:rsid w:val="007B0F1B"/>
    <w:rsid w:val="007B0FBD"/>
    <w:rsid w:val="007B1032"/>
    <w:rsid w:val="007B1068"/>
    <w:rsid w:val="007B122C"/>
    <w:rsid w:val="007B151A"/>
    <w:rsid w:val="007B1617"/>
    <w:rsid w:val="007B198F"/>
    <w:rsid w:val="007B1B64"/>
    <w:rsid w:val="007B1D1F"/>
    <w:rsid w:val="007B1D23"/>
    <w:rsid w:val="007B2048"/>
    <w:rsid w:val="007B20FC"/>
    <w:rsid w:val="007B2279"/>
    <w:rsid w:val="007B2313"/>
    <w:rsid w:val="007B23A7"/>
    <w:rsid w:val="007B255D"/>
    <w:rsid w:val="007B25C2"/>
    <w:rsid w:val="007B2646"/>
    <w:rsid w:val="007B27F2"/>
    <w:rsid w:val="007B283B"/>
    <w:rsid w:val="007B2A65"/>
    <w:rsid w:val="007B2D06"/>
    <w:rsid w:val="007B2E5F"/>
    <w:rsid w:val="007B2F97"/>
    <w:rsid w:val="007B2FA9"/>
    <w:rsid w:val="007B305D"/>
    <w:rsid w:val="007B310B"/>
    <w:rsid w:val="007B320B"/>
    <w:rsid w:val="007B3263"/>
    <w:rsid w:val="007B33FB"/>
    <w:rsid w:val="007B3555"/>
    <w:rsid w:val="007B355E"/>
    <w:rsid w:val="007B3763"/>
    <w:rsid w:val="007B3813"/>
    <w:rsid w:val="007B41BA"/>
    <w:rsid w:val="007B4674"/>
    <w:rsid w:val="007B47D3"/>
    <w:rsid w:val="007B4846"/>
    <w:rsid w:val="007B4852"/>
    <w:rsid w:val="007B4A71"/>
    <w:rsid w:val="007B4C23"/>
    <w:rsid w:val="007B4C44"/>
    <w:rsid w:val="007B4F24"/>
    <w:rsid w:val="007B4F6C"/>
    <w:rsid w:val="007B503E"/>
    <w:rsid w:val="007B52BD"/>
    <w:rsid w:val="007B53C5"/>
    <w:rsid w:val="007B543A"/>
    <w:rsid w:val="007B5542"/>
    <w:rsid w:val="007B5566"/>
    <w:rsid w:val="007B5700"/>
    <w:rsid w:val="007B5703"/>
    <w:rsid w:val="007B597F"/>
    <w:rsid w:val="007B5981"/>
    <w:rsid w:val="007B5AC7"/>
    <w:rsid w:val="007B5B26"/>
    <w:rsid w:val="007B5D39"/>
    <w:rsid w:val="007B602A"/>
    <w:rsid w:val="007B614F"/>
    <w:rsid w:val="007B62DD"/>
    <w:rsid w:val="007B63B5"/>
    <w:rsid w:val="007B6704"/>
    <w:rsid w:val="007B6724"/>
    <w:rsid w:val="007B6990"/>
    <w:rsid w:val="007B69F1"/>
    <w:rsid w:val="007B6AC7"/>
    <w:rsid w:val="007B6D16"/>
    <w:rsid w:val="007B6D75"/>
    <w:rsid w:val="007B6FDF"/>
    <w:rsid w:val="007B71B3"/>
    <w:rsid w:val="007B724E"/>
    <w:rsid w:val="007B727E"/>
    <w:rsid w:val="007B737F"/>
    <w:rsid w:val="007B7457"/>
    <w:rsid w:val="007B75FF"/>
    <w:rsid w:val="007B762A"/>
    <w:rsid w:val="007B7685"/>
    <w:rsid w:val="007B76C3"/>
    <w:rsid w:val="007B777A"/>
    <w:rsid w:val="007B78FB"/>
    <w:rsid w:val="007B7941"/>
    <w:rsid w:val="007B798D"/>
    <w:rsid w:val="007B79DB"/>
    <w:rsid w:val="007B7D06"/>
    <w:rsid w:val="007B7EE9"/>
    <w:rsid w:val="007B7F6B"/>
    <w:rsid w:val="007B7F7B"/>
    <w:rsid w:val="007C0006"/>
    <w:rsid w:val="007C006E"/>
    <w:rsid w:val="007C0321"/>
    <w:rsid w:val="007C0476"/>
    <w:rsid w:val="007C04AC"/>
    <w:rsid w:val="007C04E0"/>
    <w:rsid w:val="007C0522"/>
    <w:rsid w:val="007C06B1"/>
    <w:rsid w:val="007C0757"/>
    <w:rsid w:val="007C0AFF"/>
    <w:rsid w:val="007C0D74"/>
    <w:rsid w:val="007C1023"/>
    <w:rsid w:val="007C1193"/>
    <w:rsid w:val="007C121C"/>
    <w:rsid w:val="007C131B"/>
    <w:rsid w:val="007C146B"/>
    <w:rsid w:val="007C14D4"/>
    <w:rsid w:val="007C1551"/>
    <w:rsid w:val="007C184A"/>
    <w:rsid w:val="007C19E1"/>
    <w:rsid w:val="007C1A17"/>
    <w:rsid w:val="007C1AE1"/>
    <w:rsid w:val="007C1DEA"/>
    <w:rsid w:val="007C1EC5"/>
    <w:rsid w:val="007C1FD4"/>
    <w:rsid w:val="007C2095"/>
    <w:rsid w:val="007C22E7"/>
    <w:rsid w:val="007C2619"/>
    <w:rsid w:val="007C26DC"/>
    <w:rsid w:val="007C2CE7"/>
    <w:rsid w:val="007C2F96"/>
    <w:rsid w:val="007C2FA4"/>
    <w:rsid w:val="007C3017"/>
    <w:rsid w:val="007C30B2"/>
    <w:rsid w:val="007C326A"/>
    <w:rsid w:val="007C327E"/>
    <w:rsid w:val="007C33D3"/>
    <w:rsid w:val="007C3567"/>
    <w:rsid w:val="007C36E8"/>
    <w:rsid w:val="007C38D8"/>
    <w:rsid w:val="007C3B02"/>
    <w:rsid w:val="007C3C5C"/>
    <w:rsid w:val="007C3C82"/>
    <w:rsid w:val="007C3D07"/>
    <w:rsid w:val="007C3EC5"/>
    <w:rsid w:val="007C3F40"/>
    <w:rsid w:val="007C3F46"/>
    <w:rsid w:val="007C406E"/>
    <w:rsid w:val="007C42C1"/>
    <w:rsid w:val="007C436B"/>
    <w:rsid w:val="007C44C6"/>
    <w:rsid w:val="007C450D"/>
    <w:rsid w:val="007C45E9"/>
    <w:rsid w:val="007C469E"/>
    <w:rsid w:val="007C46DF"/>
    <w:rsid w:val="007C49C8"/>
    <w:rsid w:val="007C49D8"/>
    <w:rsid w:val="007C49F3"/>
    <w:rsid w:val="007C4AB1"/>
    <w:rsid w:val="007C4B57"/>
    <w:rsid w:val="007C4C0F"/>
    <w:rsid w:val="007C4D3A"/>
    <w:rsid w:val="007C4F99"/>
    <w:rsid w:val="007C5053"/>
    <w:rsid w:val="007C5160"/>
    <w:rsid w:val="007C5214"/>
    <w:rsid w:val="007C52A5"/>
    <w:rsid w:val="007C5559"/>
    <w:rsid w:val="007C58E8"/>
    <w:rsid w:val="007C5BEC"/>
    <w:rsid w:val="007C6129"/>
    <w:rsid w:val="007C6184"/>
    <w:rsid w:val="007C623B"/>
    <w:rsid w:val="007C62F3"/>
    <w:rsid w:val="007C6309"/>
    <w:rsid w:val="007C6437"/>
    <w:rsid w:val="007C6719"/>
    <w:rsid w:val="007C68DC"/>
    <w:rsid w:val="007C6B26"/>
    <w:rsid w:val="007C6C38"/>
    <w:rsid w:val="007C6D10"/>
    <w:rsid w:val="007C6D6A"/>
    <w:rsid w:val="007C6F41"/>
    <w:rsid w:val="007C71CA"/>
    <w:rsid w:val="007C7265"/>
    <w:rsid w:val="007C7553"/>
    <w:rsid w:val="007C771B"/>
    <w:rsid w:val="007C782E"/>
    <w:rsid w:val="007C789D"/>
    <w:rsid w:val="007C7AA0"/>
    <w:rsid w:val="007C7B26"/>
    <w:rsid w:val="007C7B3F"/>
    <w:rsid w:val="007C7CDC"/>
    <w:rsid w:val="007C7DC0"/>
    <w:rsid w:val="007C7DE3"/>
    <w:rsid w:val="007C7F2F"/>
    <w:rsid w:val="007C7FB8"/>
    <w:rsid w:val="007D02D2"/>
    <w:rsid w:val="007D04B8"/>
    <w:rsid w:val="007D04CC"/>
    <w:rsid w:val="007D04FC"/>
    <w:rsid w:val="007D0855"/>
    <w:rsid w:val="007D0980"/>
    <w:rsid w:val="007D0ADA"/>
    <w:rsid w:val="007D0B9D"/>
    <w:rsid w:val="007D0E28"/>
    <w:rsid w:val="007D1185"/>
    <w:rsid w:val="007D11F3"/>
    <w:rsid w:val="007D11FE"/>
    <w:rsid w:val="007D1227"/>
    <w:rsid w:val="007D127D"/>
    <w:rsid w:val="007D13CE"/>
    <w:rsid w:val="007D1493"/>
    <w:rsid w:val="007D149E"/>
    <w:rsid w:val="007D15AD"/>
    <w:rsid w:val="007D188A"/>
    <w:rsid w:val="007D19ED"/>
    <w:rsid w:val="007D1A0D"/>
    <w:rsid w:val="007D1A29"/>
    <w:rsid w:val="007D1A3F"/>
    <w:rsid w:val="007D1AEF"/>
    <w:rsid w:val="007D1AFC"/>
    <w:rsid w:val="007D1B0D"/>
    <w:rsid w:val="007D1BF5"/>
    <w:rsid w:val="007D1C48"/>
    <w:rsid w:val="007D1D40"/>
    <w:rsid w:val="007D2063"/>
    <w:rsid w:val="007D20D3"/>
    <w:rsid w:val="007D2154"/>
    <w:rsid w:val="007D21AB"/>
    <w:rsid w:val="007D24CB"/>
    <w:rsid w:val="007D25A4"/>
    <w:rsid w:val="007D27C6"/>
    <w:rsid w:val="007D27F2"/>
    <w:rsid w:val="007D28B2"/>
    <w:rsid w:val="007D2924"/>
    <w:rsid w:val="007D2970"/>
    <w:rsid w:val="007D2BAD"/>
    <w:rsid w:val="007D2D10"/>
    <w:rsid w:val="007D3303"/>
    <w:rsid w:val="007D33A0"/>
    <w:rsid w:val="007D35A4"/>
    <w:rsid w:val="007D35FC"/>
    <w:rsid w:val="007D361D"/>
    <w:rsid w:val="007D36D5"/>
    <w:rsid w:val="007D37F0"/>
    <w:rsid w:val="007D3805"/>
    <w:rsid w:val="007D3837"/>
    <w:rsid w:val="007D38AF"/>
    <w:rsid w:val="007D3935"/>
    <w:rsid w:val="007D3A3B"/>
    <w:rsid w:val="007D3BA8"/>
    <w:rsid w:val="007D3E13"/>
    <w:rsid w:val="007D3E73"/>
    <w:rsid w:val="007D3EDE"/>
    <w:rsid w:val="007D3F16"/>
    <w:rsid w:val="007D414B"/>
    <w:rsid w:val="007D43AD"/>
    <w:rsid w:val="007D440F"/>
    <w:rsid w:val="007D46AD"/>
    <w:rsid w:val="007D4723"/>
    <w:rsid w:val="007D484C"/>
    <w:rsid w:val="007D4852"/>
    <w:rsid w:val="007D491D"/>
    <w:rsid w:val="007D4AF6"/>
    <w:rsid w:val="007D4B69"/>
    <w:rsid w:val="007D4C52"/>
    <w:rsid w:val="007D4C7B"/>
    <w:rsid w:val="007D4D16"/>
    <w:rsid w:val="007D4D70"/>
    <w:rsid w:val="007D4DA1"/>
    <w:rsid w:val="007D4DCD"/>
    <w:rsid w:val="007D4E18"/>
    <w:rsid w:val="007D5095"/>
    <w:rsid w:val="007D517E"/>
    <w:rsid w:val="007D521E"/>
    <w:rsid w:val="007D53CF"/>
    <w:rsid w:val="007D5408"/>
    <w:rsid w:val="007D552F"/>
    <w:rsid w:val="007D57D9"/>
    <w:rsid w:val="007D5954"/>
    <w:rsid w:val="007D59C9"/>
    <w:rsid w:val="007D59F2"/>
    <w:rsid w:val="007D5A09"/>
    <w:rsid w:val="007D5C94"/>
    <w:rsid w:val="007D5CE0"/>
    <w:rsid w:val="007D5FFC"/>
    <w:rsid w:val="007D636B"/>
    <w:rsid w:val="007D6370"/>
    <w:rsid w:val="007D6429"/>
    <w:rsid w:val="007D653E"/>
    <w:rsid w:val="007D65BB"/>
    <w:rsid w:val="007D673D"/>
    <w:rsid w:val="007D6848"/>
    <w:rsid w:val="007D68BF"/>
    <w:rsid w:val="007D68D8"/>
    <w:rsid w:val="007D6B92"/>
    <w:rsid w:val="007D6CC3"/>
    <w:rsid w:val="007D6DDD"/>
    <w:rsid w:val="007D6DF8"/>
    <w:rsid w:val="007D6ECB"/>
    <w:rsid w:val="007D6FD4"/>
    <w:rsid w:val="007D7054"/>
    <w:rsid w:val="007D7096"/>
    <w:rsid w:val="007D71B6"/>
    <w:rsid w:val="007D72AF"/>
    <w:rsid w:val="007D733C"/>
    <w:rsid w:val="007D734B"/>
    <w:rsid w:val="007D7451"/>
    <w:rsid w:val="007D74A9"/>
    <w:rsid w:val="007D7520"/>
    <w:rsid w:val="007D76DE"/>
    <w:rsid w:val="007D78A4"/>
    <w:rsid w:val="007D7965"/>
    <w:rsid w:val="007D7BA9"/>
    <w:rsid w:val="007D7BDC"/>
    <w:rsid w:val="007D7EE1"/>
    <w:rsid w:val="007E0065"/>
    <w:rsid w:val="007E010D"/>
    <w:rsid w:val="007E0125"/>
    <w:rsid w:val="007E01C7"/>
    <w:rsid w:val="007E01CA"/>
    <w:rsid w:val="007E0238"/>
    <w:rsid w:val="007E02B5"/>
    <w:rsid w:val="007E02FA"/>
    <w:rsid w:val="007E03D2"/>
    <w:rsid w:val="007E047A"/>
    <w:rsid w:val="007E06EA"/>
    <w:rsid w:val="007E07DB"/>
    <w:rsid w:val="007E08BF"/>
    <w:rsid w:val="007E0A23"/>
    <w:rsid w:val="007E0CF1"/>
    <w:rsid w:val="007E0ECB"/>
    <w:rsid w:val="007E0FF1"/>
    <w:rsid w:val="007E101C"/>
    <w:rsid w:val="007E104C"/>
    <w:rsid w:val="007E1199"/>
    <w:rsid w:val="007E12DC"/>
    <w:rsid w:val="007E13FB"/>
    <w:rsid w:val="007E1457"/>
    <w:rsid w:val="007E16E1"/>
    <w:rsid w:val="007E16E5"/>
    <w:rsid w:val="007E196B"/>
    <w:rsid w:val="007E19A6"/>
    <w:rsid w:val="007E19C8"/>
    <w:rsid w:val="007E1A63"/>
    <w:rsid w:val="007E1C16"/>
    <w:rsid w:val="007E1D31"/>
    <w:rsid w:val="007E1F1A"/>
    <w:rsid w:val="007E206C"/>
    <w:rsid w:val="007E2079"/>
    <w:rsid w:val="007E2083"/>
    <w:rsid w:val="007E20E1"/>
    <w:rsid w:val="007E223C"/>
    <w:rsid w:val="007E24CA"/>
    <w:rsid w:val="007E25C2"/>
    <w:rsid w:val="007E2615"/>
    <w:rsid w:val="007E2776"/>
    <w:rsid w:val="007E2921"/>
    <w:rsid w:val="007E2AD0"/>
    <w:rsid w:val="007E2B47"/>
    <w:rsid w:val="007E2C11"/>
    <w:rsid w:val="007E2EFB"/>
    <w:rsid w:val="007E3217"/>
    <w:rsid w:val="007E32D4"/>
    <w:rsid w:val="007E33EA"/>
    <w:rsid w:val="007E35D0"/>
    <w:rsid w:val="007E3679"/>
    <w:rsid w:val="007E375A"/>
    <w:rsid w:val="007E384B"/>
    <w:rsid w:val="007E3980"/>
    <w:rsid w:val="007E3D47"/>
    <w:rsid w:val="007E3D4B"/>
    <w:rsid w:val="007E3F57"/>
    <w:rsid w:val="007E40BC"/>
    <w:rsid w:val="007E42C1"/>
    <w:rsid w:val="007E44BD"/>
    <w:rsid w:val="007E44DB"/>
    <w:rsid w:val="007E45F8"/>
    <w:rsid w:val="007E47AC"/>
    <w:rsid w:val="007E495F"/>
    <w:rsid w:val="007E4AF8"/>
    <w:rsid w:val="007E4BE4"/>
    <w:rsid w:val="007E4D5E"/>
    <w:rsid w:val="007E4D9E"/>
    <w:rsid w:val="007E5168"/>
    <w:rsid w:val="007E51A7"/>
    <w:rsid w:val="007E52F0"/>
    <w:rsid w:val="007E5458"/>
    <w:rsid w:val="007E5652"/>
    <w:rsid w:val="007E5872"/>
    <w:rsid w:val="007E5D8B"/>
    <w:rsid w:val="007E5EDF"/>
    <w:rsid w:val="007E60F5"/>
    <w:rsid w:val="007E61F1"/>
    <w:rsid w:val="007E6259"/>
    <w:rsid w:val="007E640A"/>
    <w:rsid w:val="007E641B"/>
    <w:rsid w:val="007E644B"/>
    <w:rsid w:val="007E657D"/>
    <w:rsid w:val="007E6585"/>
    <w:rsid w:val="007E66DB"/>
    <w:rsid w:val="007E68E6"/>
    <w:rsid w:val="007E694C"/>
    <w:rsid w:val="007E6A51"/>
    <w:rsid w:val="007E6B64"/>
    <w:rsid w:val="007E6C9F"/>
    <w:rsid w:val="007E6DF0"/>
    <w:rsid w:val="007E6E89"/>
    <w:rsid w:val="007E6F2D"/>
    <w:rsid w:val="007E6FB4"/>
    <w:rsid w:val="007E709A"/>
    <w:rsid w:val="007E72DF"/>
    <w:rsid w:val="007E7349"/>
    <w:rsid w:val="007E7357"/>
    <w:rsid w:val="007E7364"/>
    <w:rsid w:val="007E737D"/>
    <w:rsid w:val="007E73C4"/>
    <w:rsid w:val="007E73C7"/>
    <w:rsid w:val="007E7428"/>
    <w:rsid w:val="007E7732"/>
    <w:rsid w:val="007E776F"/>
    <w:rsid w:val="007E778E"/>
    <w:rsid w:val="007E791F"/>
    <w:rsid w:val="007E79F8"/>
    <w:rsid w:val="007E7AA0"/>
    <w:rsid w:val="007E7B79"/>
    <w:rsid w:val="007E7BD0"/>
    <w:rsid w:val="007E7BF9"/>
    <w:rsid w:val="007E7E54"/>
    <w:rsid w:val="007F008E"/>
    <w:rsid w:val="007F060D"/>
    <w:rsid w:val="007F0790"/>
    <w:rsid w:val="007F07E9"/>
    <w:rsid w:val="007F0832"/>
    <w:rsid w:val="007F087F"/>
    <w:rsid w:val="007F090D"/>
    <w:rsid w:val="007F09B4"/>
    <w:rsid w:val="007F0A56"/>
    <w:rsid w:val="007F0B44"/>
    <w:rsid w:val="007F0C74"/>
    <w:rsid w:val="007F0CFE"/>
    <w:rsid w:val="007F1028"/>
    <w:rsid w:val="007F11A3"/>
    <w:rsid w:val="007F1230"/>
    <w:rsid w:val="007F128E"/>
    <w:rsid w:val="007F12FF"/>
    <w:rsid w:val="007F1345"/>
    <w:rsid w:val="007F1439"/>
    <w:rsid w:val="007F1489"/>
    <w:rsid w:val="007F1526"/>
    <w:rsid w:val="007F16C8"/>
    <w:rsid w:val="007F1719"/>
    <w:rsid w:val="007F17D1"/>
    <w:rsid w:val="007F193B"/>
    <w:rsid w:val="007F1A74"/>
    <w:rsid w:val="007F1CF7"/>
    <w:rsid w:val="007F1DBB"/>
    <w:rsid w:val="007F1E93"/>
    <w:rsid w:val="007F1F23"/>
    <w:rsid w:val="007F1F31"/>
    <w:rsid w:val="007F20E8"/>
    <w:rsid w:val="007F21F6"/>
    <w:rsid w:val="007F220C"/>
    <w:rsid w:val="007F23C9"/>
    <w:rsid w:val="007F23F3"/>
    <w:rsid w:val="007F2557"/>
    <w:rsid w:val="007F27BE"/>
    <w:rsid w:val="007F29CA"/>
    <w:rsid w:val="007F2A80"/>
    <w:rsid w:val="007F2AD9"/>
    <w:rsid w:val="007F2ADE"/>
    <w:rsid w:val="007F2C4A"/>
    <w:rsid w:val="007F2CF6"/>
    <w:rsid w:val="007F3107"/>
    <w:rsid w:val="007F3125"/>
    <w:rsid w:val="007F31FB"/>
    <w:rsid w:val="007F347C"/>
    <w:rsid w:val="007F35CA"/>
    <w:rsid w:val="007F35F8"/>
    <w:rsid w:val="007F360E"/>
    <w:rsid w:val="007F3626"/>
    <w:rsid w:val="007F37B5"/>
    <w:rsid w:val="007F381D"/>
    <w:rsid w:val="007F38D4"/>
    <w:rsid w:val="007F3982"/>
    <w:rsid w:val="007F3C1E"/>
    <w:rsid w:val="007F3C7C"/>
    <w:rsid w:val="007F3D5A"/>
    <w:rsid w:val="007F3F61"/>
    <w:rsid w:val="007F40F9"/>
    <w:rsid w:val="007F4100"/>
    <w:rsid w:val="007F42BF"/>
    <w:rsid w:val="007F42FF"/>
    <w:rsid w:val="007F468F"/>
    <w:rsid w:val="007F46E7"/>
    <w:rsid w:val="007F4750"/>
    <w:rsid w:val="007F47C4"/>
    <w:rsid w:val="007F4805"/>
    <w:rsid w:val="007F4817"/>
    <w:rsid w:val="007F4C8C"/>
    <w:rsid w:val="007F4C9E"/>
    <w:rsid w:val="007F4E4B"/>
    <w:rsid w:val="007F4F5D"/>
    <w:rsid w:val="007F55D8"/>
    <w:rsid w:val="007F56A9"/>
    <w:rsid w:val="007F5775"/>
    <w:rsid w:val="007F5CCF"/>
    <w:rsid w:val="007F603B"/>
    <w:rsid w:val="007F6057"/>
    <w:rsid w:val="007F62AD"/>
    <w:rsid w:val="007F62CF"/>
    <w:rsid w:val="007F6399"/>
    <w:rsid w:val="007F63DF"/>
    <w:rsid w:val="007F6433"/>
    <w:rsid w:val="007F650E"/>
    <w:rsid w:val="007F6546"/>
    <w:rsid w:val="007F6639"/>
    <w:rsid w:val="007F66A2"/>
    <w:rsid w:val="007F66B9"/>
    <w:rsid w:val="007F66DC"/>
    <w:rsid w:val="007F673F"/>
    <w:rsid w:val="007F68EA"/>
    <w:rsid w:val="007F6904"/>
    <w:rsid w:val="007F6922"/>
    <w:rsid w:val="007F6C4F"/>
    <w:rsid w:val="007F6E95"/>
    <w:rsid w:val="007F6EF2"/>
    <w:rsid w:val="007F7318"/>
    <w:rsid w:val="007F749D"/>
    <w:rsid w:val="007F74C6"/>
    <w:rsid w:val="007F74DB"/>
    <w:rsid w:val="007F755F"/>
    <w:rsid w:val="007F7562"/>
    <w:rsid w:val="007F7582"/>
    <w:rsid w:val="007F77D0"/>
    <w:rsid w:val="007F7949"/>
    <w:rsid w:val="007F7A84"/>
    <w:rsid w:val="007F7ABF"/>
    <w:rsid w:val="007F7C67"/>
    <w:rsid w:val="007F7CCE"/>
    <w:rsid w:val="007F7D10"/>
    <w:rsid w:val="007F7EDE"/>
    <w:rsid w:val="00800040"/>
    <w:rsid w:val="0080015F"/>
    <w:rsid w:val="008005B1"/>
    <w:rsid w:val="008007DE"/>
    <w:rsid w:val="00800889"/>
    <w:rsid w:val="008008E4"/>
    <w:rsid w:val="00800BC5"/>
    <w:rsid w:val="00801017"/>
    <w:rsid w:val="00801064"/>
    <w:rsid w:val="00801280"/>
    <w:rsid w:val="008013D3"/>
    <w:rsid w:val="00801473"/>
    <w:rsid w:val="008014FE"/>
    <w:rsid w:val="00801593"/>
    <w:rsid w:val="008017AD"/>
    <w:rsid w:val="00801BA9"/>
    <w:rsid w:val="00801C87"/>
    <w:rsid w:val="00801D4A"/>
    <w:rsid w:val="00801DBE"/>
    <w:rsid w:val="00801DC9"/>
    <w:rsid w:val="00801E1B"/>
    <w:rsid w:val="0080212D"/>
    <w:rsid w:val="0080212F"/>
    <w:rsid w:val="00802166"/>
    <w:rsid w:val="008023E9"/>
    <w:rsid w:val="00802418"/>
    <w:rsid w:val="00802443"/>
    <w:rsid w:val="008027AB"/>
    <w:rsid w:val="0080299D"/>
    <w:rsid w:val="00802A0F"/>
    <w:rsid w:val="00802A6A"/>
    <w:rsid w:val="00802A8B"/>
    <w:rsid w:val="00802B8D"/>
    <w:rsid w:val="00802CB3"/>
    <w:rsid w:val="00802D54"/>
    <w:rsid w:val="00802D65"/>
    <w:rsid w:val="00802E70"/>
    <w:rsid w:val="00802F1F"/>
    <w:rsid w:val="00802FE6"/>
    <w:rsid w:val="0080306D"/>
    <w:rsid w:val="0080316F"/>
    <w:rsid w:val="008032C7"/>
    <w:rsid w:val="00803391"/>
    <w:rsid w:val="008036D2"/>
    <w:rsid w:val="00803778"/>
    <w:rsid w:val="008039DB"/>
    <w:rsid w:val="00803AB9"/>
    <w:rsid w:val="00803B1E"/>
    <w:rsid w:val="00803BCE"/>
    <w:rsid w:val="00803C50"/>
    <w:rsid w:val="00803CD7"/>
    <w:rsid w:val="00803D98"/>
    <w:rsid w:val="00803D9A"/>
    <w:rsid w:val="00803E90"/>
    <w:rsid w:val="008040B9"/>
    <w:rsid w:val="008040D9"/>
    <w:rsid w:val="0080410C"/>
    <w:rsid w:val="0080426B"/>
    <w:rsid w:val="00804566"/>
    <w:rsid w:val="0080484D"/>
    <w:rsid w:val="00804A20"/>
    <w:rsid w:val="00804C8E"/>
    <w:rsid w:val="00804CC9"/>
    <w:rsid w:val="00804D15"/>
    <w:rsid w:val="00804E26"/>
    <w:rsid w:val="00804E32"/>
    <w:rsid w:val="00804E7C"/>
    <w:rsid w:val="00804F4C"/>
    <w:rsid w:val="008051D9"/>
    <w:rsid w:val="00805336"/>
    <w:rsid w:val="008053CA"/>
    <w:rsid w:val="00805455"/>
    <w:rsid w:val="0080545C"/>
    <w:rsid w:val="00805536"/>
    <w:rsid w:val="0080574A"/>
    <w:rsid w:val="008057B5"/>
    <w:rsid w:val="0080587E"/>
    <w:rsid w:val="00805A20"/>
    <w:rsid w:val="00805AA8"/>
    <w:rsid w:val="00805BCE"/>
    <w:rsid w:val="00805C64"/>
    <w:rsid w:val="00805D22"/>
    <w:rsid w:val="00805E56"/>
    <w:rsid w:val="00805EF2"/>
    <w:rsid w:val="00805FE1"/>
    <w:rsid w:val="008060A1"/>
    <w:rsid w:val="00806195"/>
    <w:rsid w:val="008061AD"/>
    <w:rsid w:val="008061E6"/>
    <w:rsid w:val="00806318"/>
    <w:rsid w:val="00806392"/>
    <w:rsid w:val="008063C9"/>
    <w:rsid w:val="00806465"/>
    <w:rsid w:val="008067E7"/>
    <w:rsid w:val="00806AF0"/>
    <w:rsid w:val="00806BF4"/>
    <w:rsid w:val="00806C1C"/>
    <w:rsid w:val="00806C5B"/>
    <w:rsid w:val="00806D01"/>
    <w:rsid w:val="00806DB7"/>
    <w:rsid w:val="00806EC7"/>
    <w:rsid w:val="00806EFE"/>
    <w:rsid w:val="00806F12"/>
    <w:rsid w:val="00806F34"/>
    <w:rsid w:val="0080709C"/>
    <w:rsid w:val="0080747B"/>
    <w:rsid w:val="00807520"/>
    <w:rsid w:val="008075FA"/>
    <w:rsid w:val="008076BF"/>
    <w:rsid w:val="00807770"/>
    <w:rsid w:val="008077CE"/>
    <w:rsid w:val="008078A9"/>
    <w:rsid w:val="0080798B"/>
    <w:rsid w:val="00807AA3"/>
    <w:rsid w:val="00807B79"/>
    <w:rsid w:val="00807C26"/>
    <w:rsid w:val="00807FF2"/>
    <w:rsid w:val="00807FF5"/>
    <w:rsid w:val="0081026F"/>
    <w:rsid w:val="0081043C"/>
    <w:rsid w:val="00810537"/>
    <w:rsid w:val="00810645"/>
    <w:rsid w:val="008106E6"/>
    <w:rsid w:val="00810747"/>
    <w:rsid w:val="008107F6"/>
    <w:rsid w:val="00810AAC"/>
    <w:rsid w:val="00810EA0"/>
    <w:rsid w:val="008112CB"/>
    <w:rsid w:val="00811337"/>
    <w:rsid w:val="0081135E"/>
    <w:rsid w:val="0081161B"/>
    <w:rsid w:val="008119D9"/>
    <w:rsid w:val="00811B5B"/>
    <w:rsid w:val="00811B79"/>
    <w:rsid w:val="00811E79"/>
    <w:rsid w:val="00811EE9"/>
    <w:rsid w:val="00811FED"/>
    <w:rsid w:val="00812114"/>
    <w:rsid w:val="00812277"/>
    <w:rsid w:val="008122A0"/>
    <w:rsid w:val="008122D7"/>
    <w:rsid w:val="00812493"/>
    <w:rsid w:val="008124AC"/>
    <w:rsid w:val="008127BE"/>
    <w:rsid w:val="008128D6"/>
    <w:rsid w:val="00812A50"/>
    <w:rsid w:val="00812AB7"/>
    <w:rsid w:val="00812D3B"/>
    <w:rsid w:val="00812EBA"/>
    <w:rsid w:val="00812F83"/>
    <w:rsid w:val="008130F1"/>
    <w:rsid w:val="0081324A"/>
    <w:rsid w:val="0081331B"/>
    <w:rsid w:val="008134B5"/>
    <w:rsid w:val="008135A8"/>
    <w:rsid w:val="00813671"/>
    <w:rsid w:val="008137B4"/>
    <w:rsid w:val="008139E0"/>
    <w:rsid w:val="00813B08"/>
    <w:rsid w:val="00813B96"/>
    <w:rsid w:val="00813D13"/>
    <w:rsid w:val="00813DBC"/>
    <w:rsid w:val="00813FC8"/>
    <w:rsid w:val="00814045"/>
    <w:rsid w:val="00814119"/>
    <w:rsid w:val="00814253"/>
    <w:rsid w:val="00814349"/>
    <w:rsid w:val="0081443A"/>
    <w:rsid w:val="008145A3"/>
    <w:rsid w:val="008145DD"/>
    <w:rsid w:val="008147EC"/>
    <w:rsid w:val="0081480C"/>
    <w:rsid w:val="00814AD1"/>
    <w:rsid w:val="00814B2A"/>
    <w:rsid w:val="00814E2E"/>
    <w:rsid w:val="0081508A"/>
    <w:rsid w:val="008153E4"/>
    <w:rsid w:val="00815975"/>
    <w:rsid w:val="00815A8F"/>
    <w:rsid w:val="00815AA3"/>
    <w:rsid w:val="00815AD7"/>
    <w:rsid w:val="00815BD9"/>
    <w:rsid w:val="00815DE8"/>
    <w:rsid w:val="00815E26"/>
    <w:rsid w:val="00816271"/>
    <w:rsid w:val="00816484"/>
    <w:rsid w:val="00816495"/>
    <w:rsid w:val="008165C8"/>
    <w:rsid w:val="0081662A"/>
    <w:rsid w:val="00816800"/>
    <w:rsid w:val="00816927"/>
    <w:rsid w:val="008169F8"/>
    <w:rsid w:val="00816ADC"/>
    <w:rsid w:val="00816C1C"/>
    <w:rsid w:val="00816C57"/>
    <w:rsid w:val="00816C76"/>
    <w:rsid w:val="00816EFA"/>
    <w:rsid w:val="00816F3F"/>
    <w:rsid w:val="00817733"/>
    <w:rsid w:val="008177C6"/>
    <w:rsid w:val="00817B01"/>
    <w:rsid w:val="00817BA5"/>
    <w:rsid w:val="00817D18"/>
    <w:rsid w:val="00817E1E"/>
    <w:rsid w:val="00817F12"/>
    <w:rsid w:val="0082009A"/>
    <w:rsid w:val="0082030C"/>
    <w:rsid w:val="0082047E"/>
    <w:rsid w:val="0082050D"/>
    <w:rsid w:val="008205F7"/>
    <w:rsid w:val="00820967"/>
    <w:rsid w:val="008209CB"/>
    <w:rsid w:val="00820A9C"/>
    <w:rsid w:val="00820AE2"/>
    <w:rsid w:val="00820B2A"/>
    <w:rsid w:val="00820B8F"/>
    <w:rsid w:val="00820CAE"/>
    <w:rsid w:val="00820D03"/>
    <w:rsid w:val="00820D42"/>
    <w:rsid w:val="00820E4A"/>
    <w:rsid w:val="00820F46"/>
    <w:rsid w:val="0082105D"/>
    <w:rsid w:val="008211EF"/>
    <w:rsid w:val="00821377"/>
    <w:rsid w:val="00821399"/>
    <w:rsid w:val="00821558"/>
    <w:rsid w:val="00821628"/>
    <w:rsid w:val="00821654"/>
    <w:rsid w:val="0082165A"/>
    <w:rsid w:val="008218FA"/>
    <w:rsid w:val="0082198A"/>
    <w:rsid w:val="00821C4C"/>
    <w:rsid w:val="00821F31"/>
    <w:rsid w:val="008221B4"/>
    <w:rsid w:val="008222FA"/>
    <w:rsid w:val="0082251B"/>
    <w:rsid w:val="00822646"/>
    <w:rsid w:val="008227FD"/>
    <w:rsid w:val="00822CD3"/>
    <w:rsid w:val="00822E33"/>
    <w:rsid w:val="00823033"/>
    <w:rsid w:val="00823125"/>
    <w:rsid w:val="008232F6"/>
    <w:rsid w:val="00823309"/>
    <w:rsid w:val="008233CB"/>
    <w:rsid w:val="00823457"/>
    <w:rsid w:val="00823610"/>
    <w:rsid w:val="00823642"/>
    <w:rsid w:val="00823658"/>
    <w:rsid w:val="008236A6"/>
    <w:rsid w:val="008237EF"/>
    <w:rsid w:val="008239A5"/>
    <w:rsid w:val="00824008"/>
    <w:rsid w:val="0082401F"/>
    <w:rsid w:val="00824052"/>
    <w:rsid w:val="0082411F"/>
    <w:rsid w:val="008244F4"/>
    <w:rsid w:val="008244F6"/>
    <w:rsid w:val="00824502"/>
    <w:rsid w:val="00824800"/>
    <w:rsid w:val="008248A3"/>
    <w:rsid w:val="00824A15"/>
    <w:rsid w:val="00824B95"/>
    <w:rsid w:val="00824C66"/>
    <w:rsid w:val="00824D73"/>
    <w:rsid w:val="00824E09"/>
    <w:rsid w:val="00825414"/>
    <w:rsid w:val="0082564E"/>
    <w:rsid w:val="00825703"/>
    <w:rsid w:val="0082579F"/>
    <w:rsid w:val="008258CE"/>
    <w:rsid w:val="00825925"/>
    <w:rsid w:val="00825D15"/>
    <w:rsid w:val="00825E79"/>
    <w:rsid w:val="0082609F"/>
    <w:rsid w:val="0082631A"/>
    <w:rsid w:val="008263F2"/>
    <w:rsid w:val="008266AE"/>
    <w:rsid w:val="008266CD"/>
    <w:rsid w:val="0082673B"/>
    <w:rsid w:val="00826934"/>
    <w:rsid w:val="00826A46"/>
    <w:rsid w:val="00826C49"/>
    <w:rsid w:val="00826E59"/>
    <w:rsid w:val="00826ED7"/>
    <w:rsid w:val="008270D9"/>
    <w:rsid w:val="0082720F"/>
    <w:rsid w:val="008272B2"/>
    <w:rsid w:val="008272D7"/>
    <w:rsid w:val="00827457"/>
    <w:rsid w:val="00827810"/>
    <w:rsid w:val="00827B46"/>
    <w:rsid w:val="00827BA4"/>
    <w:rsid w:val="00827BD1"/>
    <w:rsid w:val="00827C8D"/>
    <w:rsid w:val="00827D76"/>
    <w:rsid w:val="00827DF7"/>
    <w:rsid w:val="00827EDE"/>
    <w:rsid w:val="00830026"/>
    <w:rsid w:val="00830235"/>
    <w:rsid w:val="00830428"/>
    <w:rsid w:val="0083048A"/>
    <w:rsid w:val="0083058B"/>
    <w:rsid w:val="0083063D"/>
    <w:rsid w:val="00830756"/>
    <w:rsid w:val="00830984"/>
    <w:rsid w:val="00830A76"/>
    <w:rsid w:val="00830B10"/>
    <w:rsid w:val="00830B13"/>
    <w:rsid w:val="00830D43"/>
    <w:rsid w:val="00830D7A"/>
    <w:rsid w:val="00830EFD"/>
    <w:rsid w:val="00830F71"/>
    <w:rsid w:val="008310EA"/>
    <w:rsid w:val="008312A9"/>
    <w:rsid w:val="00831798"/>
    <w:rsid w:val="00831C5E"/>
    <w:rsid w:val="00831C65"/>
    <w:rsid w:val="00831DAC"/>
    <w:rsid w:val="00831DC1"/>
    <w:rsid w:val="00831DED"/>
    <w:rsid w:val="00832095"/>
    <w:rsid w:val="008321F1"/>
    <w:rsid w:val="008322D5"/>
    <w:rsid w:val="008323B9"/>
    <w:rsid w:val="00832591"/>
    <w:rsid w:val="008325A1"/>
    <w:rsid w:val="008325D8"/>
    <w:rsid w:val="00832691"/>
    <w:rsid w:val="008326A2"/>
    <w:rsid w:val="008326EB"/>
    <w:rsid w:val="0083276E"/>
    <w:rsid w:val="00832ABA"/>
    <w:rsid w:val="00832B14"/>
    <w:rsid w:val="00832BF3"/>
    <w:rsid w:val="00832DEE"/>
    <w:rsid w:val="00832E95"/>
    <w:rsid w:val="00832EBC"/>
    <w:rsid w:val="00832EF0"/>
    <w:rsid w:val="00832FE7"/>
    <w:rsid w:val="00833025"/>
    <w:rsid w:val="008332DA"/>
    <w:rsid w:val="008333A0"/>
    <w:rsid w:val="008333F5"/>
    <w:rsid w:val="008334E8"/>
    <w:rsid w:val="008335A1"/>
    <w:rsid w:val="0083365E"/>
    <w:rsid w:val="008336B8"/>
    <w:rsid w:val="008336E4"/>
    <w:rsid w:val="00833727"/>
    <w:rsid w:val="00833832"/>
    <w:rsid w:val="008339A4"/>
    <w:rsid w:val="00833A19"/>
    <w:rsid w:val="00833B89"/>
    <w:rsid w:val="00833C6D"/>
    <w:rsid w:val="00833C9D"/>
    <w:rsid w:val="00833DE3"/>
    <w:rsid w:val="00833F03"/>
    <w:rsid w:val="00833F28"/>
    <w:rsid w:val="00833F6C"/>
    <w:rsid w:val="00833F8A"/>
    <w:rsid w:val="008340CB"/>
    <w:rsid w:val="008340E8"/>
    <w:rsid w:val="00834128"/>
    <w:rsid w:val="008341AF"/>
    <w:rsid w:val="008341CD"/>
    <w:rsid w:val="00834254"/>
    <w:rsid w:val="008342B3"/>
    <w:rsid w:val="008343EF"/>
    <w:rsid w:val="008345DC"/>
    <w:rsid w:val="008346EA"/>
    <w:rsid w:val="00834AFF"/>
    <w:rsid w:val="00834B8E"/>
    <w:rsid w:val="00834C64"/>
    <w:rsid w:val="00834CE5"/>
    <w:rsid w:val="00834E57"/>
    <w:rsid w:val="00834EE1"/>
    <w:rsid w:val="00834FA2"/>
    <w:rsid w:val="0083510B"/>
    <w:rsid w:val="00835112"/>
    <w:rsid w:val="00835131"/>
    <w:rsid w:val="008352B5"/>
    <w:rsid w:val="008354D6"/>
    <w:rsid w:val="00835590"/>
    <w:rsid w:val="008356BF"/>
    <w:rsid w:val="008357BF"/>
    <w:rsid w:val="0083591C"/>
    <w:rsid w:val="0083599D"/>
    <w:rsid w:val="008359C5"/>
    <w:rsid w:val="008359EC"/>
    <w:rsid w:val="00835A29"/>
    <w:rsid w:val="00835A2D"/>
    <w:rsid w:val="00835BBB"/>
    <w:rsid w:val="00835C6A"/>
    <w:rsid w:val="00835CA4"/>
    <w:rsid w:val="00835D97"/>
    <w:rsid w:val="00835EB9"/>
    <w:rsid w:val="00836163"/>
    <w:rsid w:val="008362F5"/>
    <w:rsid w:val="0083639C"/>
    <w:rsid w:val="008365D2"/>
    <w:rsid w:val="008365D5"/>
    <w:rsid w:val="00836684"/>
    <w:rsid w:val="008367C2"/>
    <w:rsid w:val="008367F9"/>
    <w:rsid w:val="008368A1"/>
    <w:rsid w:val="008369AA"/>
    <w:rsid w:val="00836BBE"/>
    <w:rsid w:val="00836CBF"/>
    <w:rsid w:val="00836DDC"/>
    <w:rsid w:val="00836E05"/>
    <w:rsid w:val="00836EA8"/>
    <w:rsid w:val="00837380"/>
    <w:rsid w:val="008373D2"/>
    <w:rsid w:val="00837535"/>
    <w:rsid w:val="00837AE7"/>
    <w:rsid w:val="00837CF2"/>
    <w:rsid w:val="00837F11"/>
    <w:rsid w:val="00837F26"/>
    <w:rsid w:val="00837F2F"/>
    <w:rsid w:val="00837FB1"/>
    <w:rsid w:val="0084012A"/>
    <w:rsid w:val="008401AA"/>
    <w:rsid w:val="008403D9"/>
    <w:rsid w:val="008404DC"/>
    <w:rsid w:val="00840565"/>
    <w:rsid w:val="008406F2"/>
    <w:rsid w:val="008408DB"/>
    <w:rsid w:val="00840938"/>
    <w:rsid w:val="00840D91"/>
    <w:rsid w:val="00840DF8"/>
    <w:rsid w:val="00840E78"/>
    <w:rsid w:val="00840EEE"/>
    <w:rsid w:val="00840F2D"/>
    <w:rsid w:val="00841173"/>
    <w:rsid w:val="008411D0"/>
    <w:rsid w:val="00841376"/>
    <w:rsid w:val="00841605"/>
    <w:rsid w:val="008416C6"/>
    <w:rsid w:val="00841770"/>
    <w:rsid w:val="0084181A"/>
    <w:rsid w:val="00841B38"/>
    <w:rsid w:val="00841C6F"/>
    <w:rsid w:val="00841CAB"/>
    <w:rsid w:val="00841D49"/>
    <w:rsid w:val="00841DEE"/>
    <w:rsid w:val="00841ED3"/>
    <w:rsid w:val="008420A1"/>
    <w:rsid w:val="0084240F"/>
    <w:rsid w:val="00842432"/>
    <w:rsid w:val="008426E9"/>
    <w:rsid w:val="0084289C"/>
    <w:rsid w:val="00842A61"/>
    <w:rsid w:val="00842AEC"/>
    <w:rsid w:val="00842C15"/>
    <w:rsid w:val="00842CAC"/>
    <w:rsid w:val="00842D32"/>
    <w:rsid w:val="00842D56"/>
    <w:rsid w:val="00842F25"/>
    <w:rsid w:val="00842F36"/>
    <w:rsid w:val="00842FE7"/>
    <w:rsid w:val="0084309C"/>
    <w:rsid w:val="008431A1"/>
    <w:rsid w:val="00843272"/>
    <w:rsid w:val="008432CF"/>
    <w:rsid w:val="008433E5"/>
    <w:rsid w:val="008438FA"/>
    <w:rsid w:val="00843B0C"/>
    <w:rsid w:val="00843B88"/>
    <w:rsid w:val="00844291"/>
    <w:rsid w:val="0084465F"/>
    <w:rsid w:val="00844661"/>
    <w:rsid w:val="0084469B"/>
    <w:rsid w:val="00844BA1"/>
    <w:rsid w:val="00844F6C"/>
    <w:rsid w:val="008450E3"/>
    <w:rsid w:val="00845230"/>
    <w:rsid w:val="00845253"/>
    <w:rsid w:val="008453D6"/>
    <w:rsid w:val="0084549D"/>
    <w:rsid w:val="008454F5"/>
    <w:rsid w:val="0084560E"/>
    <w:rsid w:val="0084577F"/>
    <w:rsid w:val="00845811"/>
    <w:rsid w:val="00845A30"/>
    <w:rsid w:val="00845A8A"/>
    <w:rsid w:val="00845C0C"/>
    <w:rsid w:val="00845DD9"/>
    <w:rsid w:val="00845FF6"/>
    <w:rsid w:val="00846041"/>
    <w:rsid w:val="0084614F"/>
    <w:rsid w:val="008462D8"/>
    <w:rsid w:val="00846390"/>
    <w:rsid w:val="008465AD"/>
    <w:rsid w:val="0084668A"/>
    <w:rsid w:val="008468B6"/>
    <w:rsid w:val="00846942"/>
    <w:rsid w:val="00846975"/>
    <w:rsid w:val="00846A0C"/>
    <w:rsid w:val="00846A2E"/>
    <w:rsid w:val="00846B94"/>
    <w:rsid w:val="00846D42"/>
    <w:rsid w:val="00846D4E"/>
    <w:rsid w:val="00846D97"/>
    <w:rsid w:val="008471B3"/>
    <w:rsid w:val="008473E4"/>
    <w:rsid w:val="008474A6"/>
    <w:rsid w:val="0084758E"/>
    <w:rsid w:val="0084763C"/>
    <w:rsid w:val="008476F1"/>
    <w:rsid w:val="00847816"/>
    <w:rsid w:val="00847873"/>
    <w:rsid w:val="008478ED"/>
    <w:rsid w:val="00847ADA"/>
    <w:rsid w:val="00847AEC"/>
    <w:rsid w:val="00850028"/>
    <w:rsid w:val="0085009E"/>
    <w:rsid w:val="008500F4"/>
    <w:rsid w:val="00850120"/>
    <w:rsid w:val="00850185"/>
    <w:rsid w:val="00850202"/>
    <w:rsid w:val="00850310"/>
    <w:rsid w:val="00850328"/>
    <w:rsid w:val="00850468"/>
    <w:rsid w:val="008504F9"/>
    <w:rsid w:val="008505EF"/>
    <w:rsid w:val="00850667"/>
    <w:rsid w:val="008506C3"/>
    <w:rsid w:val="008506D2"/>
    <w:rsid w:val="00850A04"/>
    <w:rsid w:val="00850C23"/>
    <w:rsid w:val="00850E47"/>
    <w:rsid w:val="008511AC"/>
    <w:rsid w:val="008511B9"/>
    <w:rsid w:val="00851284"/>
    <w:rsid w:val="008514AE"/>
    <w:rsid w:val="008514EF"/>
    <w:rsid w:val="008514F0"/>
    <w:rsid w:val="008515E8"/>
    <w:rsid w:val="00851691"/>
    <w:rsid w:val="00851709"/>
    <w:rsid w:val="0085171D"/>
    <w:rsid w:val="00851727"/>
    <w:rsid w:val="00851A7B"/>
    <w:rsid w:val="00851B59"/>
    <w:rsid w:val="00851BF1"/>
    <w:rsid w:val="00851D66"/>
    <w:rsid w:val="00851FDC"/>
    <w:rsid w:val="00851FE6"/>
    <w:rsid w:val="0085201F"/>
    <w:rsid w:val="00852248"/>
    <w:rsid w:val="00852497"/>
    <w:rsid w:val="00852504"/>
    <w:rsid w:val="0085251D"/>
    <w:rsid w:val="008525E5"/>
    <w:rsid w:val="0085260B"/>
    <w:rsid w:val="00852629"/>
    <w:rsid w:val="0085264D"/>
    <w:rsid w:val="008526C7"/>
    <w:rsid w:val="0085276E"/>
    <w:rsid w:val="008527A1"/>
    <w:rsid w:val="0085284F"/>
    <w:rsid w:val="00852BCE"/>
    <w:rsid w:val="00852C93"/>
    <w:rsid w:val="00852CB9"/>
    <w:rsid w:val="00852D2C"/>
    <w:rsid w:val="00852D4B"/>
    <w:rsid w:val="00852DB1"/>
    <w:rsid w:val="00852EDF"/>
    <w:rsid w:val="0085300C"/>
    <w:rsid w:val="0085309A"/>
    <w:rsid w:val="00853345"/>
    <w:rsid w:val="008533B4"/>
    <w:rsid w:val="008534F6"/>
    <w:rsid w:val="00853850"/>
    <w:rsid w:val="00853905"/>
    <w:rsid w:val="00853920"/>
    <w:rsid w:val="00853AA8"/>
    <w:rsid w:val="00853B37"/>
    <w:rsid w:val="00853C75"/>
    <w:rsid w:val="00853F2C"/>
    <w:rsid w:val="00853F4A"/>
    <w:rsid w:val="00853F64"/>
    <w:rsid w:val="00854052"/>
    <w:rsid w:val="00854186"/>
    <w:rsid w:val="0085452A"/>
    <w:rsid w:val="008545CE"/>
    <w:rsid w:val="008545F8"/>
    <w:rsid w:val="0085473C"/>
    <w:rsid w:val="0085475D"/>
    <w:rsid w:val="00854B84"/>
    <w:rsid w:val="00854D1E"/>
    <w:rsid w:val="00855180"/>
    <w:rsid w:val="00855350"/>
    <w:rsid w:val="0085553A"/>
    <w:rsid w:val="00855758"/>
    <w:rsid w:val="00855892"/>
    <w:rsid w:val="00855AF4"/>
    <w:rsid w:val="00855C21"/>
    <w:rsid w:val="00855D5B"/>
    <w:rsid w:val="00855E0F"/>
    <w:rsid w:val="0085607F"/>
    <w:rsid w:val="00856312"/>
    <w:rsid w:val="008563F0"/>
    <w:rsid w:val="00856579"/>
    <w:rsid w:val="00856663"/>
    <w:rsid w:val="00856949"/>
    <w:rsid w:val="00856B46"/>
    <w:rsid w:val="00856C01"/>
    <w:rsid w:val="00856DEE"/>
    <w:rsid w:val="00856F67"/>
    <w:rsid w:val="00856FF9"/>
    <w:rsid w:val="0085705C"/>
    <w:rsid w:val="008571AB"/>
    <w:rsid w:val="008572BB"/>
    <w:rsid w:val="00857417"/>
    <w:rsid w:val="00857761"/>
    <w:rsid w:val="0085776E"/>
    <w:rsid w:val="008577FC"/>
    <w:rsid w:val="008578B5"/>
    <w:rsid w:val="008578C0"/>
    <w:rsid w:val="008578F0"/>
    <w:rsid w:val="00857ACB"/>
    <w:rsid w:val="00857C1A"/>
    <w:rsid w:val="00857CC6"/>
    <w:rsid w:val="00857D54"/>
    <w:rsid w:val="00857D61"/>
    <w:rsid w:val="00860091"/>
    <w:rsid w:val="008600A3"/>
    <w:rsid w:val="0086016C"/>
    <w:rsid w:val="00860173"/>
    <w:rsid w:val="008601CB"/>
    <w:rsid w:val="00860256"/>
    <w:rsid w:val="00860272"/>
    <w:rsid w:val="00860371"/>
    <w:rsid w:val="008603FA"/>
    <w:rsid w:val="0086057D"/>
    <w:rsid w:val="008605FF"/>
    <w:rsid w:val="008607B5"/>
    <w:rsid w:val="00860898"/>
    <w:rsid w:val="0086099D"/>
    <w:rsid w:val="00860B4D"/>
    <w:rsid w:val="00860DDF"/>
    <w:rsid w:val="00860DF1"/>
    <w:rsid w:val="00860E7A"/>
    <w:rsid w:val="00861229"/>
    <w:rsid w:val="00861540"/>
    <w:rsid w:val="0086172F"/>
    <w:rsid w:val="0086178F"/>
    <w:rsid w:val="00861988"/>
    <w:rsid w:val="00861C90"/>
    <w:rsid w:val="00861D1B"/>
    <w:rsid w:val="00861D50"/>
    <w:rsid w:val="00861D6B"/>
    <w:rsid w:val="00862284"/>
    <w:rsid w:val="0086245A"/>
    <w:rsid w:val="008624EC"/>
    <w:rsid w:val="008625C9"/>
    <w:rsid w:val="00862728"/>
    <w:rsid w:val="00862AFF"/>
    <w:rsid w:val="00862B35"/>
    <w:rsid w:val="00862D45"/>
    <w:rsid w:val="00862D97"/>
    <w:rsid w:val="00862F6D"/>
    <w:rsid w:val="00862F87"/>
    <w:rsid w:val="00863201"/>
    <w:rsid w:val="00863259"/>
    <w:rsid w:val="008632E8"/>
    <w:rsid w:val="00863348"/>
    <w:rsid w:val="0086337A"/>
    <w:rsid w:val="008633B5"/>
    <w:rsid w:val="00863570"/>
    <w:rsid w:val="008638E1"/>
    <w:rsid w:val="008639A3"/>
    <w:rsid w:val="008639C7"/>
    <w:rsid w:val="00863BA3"/>
    <w:rsid w:val="00863BD7"/>
    <w:rsid w:val="00863ECB"/>
    <w:rsid w:val="00864021"/>
    <w:rsid w:val="00864148"/>
    <w:rsid w:val="008641B8"/>
    <w:rsid w:val="0086435E"/>
    <w:rsid w:val="00864365"/>
    <w:rsid w:val="008645D3"/>
    <w:rsid w:val="0086467B"/>
    <w:rsid w:val="00864874"/>
    <w:rsid w:val="0086494C"/>
    <w:rsid w:val="0086498D"/>
    <w:rsid w:val="0086499C"/>
    <w:rsid w:val="00864A66"/>
    <w:rsid w:val="00864AF8"/>
    <w:rsid w:val="00864C58"/>
    <w:rsid w:val="00864CC1"/>
    <w:rsid w:val="00864CE9"/>
    <w:rsid w:val="00864D16"/>
    <w:rsid w:val="00864D30"/>
    <w:rsid w:val="00864EF0"/>
    <w:rsid w:val="0086513C"/>
    <w:rsid w:val="00865154"/>
    <w:rsid w:val="0086529B"/>
    <w:rsid w:val="00865336"/>
    <w:rsid w:val="008654B9"/>
    <w:rsid w:val="008657A8"/>
    <w:rsid w:val="0086583D"/>
    <w:rsid w:val="00865ACF"/>
    <w:rsid w:val="00865B1C"/>
    <w:rsid w:val="00865B48"/>
    <w:rsid w:val="00865C6A"/>
    <w:rsid w:val="00865D0F"/>
    <w:rsid w:val="00865D11"/>
    <w:rsid w:val="00865E8E"/>
    <w:rsid w:val="00865F8D"/>
    <w:rsid w:val="00865FDE"/>
    <w:rsid w:val="00866623"/>
    <w:rsid w:val="00866697"/>
    <w:rsid w:val="00866859"/>
    <w:rsid w:val="00866879"/>
    <w:rsid w:val="00866A96"/>
    <w:rsid w:val="00866BA1"/>
    <w:rsid w:val="00866C41"/>
    <w:rsid w:val="00866CA8"/>
    <w:rsid w:val="00867075"/>
    <w:rsid w:val="0086710A"/>
    <w:rsid w:val="0086746D"/>
    <w:rsid w:val="0086748D"/>
    <w:rsid w:val="00867625"/>
    <w:rsid w:val="0086785A"/>
    <w:rsid w:val="00867ACC"/>
    <w:rsid w:val="00867C28"/>
    <w:rsid w:val="00867C8B"/>
    <w:rsid w:val="00867D73"/>
    <w:rsid w:val="00867F88"/>
    <w:rsid w:val="00870043"/>
    <w:rsid w:val="008701E5"/>
    <w:rsid w:val="00870214"/>
    <w:rsid w:val="00870361"/>
    <w:rsid w:val="008703C0"/>
    <w:rsid w:val="008703CC"/>
    <w:rsid w:val="00870494"/>
    <w:rsid w:val="00870659"/>
    <w:rsid w:val="008706B8"/>
    <w:rsid w:val="008709D5"/>
    <w:rsid w:val="00870A00"/>
    <w:rsid w:val="00870CDE"/>
    <w:rsid w:val="00870D20"/>
    <w:rsid w:val="00870DF8"/>
    <w:rsid w:val="00870EA0"/>
    <w:rsid w:val="00870F77"/>
    <w:rsid w:val="0087100B"/>
    <w:rsid w:val="008710B1"/>
    <w:rsid w:val="00871378"/>
    <w:rsid w:val="00871749"/>
    <w:rsid w:val="008717E0"/>
    <w:rsid w:val="00871972"/>
    <w:rsid w:val="0087197E"/>
    <w:rsid w:val="008719A5"/>
    <w:rsid w:val="00871B8E"/>
    <w:rsid w:val="00871C16"/>
    <w:rsid w:val="00871DFB"/>
    <w:rsid w:val="00871E31"/>
    <w:rsid w:val="008721AE"/>
    <w:rsid w:val="00872274"/>
    <w:rsid w:val="0087253E"/>
    <w:rsid w:val="00872641"/>
    <w:rsid w:val="0087271B"/>
    <w:rsid w:val="00872928"/>
    <w:rsid w:val="00872C1C"/>
    <w:rsid w:val="00872C44"/>
    <w:rsid w:val="00872D47"/>
    <w:rsid w:val="00872E1D"/>
    <w:rsid w:val="00872F8D"/>
    <w:rsid w:val="00873120"/>
    <w:rsid w:val="008733A7"/>
    <w:rsid w:val="008733B0"/>
    <w:rsid w:val="00873421"/>
    <w:rsid w:val="008734AA"/>
    <w:rsid w:val="008735BC"/>
    <w:rsid w:val="008735CE"/>
    <w:rsid w:val="00873815"/>
    <w:rsid w:val="00873872"/>
    <w:rsid w:val="008738C1"/>
    <w:rsid w:val="00873AC7"/>
    <w:rsid w:val="00873BD7"/>
    <w:rsid w:val="00873C6B"/>
    <w:rsid w:val="00873E7E"/>
    <w:rsid w:val="00873FA6"/>
    <w:rsid w:val="008740AC"/>
    <w:rsid w:val="008740BF"/>
    <w:rsid w:val="00874307"/>
    <w:rsid w:val="0087445D"/>
    <w:rsid w:val="0087467E"/>
    <w:rsid w:val="008747FA"/>
    <w:rsid w:val="00874909"/>
    <w:rsid w:val="00874AF4"/>
    <w:rsid w:val="00874E1E"/>
    <w:rsid w:val="00875280"/>
    <w:rsid w:val="0087531C"/>
    <w:rsid w:val="008756F8"/>
    <w:rsid w:val="008756FD"/>
    <w:rsid w:val="008759D7"/>
    <w:rsid w:val="00875C3D"/>
    <w:rsid w:val="00875E86"/>
    <w:rsid w:val="00875E93"/>
    <w:rsid w:val="00875F58"/>
    <w:rsid w:val="00876098"/>
    <w:rsid w:val="008760B3"/>
    <w:rsid w:val="0087618C"/>
    <w:rsid w:val="008761DF"/>
    <w:rsid w:val="0087623D"/>
    <w:rsid w:val="00876254"/>
    <w:rsid w:val="00876557"/>
    <w:rsid w:val="00876652"/>
    <w:rsid w:val="008768DB"/>
    <w:rsid w:val="0087691C"/>
    <w:rsid w:val="00876946"/>
    <w:rsid w:val="00876BCD"/>
    <w:rsid w:val="00876D02"/>
    <w:rsid w:val="00876D10"/>
    <w:rsid w:val="00876EE0"/>
    <w:rsid w:val="00876F39"/>
    <w:rsid w:val="00877288"/>
    <w:rsid w:val="008772C0"/>
    <w:rsid w:val="0087752E"/>
    <w:rsid w:val="00877831"/>
    <w:rsid w:val="00877863"/>
    <w:rsid w:val="008778FB"/>
    <w:rsid w:val="00877A5D"/>
    <w:rsid w:val="00877B7C"/>
    <w:rsid w:val="00877B91"/>
    <w:rsid w:val="00877D7F"/>
    <w:rsid w:val="00877E1B"/>
    <w:rsid w:val="008802B7"/>
    <w:rsid w:val="00880320"/>
    <w:rsid w:val="008803A8"/>
    <w:rsid w:val="00880A49"/>
    <w:rsid w:val="00880C9A"/>
    <w:rsid w:val="00880CE5"/>
    <w:rsid w:val="00880D81"/>
    <w:rsid w:val="00880D92"/>
    <w:rsid w:val="00880E08"/>
    <w:rsid w:val="00880E76"/>
    <w:rsid w:val="00880EFF"/>
    <w:rsid w:val="00881150"/>
    <w:rsid w:val="00881290"/>
    <w:rsid w:val="00881350"/>
    <w:rsid w:val="00881359"/>
    <w:rsid w:val="00881439"/>
    <w:rsid w:val="008815B7"/>
    <w:rsid w:val="008816BF"/>
    <w:rsid w:val="0088181E"/>
    <w:rsid w:val="0088191B"/>
    <w:rsid w:val="00881A97"/>
    <w:rsid w:val="00881AF8"/>
    <w:rsid w:val="00881B71"/>
    <w:rsid w:val="00881B88"/>
    <w:rsid w:val="00881BB3"/>
    <w:rsid w:val="00881BEB"/>
    <w:rsid w:val="00881E7C"/>
    <w:rsid w:val="00881F25"/>
    <w:rsid w:val="00882133"/>
    <w:rsid w:val="00882368"/>
    <w:rsid w:val="00882379"/>
    <w:rsid w:val="0088267A"/>
    <w:rsid w:val="0088274D"/>
    <w:rsid w:val="00882812"/>
    <w:rsid w:val="00882835"/>
    <w:rsid w:val="00882A29"/>
    <w:rsid w:val="00882B1B"/>
    <w:rsid w:val="008830B5"/>
    <w:rsid w:val="00883165"/>
    <w:rsid w:val="008831FA"/>
    <w:rsid w:val="00883403"/>
    <w:rsid w:val="0088369E"/>
    <w:rsid w:val="008837A3"/>
    <w:rsid w:val="008837B8"/>
    <w:rsid w:val="00883957"/>
    <w:rsid w:val="008839C8"/>
    <w:rsid w:val="00883C25"/>
    <w:rsid w:val="00883D0C"/>
    <w:rsid w:val="00883DBD"/>
    <w:rsid w:val="00883E96"/>
    <w:rsid w:val="008842C3"/>
    <w:rsid w:val="0088438C"/>
    <w:rsid w:val="008843AE"/>
    <w:rsid w:val="00884816"/>
    <w:rsid w:val="00884822"/>
    <w:rsid w:val="00884929"/>
    <w:rsid w:val="00884A39"/>
    <w:rsid w:val="00884AFF"/>
    <w:rsid w:val="00884B51"/>
    <w:rsid w:val="00884E07"/>
    <w:rsid w:val="00884FED"/>
    <w:rsid w:val="0088513C"/>
    <w:rsid w:val="008857B7"/>
    <w:rsid w:val="008857D7"/>
    <w:rsid w:val="008859F1"/>
    <w:rsid w:val="00885A2B"/>
    <w:rsid w:val="00885C51"/>
    <w:rsid w:val="00885CB2"/>
    <w:rsid w:val="00885D27"/>
    <w:rsid w:val="00885D2F"/>
    <w:rsid w:val="00885DAA"/>
    <w:rsid w:val="00885E0E"/>
    <w:rsid w:val="00885E82"/>
    <w:rsid w:val="00885F17"/>
    <w:rsid w:val="008860A0"/>
    <w:rsid w:val="008860B6"/>
    <w:rsid w:val="008860EC"/>
    <w:rsid w:val="00886199"/>
    <w:rsid w:val="008862EE"/>
    <w:rsid w:val="008866DA"/>
    <w:rsid w:val="00886745"/>
    <w:rsid w:val="0088685C"/>
    <w:rsid w:val="0088691C"/>
    <w:rsid w:val="00886967"/>
    <w:rsid w:val="0088696E"/>
    <w:rsid w:val="008869C3"/>
    <w:rsid w:val="00886AB8"/>
    <w:rsid w:val="00886E59"/>
    <w:rsid w:val="00886F8A"/>
    <w:rsid w:val="00886FA5"/>
    <w:rsid w:val="00886FD9"/>
    <w:rsid w:val="00887131"/>
    <w:rsid w:val="0088746F"/>
    <w:rsid w:val="00887550"/>
    <w:rsid w:val="0088778B"/>
    <w:rsid w:val="008877E7"/>
    <w:rsid w:val="008878EB"/>
    <w:rsid w:val="0088791E"/>
    <w:rsid w:val="00887A67"/>
    <w:rsid w:val="00887BE0"/>
    <w:rsid w:val="00887D10"/>
    <w:rsid w:val="00887D66"/>
    <w:rsid w:val="00887DAD"/>
    <w:rsid w:val="00887E4C"/>
    <w:rsid w:val="008900F2"/>
    <w:rsid w:val="008900F3"/>
    <w:rsid w:val="0089011F"/>
    <w:rsid w:val="008901DC"/>
    <w:rsid w:val="0089021D"/>
    <w:rsid w:val="00890247"/>
    <w:rsid w:val="00890263"/>
    <w:rsid w:val="008904B8"/>
    <w:rsid w:val="00890558"/>
    <w:rsid w:val="00890862"/>
    <w:rsid w:val="008908C9"/>
    <w:rsid w:val="00890A98"/>
    <w:rsid w:val="00890C04"/>
    <w:rsid w:val="00890F1B"/>
    <w:rsid w:val="008910A3"/>
    <w:rsid w:val="0089128F"/>
    <w:rsid w:val="008915E4"/>
    <w:rsid w:val="008917AB"/>
    <w:rsid w:val="00891813"/>
    <w:rsid w:val="008918ED"/>
    <w:rsid w:val="00891CD8"/>
    <w:rsid w:val="00891D90"/>
    <w:rsid w:val="00892153"/>
    <w:rsid w:val="00892192"/>
    <w:rsid w:val="00892292"/>
    <w:rsid w:val="0089235E"/>
    <w:rsid w:val="00892376"/>
    <w:rsid w:val="0089239E"/>
    <w:rsid w:val="00892443"/>
    <w:rsid w:val="00892514"/>
    <w:rsid w:val="0089253C"/>
    <w:rsid w:val="00892560"/>
    <w:rsid w:val="00892603"/>
    <w:rsid w:val="00892655"/>
    <w:rsid w:val="00892694"/>
    <w:rsid w:val="00892AF5"/>
    <w:rsid w:val="00892AFB"/>
    <w:rsid w:val="00892B01"/>
    <w:rsid w:val="00892EA9"/>
    <w:rsid w:val="00892FE3"/>
    <w:rsid w:val="008931A8"/>
    <w:rsid w:val="008932A9"/>
    <w:rsid w:val="008932B4"/>
    <w:rsid w:val="008933B7"/>
    <w:rsid w:val="00893404"/>
    <w:rsid w:val="0089378D"/>
    <w:rsid w:val="008939DE"/>
    <w:rsid w:val="00893A65"/>
    <w:rsid w:val="00893BEF"/>
    <w:rsid w:val="00893CB0"/>
    <w:rsid w:val="00893CE0"/>
    <w:rsid w:val="00893DFA"/>
    <w:rsid w:val="0089416C"/>
    <w:rsid w:val="008944EC"/>
    <w:rsid w:val="0089454D"/>
    <w:rsid w:val="00894627"/>
    <w:rsid w:val="008946AF"/>
    <w:rsid w:val="008947C6"/>
    <w:rsid w:val="00894DB9"/>
    <w:rsid w:val="0089525A"/>
    <w:rsid w:val="00895363"/>
    <w:rsid w:val="008953EC"/>
    <w:rsid w:val="008953F3"/>
    <w:rsid w:val="00895655"/>
    <w:rsid w:val="0089578E"/>
    <w:rsid w:val="0089594C"/>
    <w:rsid w:val="00895A15"/>
    <w:rsid w:val="00895A35"/>
    <w:rsid w:val="00895A3D"/>
    <w:rsid w:val="00895C8D"/>
    <w:rsid w:val="00895D65"/>
    <w:rsid w:val="00895DE5"/>
    <w:rsid w:val="00895EC4"/>
    <w:rsid w:val="00896089"/>
    <w:rsid w:val="00896146"/>
    <w:rsid w:val="0089644E"/>
    <w:rsid w:val="00896457"/>
    <w:rsid w:val="00896513"/>
    <w:rsid w:val="00896A48"/>
    <w:rsid w:val="00896BF0"/>
    <w:rsid w:val="00896DE6"/>
    <w:rsid w:val="00896DF2"/>
    <w:rsid w:val="00896E02"/>
    <w:rsid w:val="00896E7A"/>
    <w:rsid w:val="00896E99"/>
    <w:rsid w:val="0089703F"/>
    <w:rsid w:val="00897102"/>
    <w:rsid w:val="00897137"/>
    <w:rsid w:val="0089716F"/>
    <w:rsid w:val="0089732D"/>
    <w:rsid w:val="0089750E"/>
    <w:rsid w:val="008975A7"/>
    <w:rsid w:val="008975F4"/>
    <w:rsid w:val="0089760C"/>
    <w:rsid w:val="00897747"/>
    <w:rsid w:val="0089779E"/>
    <w:rsid w:val="008977BC"/>
    <w:rsid w:val="00897E22"/>
    <w:rsid w:val="00897F00"/>
    <w:rsid w:val="008A0066"/>
    <w:rsid w:val="008A0233"/>
    <w:rsid w:val="008A0359"/>
    <w:rsid w:val="008A0520"/>
    <w:rsid w:val="008A0570"/>
    <w:rsid w:val="008A058F"/>
    <w:rsid w:val="008A0667"/>
    <w:rsid w:val="008A066B"/>
    <w:rsid w:val="008A0722"/>
    <w:rsid w:val="008A0727"/>
    <w:rsid w:val="008A0940"/>
    <w:rsid w:val="008A0CF6"/>
    <w:rsid w:val="008A0E7F"/>
    <w:rsid w:val="008A0F0E"/>
    <w:rsid w:val="008A1009"/>
    <w:rsid w:val="008A1065"/>
    <w:rsid w:val="008A11C9"/>
    <w:rsid w:val="008A12FA"/>
    <w:rsid w:val="008A13D0"/>
    <w:rsid w:val="008A13F0"/>
    <w:rsid w:val="008A148E"/>
    <w:rsid w:val="008A1679"/>
    <w:rsid w:val="008A171C"/>
    <w:rsid w:val="008A17C5"/>
    <w:rsid w:val="008A1849"/>
    <w:rsid w:val="008A197F"/>
    <w:rsid w:val="008A19A3"/>
    <w:rsid w:val="008A19B7"/>
    <w:rsid w:val="008A19B9"/>
    <w:rsid w:val="008A1D19"/>
    <w:rsid w:val="008A1E1F"/>
    <w:rsid w:val="008A1F0D"/>
    <w:rsid w:val="008A1FC0"/>
    <w:rsid w:val="008A2063"/>
    <w:rsid w:val="008A207B"/>
    <w:rsid w:val="008A208E"/>
    <w:rsid w:val="008A2287"/>
    <w:rsid w:val="008A2528"/>
    <w:rsid w:val="008A28C4"/>
    <w:rsid w:val="008A2A93"/>
    <w:rsid w:val="008A2C65"/>
    <w:rsid w:val="008A2EE1"/>
    <w:rsid w:val="008A33CD"/>
    <w:rsid w:val="008A3658"/>
    <w:rsid w:val="008A369F"/>
    <w:rsid w:val="008A3707"/>
    <w:rsid w:val="008A3A2B"/>
    <w:rsid w:val="008A414A"/>
    <w:rsid w:val="008A4303"/>
    <w:rsid w:val="008A445F"/>
    <w:rsid w:val="008A4635"/>
    <w:rsid w:val="008A469A"/>
    <w:rsid w:val="008A48B7"/>
    <w:rsid w:val="008A4921"/>
    <w:rsid w:val="008A4A3C"/>
    <w:rsid w:val="008A4A55"/>
    <w:rsid w:val="008A4AED"/>
    <w:rsid w:val="008A4B37"/>
    <w:rsid w:val="008A4DF6"/>
    <w:rsid w:val="008A4EC9"/>
    <w:rsid w:val="008A4F22"/>
    <w:rsid w:val="008A5345"/>
    <w:rsid w:val="008A53FF"/>
    <w:rsid w:val="008A5494"/>
    <w:rsid w:val="008A55E2"/>
    <w:rsid w:val="008A55E6"/>
    <w:rsid w:val="008A5752"/>
    <w:rsid w:val="008A592D"/>
    <w:rsid w:val="008A5BC4"/>
    <w:rsid w:val="008A5C47"/>
    <w:rsid w:val="008A5E68"/>
    <w:rsid w:val="008A63E3"/>
    <w:rsid w:val="008A6415"/>
    <w:rsid w:val="008A65CA"/>
    <w:rsid w:val="008A6703"/>
    <w:rsid w:val="008A679E"/>
    <w:rsid w:val="008A67A7"/>
    <w:rsid w:val="008A680A"/>
    <w:rsid w:val="008A6850"/>
    <w:rsid w:val="008A6A6B"/>
    <w:rsid w:val="008A6AA2"/>
    <w:rsid w:val="008A6B90"/>
    <w:rsid w:val="008A6CA1"/>
    <w:rsid w:val="008A6EAD"/>
    <w:rsid w:val="008A6F63"/>
    <w:rsid w:val="008A6F76"/>
    <w:rsid w:val="008A722B"/>
    <w:rsid w:val="008A72B9"/>
    <w:rsid w:val="008A72E0"/>
    <w:rsid w:val="008A7601"/>
    <w:rsid w:val="008A7A01"/>
    <w:rsid w:val="008A7D2B"/>
    <w:rsid w:val="008A7DBC"/>
    <w:rsid w:val="008A7EC1"/>
    <w:rsid w:val="008A8DED"/>
    <w:rsid w:val="008B0050"/>
    <w:rsid w:val="008B006A"/>
    <w:rsid w:val="008B0175"/>
    <w:rsid w:val="008B018D"/>
    <w:rsid w:val="008B0221"/>
    <w:rsid w:val="008B0230"/>
    <w:rsid w:val="008B0304"/>
    <w:rsid w:val="008B0365"/>
    <w:rsid w:val="008B043F"/>
    <w:rsid w:val="008B048D"/>
    <w:rsid w:val="008B0668"/>
    <w:rsid w:val="008B0764"/>
    <w:rsid w:val="008B07DC"/>
    <w:rsid w:val="008B0814"/>
    <w:rsid w:val="008B0A37"/>
    <w:rsid w:val="008B0CDD"/>
    <w:rsid w:val="008B0D74"/>
    <w:rsid w:val="008B0DEA"/>
    <w:rsid w:val="008B0F6E"/>
    <w:rsid w:val="008B10A3"/>
    <w:rsid w:val="008B10EF"/>
    <w:rsid w:val="008B16C7"/>
    <w:rsid w:val="008B1764"/>
    <w:rsid w:val="008B177D"/>
    <w:rsid w:val="008B17F1"/>
    <w:rsid w:val="008B1826"/>
    <w:rsid w:val="008B18AE"/>
    <w:rsid w:val="008B1AF3"/>
    <w:rsid w:val="008B1D23"/>
    <w:rsid w:val="008B1D52"/>
    <w:rsid w:val="008B1DA4"/>
    <w:rsid w:val="008B1E56"/>
    <w:rsid w:val="008B2038"/>
    <w:rsid w:val="008B26A7"/>
    <w:rsid w:val="008B2808"/>
    <w:rsid w:val="008B2926"/>
    <w:rsid w:val="008B2AF2"/>
    <w:rsid w:val="008B2B31"/>
    <w:rsid w:val="008B2BA0"/>
    <w:rsid w:val="008B2DF0"/>
    <w:rsid w:val="008B2F7A"/>
    <w:rsid w:val="008B2F85"/>
    <w:rsid w:val="008B3012"/>
    <w:rsid w:val="008B3095"/>
    <w:rsid w:val="008B30A4"/>
    <w:rsid w:val="008B3362"/>
    <w:rsid w:val="008B3459"/>
    <w:rsid w:val="008B36A7"/>
    <w:rsid w:val="008B3813"/>
    <w:rsid w:val="008B38AA"/>
    <w:rsid w:val="008B38F1"/>
    <w:rsid w:val="008B396B"/>
    <w:rsid w:val="008B39DF"/>
    <w:rsid w:val="008B3BD3"/>
    <w:rsid w:val="008B3CA7"/>
    <w:rsid w:val="008B3CD1"/>
    <w:rsid w:val="008B3DD5"/>
    <w:rsid w:val="008B40B5"/>
    <w:rsid w:val="008B40F6"/>
    <w:rsid w:val="008B4175"/>
    <w:rsid w:val="008B430F"/>
    <w:rsid w:val="008B43AB"/>
    <w:rsid w:val="008B44A5"/>
    <w:rsid w:val="008B45F2"/>
    <w:rsid w:val="008B463B"/>
    <w:rsid w:val="008B4770"/>
    <w:rsid w:val="008B481A"/>
    <w:rsid w:val="008B4BFF"/>
    <w:rsid w:val="008B50D5"/>
    <w:rsid w:val="008B5118"/>
    <w:rsid w:val="008B515D"/>
    <w:rsid w:val="008B535D"/>
    <w:rsid w:val="008B5423"/>
    <w:rsid w:val="008B562A"/>
    <w:rsid w:val="008B569C"/>
    <w:rsid w:val="008B56DB"/>
    <w:rsid w:val="008B574F"/>
    <w:rsid w:val="008B5792"/>
    <w:rsid w:val="008B5850"/>
    <w:rsid w:val="008B5A72"/>
    <w:rsid w:val="008B5C28"/>
    <w:rsid w:val="008B5DFB"/>
    <w:rsid w:val="008B601E"/>
    <w:rsid w:val="008B60CC"/>
    <w:rsid w:val="008B6112"/>
    <w:rsid w:val="008B6114"/>
    <w:rsid w:val="008B6167"/>
    <w:rsid w:val="008B62C3"/>
    <w:rsid w:val="008B63E4"/>
    <w:rsid w:val="008B6423"/>
    <w:rsid w:val="008B6427"/>
    <w:rsid w:val="008B6493"/>
    <w:rsid w:val="008B669F"/>
    <w:rsid w:val="008B6777"/>
    <w:rsid w:val="008B67E8"/>
    <w:rsid w:val="008B6856"/>
    <w:rsid w:val="008B685A"/>
    <w:rsid w:val="008B69B1"/>
    <w:rsid w:val="008B6A9F"/>
    <w:rsid w:val="008B6AA4"/>
    <w:rsid w:val="008B6ABA"/>
    <w:rsid w:val="008B6E7D"/>
    <w:rsid w:val="008B6FA7"/>
    <w:rsid w:val="008B705E"/>
    <w:rsid w:val="008B74D4"/>
    <w:rsid w:val="008B77BA"/>
    <w:rsid w:val="008B7A91"/>
    <w:rsid w:val="008B7B76"/>
    <w:rsid w:val="008B7F0D"/>
    <w:rsid w:val="008C00CE"/>
    <w:rsid w:val="008C0286"/>
    <w:rsid w:val="008C0554"/>
    <w:rsid w:val="008C0806"/>
    <w:rsid w:val="008C088F"/>
    <w:rsid w:val="008C0983"/>
    <w:rsid w:val="008C09C5"/>
    <w:rsid w:val="008C0A5E"/>
    <w:rsid w:val="008C1000"/>
    <w:rsid w:val="008C1049"/>
    <w:rsid w:val="008C1084"/>
    <w:rsid w:val="008C12F1"/>
    <w:rsid w:val="008C14DA"/>
    <w:rsid w:val="008C1518"/>
    <w:rsid w:val="008C16EE"/>
    <w:rsid w:val="008C18BD"/>
    <w:rsid w:val="008C18DD"/>
    <w:rsid w:val="008C199B"/>
    <w:rsid w:val="008C19DB"/>
    <w:rsid w:val="008C1AC2"/>
    <w:rsid w:val="008C1AF1"/>
    <w:rsid w:val="008C1E6C"/>
    <w:rsid w:val="008C1F19"/>
    <w:rsid w:val="008C1F4B"/>
    <w:rsid w:val="008C1F50"/>
    <w:rsid w:val="008C1F5F"/>
    <w:rsid w:val="008C2118"/>
    <w:rsid w:val="008C21F4"/>
    <w:rsid w:val="008C23FB"/>
    <w:rsid w:val="008C2509"/>
    <w:rsid w:val="008C2659"/>
    <w:rsid w:val="008C26F1"/>
    <w:rsid w:val="008C28A9"/>
    <w:rsid w:val="008C28E4"/>
    <w:rsid w:val="008C2929"/>
    <w:rsid w:val="008C29AF"/>
    <w:rsid w:val="008C29E4"/>
    <w:rsid w:val="008C2BC8"/>
    <w:rsid w:val="008C2FFE"/>
    <w:rsid w:val="008C3007"/>
    <w:rsid w:val="008C304E"/>
    <w:rsid w:val="008C30B7"/>
    <w:rsid w:val="008C3156"/>
    <w:rsid w:val="008C32C4"/>
    <w:rsid w:val="008C384F"/>
    <w:rsid w:val="008C3911"/>
    <w:rsid w:val="008C3EB5"/>
    <w:rsid w:val="008C406C"/>
    <w:rsid w:val="008C4640"/>
    <w:rsid w:val="008C473A"/>
    <w:rsid w:val="008C4779"/>
    <w:rsid w:val="008C4877"/>
    <w:rsid w:val="008C4948"/>
    <w:rsid w:val="008C49E2"/>
    <w:rsid w:val="008C4ABD"/>
    <w:rsid w:val="008C4B12"/>
    <w:rsid w:val="008C4E00"/>
    <w:rsid w:val="008C4EDA"/>
    <w:rsid w:val="008C51A2"/>
    <w:rsid w:val="008C5210"/>
    <w:rsid w:val="008C5471"/>
    <w:rsid w:val="008C55DC"/>
    <w:rsid w:val="008C561C"/>
    <w:rsid w:val="008C5CAF"/>
    <w:rsid w:val="008C5E54"/>
    <w:rsid w:val="008C5F29"/>
    <w:rsid w:val="008C60DD"/>
    <w:rsid w:val="008C624B"/>
    <w:rsid w:val="008C6487"/>
    <w:rsid w:val="008C64F3"/>
    <w:rsid w:val="008C6593"/>
    <w:rsid w:val="008C677A"/>
    <w:rsid w:val="008C6817"/>
    <w:rsid w:val="008C6906"/>
    <w:rsid w:val="008C6AD2"/>
    <w:rsid w:val="008C6BE1"/>
    <w:rsid w:val="008C6D20"/>
    <w:rsid w:val="008C6E42"/>
    <w:rsid w:val="008C6E5F"/>
    <w:rsid w:val="008C6E69"/>
    <w:rsid w:val="008C6E90"/>
    <w:rsid w:val="008C7080"/>
    <w:rsid w:val="008C71B3"/>
    <w:rsid w:val="008C71F5"/>
    <w:rsid w:val="008C7594"/>
    <w:rsid w:val="008C7764"/>
    <w:rsid w:val="008C784D"/>
    <w:rsid w:val="008C7852"/>
    <w:rsid w:val="008C78C1"/>
    <w:rsid w:val="008C79F2"/>
    <w:rsid w:val="008C7A26"/>
    <w:rsid w:val="008C7BB2"/>
    <w:rsid w:val="008C7D20"/>
    <w:rsid w:val="008D02B8"/>
    <w:rsid w:val="008D0420"/>
    <w:rsid w:val="008D047A"/>
    <w:rsid w:val="008D04CD"/>
    <w:rsid w:val="008D05DA"/>
    <w:rsid w:val="008D05DE"/>
    <w:rsid w:val="008D0600"/>
    <w:rsid w:val="008D065A"/>
    <w:rsid w:val="008D073F"/>
    <w:rsid w:val="008D080C"/>
    <w:rsid w:val="008D0A62"/>
    <w:rsid w:val="008D0B5B"/>
    <w:rsid w:val="008D0D77"/>
    <w:rsid w:val="008D0FBC"/>
    <w:rsid w:val="008D0FC9"/>
    <w:rsid w:val="008D118E"/>
    <w:rsid w:val="008D119A"/>
    <w:rsid w:val="008D12C3"/>
    <w:rsid w:val="008D1410"/>
    <w:rsid w:val="008D1490"/>
    <w:rsid w:val="008D16A1"/>
    <w:rsid w:val="008D173F"/>
    <w:rsid w:val="008D17F6"/>
    <w:rsid w:val="008D1A00"/>
    <w:rsid w:val="008D1A3E"/>
    <w:rsid w:val="008D1B1E"/>
    <w:rsid w:val="008D1CEA"/>
    <w:rsid w:val="008D1D33"/>
    <w:rsid w:val="008D1D46"/>
    <w:rsid w:val="008D1D63"/>
    <w:rsid w:val="008D1F45"/>
    <w:rsid w:val="008D1FBF"/>
    <w:rsid w:val="008D1FDF"/>
    <w:rsid w:val="008D2160"/>
    <w:rsid w:val="008D225D"/>
    <w:rsid w:val="008D2477"/>
    <w:rsid w:val="008D2697"/>
    <w:rsid w:val="008D2881"/>
    <w:rsid w:val="008D28BA"/>
    <w:rsid w:val="008D28ED"/>
    <w:rsid w:val="008D2A7D"/>
    <w:rsid w:val="008D2B7D"/>
    <w:rsid w:val="008D2C76"/>
    <w:rsid w:val="008D2CC4"/>
    <w:rsid w:val="008D2D24"/>
    <w:rsid w:val="008D2FF8"/>
    <w:rsid w:val="008D312A"/>
    <w:rsid w:val="008D3149"/>
    <w:rsid w:val="008D319C"/>
    <w:rsid w:val="008D32E9"/>
    <w:rsid w:val="008D333E"/>
    <w:rsid w:val="008D336C"/>
    <w:rsid w:val="008D3849"/>
    <w:rsid w:val="008D3A42"/>
    <w:rsid w:val="008D3B56"/>
    <w:rsid w:val="008D3E32"/>
    <w:rsid w:val="008D3E4D"/>
    <w:rsid w:val="008D41BB"/>
    <w:rsid w:val="008D42C8"/>
    <w:rsid w:val="008D44F8"/>
    <w:rsid w:val="008D470A"/>
    <w:rsid w:val="008D48B2"/>
    <w:rsid w:val="008D4945"/>
    <w:rsid w:val="008D4A06"/>
    <w:rsid w:val="008D4A58"/>
    <w:rsid w:val="008D4C56"/>
    <w:rsid w:val="008D4D52"/>
    <w:rsid w:val="008D4D6C"/>
    <w:rsid w:val="008D4E73"/>
    <w:rsid w:val="008D4E89"/>
    <w:rsid w:val="008D4F09"/>
    <w:rsid w:val="008D4F57"/>
    <w:rsid w:val="008D53CB"/>
    <w:rsid w:val="008D5420"/>
    <w:rsid w:val="008D5739"/>
    <w:rsid w:val="008D584E"/>
    <w:rsid w:val="008D5901"/>
    <w:rsid w:val="008D5A79"/>
    <w:rsid w:val="008D5D50"/>
    <w:rsid w:val="008D5D96"/>
    <w:rsid w:val="008D612E"/>
    <w:rsid w:val="008D615B"/>
    <w:rsid w:val="008D65E3"/>
    <w:rsid w:val="008D6627"/>
    <w:rsid w:val="008D66E7"/>
    <w:rsid w:val="008D683F"/>
    <w:rsid w:val="008D6A10"/>
    <w:rsid w:val="008D6AB2"/>
    <w:rsid w:val="008D6B65"/>
    <w:rsid w:val="008D6C21"/>
    <w:rsid w:val="008D6CEE"/>
    <w:rsid w:val="008D6F6D"/>
    <w:rsid w:val="008D705A"/>
    <w:rsid w:val="008D70A6"/>
    <w:rsid w:val="008D735F"/>
    <w:rsid w:val="008D74B4"/>
    <w:rsid w:val="008D74BC"/>
    <w:rsid w:val="008D7574"/>
    <w:rsid w:val="008D7712"/>
    <w:rsid w:val="008D771B"/>
    <w:rsid w:val="008D773F"/>
    <w:rsid w:val="008D7816"/>
    <w:rsid w:val="008D7BE4"/>
    <w:rsid w:val="008D7C4F"/>
    <w:rsid w:val="008D7D4A"/>
    <w:rsid w:val="008E0353"/>
    <w:rsid w:val="008E04E0"/>
    <w:rsid w:val="008E051A"/>
    <w:rsid w:val="008E05F8"/>
    <w:rsid w:val="008E0747"/>
    <w:rsid w:val="008E07AD"/>
    <w:rsid w:val="008E09E3"/>
    <w:rsid w:val="008E0AAD"/>
    <w:rsid w:val="008E0BD5"/>
    <w:rsid w:val="008E0E76"/>
    <w:rsid w:val="008E115F"/>
    <w:rsid w:val="008E14C9"/>
    <w:rsid w:val="008E154A"/>
    <w:rsid w:val="008E160C"/>
    <w:rsid w:val="008E167D"/>
    <w:rsid w:val="008E16F9"/>
    <w:rsid w:val="008E1714"/>
    <w:rsid w:val="008E197E"/>
    <w:rsid w:val="008E19C5"/>
    <w:rsid w:val="008E19F9"/>
    <w:rsid w:val="008E1A05"/>
    <w:rsid w:val="008E1DF1"/>
    <w:rsid w:val="008E1E5D"/>
    <w:rsid w:val="008E1F82"/>
    <w:rsid w:val="008E2008"/>
    <w:rsid w:val="008E2156"/>
    <w:rsid w:val="008E21CA"/>
    <w:rsid w:val="008E2423"/>
    <w:rsid w:val="008E2645"/>
    <w:rsid w:val="008E27D6"/>
    <w:rsid w:val="008E2823"/>
    <w:rsid w:val="008E2A23"/>
    <w:rsid w:val="008E2A82"/>
    <w:rsid w:val="008E2B86"/>
    <w:rsid w:val="008E2C39"/>
    <w:rsid w:val="008E2D1D"/>
    <w:rsid w:val="008E2D81"/>
    <w:rsid w:val="008E3254"/>
    <w:rsid w:val="008E325C"/>
    <w:rsid w:val="008E32C5"/>
    <w:rsid w:val="008E344B"/>
    <w:rsid w:val="008E359A"/>
    <w:rsid w:val="008E35C7"/>
    <w:rsid w:val="008E36F6"/>
    <w:rsid w:val="008E3763"/>
    <w:rsid w:val="008E3857"/>
    <w:rsid w:val="008E386C"/>
    <w:rsid w:val="008E392E"/>
    <w:rsid w:val="008E3A77"/>
    <w:rsid w:val="008E3ACC"/>
    <w:rsid w:val="008E3B2E"/>
    <w:rsid w:val="008E3B63"/>
    <w:rsid w:val="008E3B77"/>
    <w:rsid w:val="008E3CC9"/>
    <w:rsid w:val="008E3D3F"/>
    <w:rsid w:val="008E3D8D"/>
    <w:rsid w:val="008E3E67"/>
    <w:rsid w:val="008E3F47"/>
    <w:rsid w:val="008E3F56"/>
    <w:rsid w:val="008E3F9D"/>
    <w:rsid w:val="008E4015"/>
    <w:rsid w:val="008E4199"/>
    <w:rsid w:val="008E41AF"/>
    <w:rsid w:val="008E4217"/>
    <w:rsid w:val="008E4240"/>
    <w:rsid w:val="008E4265"/>
    <w:rsid w:val="008E426E"/>
    <w:rsid w:val="008E4397"/>
    <w:rsid w:val="008E452E"/>
    <w:rsid w:val="008E4588"/>
    <w:rsid w:val="008E4609"/>
    <w:rsid w:val="008E48CF"/>
    <w:rsid w:val="008E48F9"/>
    <w:rsid w:val="008E4978"/>
    <w:rsid w:val="008E4AF5"/>
    <w:rsid w:val="008E4B5F"/>
    <w:rsid w:val="008E4BCA"/>
    <w:rsid w:val="008E4BF8"/>
    <w:rsid w:val="008E4D7A"/>
    <w:rsid w:val="008E4E52"/>
    <w:rsid w:val="008E4E5A"/>
    <w:rsid w:val="008E5112"/>
    <w:rsid w:val="008E5368"/>
    <w:rsid w:val="008E538F"/>
    <w:rsid w:val="008E55E7"/>
    <w:rsid w:val="008E5650"/>
    <w:rsid w:val="008E5808"/>
    <w:rsid w:val="008E58FB"/>
    <w:rsid w:val="008E5A53"/>
    <w:rsid w:val="008E5C1B"/>
    <w:rsid w:val="008E5C7B"/>
    <w:rsid w:val="008E5D80"/>
    <w:rsid w:val="008E5E6E"/>
    <w:rsid w:val="008E5EAA"/>
    <w:rsid w:val="008E61D1"/>
    <w:rsid w:val="008E62D6"/>
    <w:rsid w:val="008E635D"/>
    <w:rsid w:val="008E65EB"/>
    <w:rsid w:val="008E66D8"/>
    <w:rsid w:val="008E6777"/>
    <w:rsid w:val="008E6889"/>
    <w:rsid w:val="008E6911"/>
    <w:rsid w:val="008E6956"/>
    <w:rsid w:val="008E6C11"/>
    <w:rsid w:val="008E6C1E"/>
    <w:rsid w:val="008E6D76"/>
    <w:rsid w:val="008E6D7F"/>
    <w:rsid w:val="008E6EA3"/>
    <w:rsid w:val="008E6F2F"/>
    <w:rsid w:val="008E70AC"/>
    <w:rsid w:val="008E7105"/>
    <w:rsid w:val="008E71E5"/>
    <w:rsid w:val="008E7325"/>
    <w:rsid w:val="008E740B"/>
    <w:rsid w:val="008E75E6"/>
    <w:rsid w:val="008E7773"/>
    <w:rsid w:val="008E77F0"/>
    <w:rsid w:val="008E7DF5"/>
    <w:rsid w:val="008E7E66"/>
    <w:rsid w:val="008F0158"/>
    <w:rsid w:val="008F0200"/>
    <w:rsid w:val="008F02CB"/>
    <w:rsid w:val="008F0468"/>
    <w:rsid w:val="008F059A"/>
    <w:rsid w:val="008F0ABC"/>
    <w:rsid w:val="008F0C60"/>
    <w:rsid w:val="008F0D76"/>
    <w:rsid w:val="008F106F"/>
    <w:rsid w:val="008F118C"/>
    <w:rsid w:val="008F1203"/>
    <w:rsid w:val="008F1341"/>
    <w:rsid w:val="008F1358"/>
    <w:rsid w:val="008F13FA"/>
    <w:rsid w:val="008F15CE"/>
    <w:rsid w:val="008F1788"/>
    <w:rsid w:val="008F17F3"/>
    <w:rsid w:val="008F17F6"/>
    <w:rsid w:val="008F1843"/>
    <w:rsid w:val="008F18FA"/>
    <w:rsid w:val="008F1A4F"/>
    <w:rsid w:val="008F1B83"/>
    <w:rsid w:val="008F1C8B"/>
    <w:rsid w:val="008F1CCF"/>
    <w:rsid w:val="008F1D4F"/>
    <w:rsid w:val="008F1DCA"/>
    <w:rsid w:val="008F1F80"/>
    <w:rsid w:val="008F2124"/>
    <w:rsid w:val="008F2156"/>
    <w:rsid w:val="008F2164"/>
    <w:rsid w:val="008F2344"/>
    <w:rsid w:val="008F242C"/>
    <w:rsid w:val="008F2437"/>
    <w:rsid w:val="008F24A3"/>
    <w:rsid w:val="008F24A8"/>
    <w:rsid w:val="008F25B9"/>
    <w:rsid w:val="008F26A7"/>
    <w:rsid w:val="008F26B4"/>
    <w:rsid w:val="008F27DE"/>
    <w:rsid w:val="008F2814"/>
    <w:rsid w:val="008F28A2"/>
    <w:rsid w:val="008F28FF"/>
    <w:rsid w:val="008F294D"/>
    <w:rsid w:val="008F2963"/>
    <w:rsid w:val="008F2970"/>
    <w:rsid w:val="008F2B26"/>
    <w:rsid w:val="008F2EF1"/>
    <w:rsid w:val="008F2F75"/>
    <w:rsid w:val="008F30E3"/>
    <w:rsid w:val="008F3186"/>
    <w:rsid w:val="008F3365"/>
    <w:rsid w:val="008F35B5"/>
    <w:rsid w:val="008F35DB"/>
    <w:rsid w:val="008F37F3"/>
    <w:rsid w:val="008F38B1"/>
    <w:rsid w:val="008F38D1"/>
    <w:rsid w:val="008F395A"/>
    <w:rsid w:val="008F3979"/>
    <w:rsid w:val="008F39BB"/>
    <w:rsid w:val="008F3A9F"/>
    <w:rsid w:val="008F3C1C"/>
    <w:rsid w:val="008F3FDC"/>
    <w:rsid w:val="008F43AE"/>
    <w:rsid w:val="008F44EC"/>
    <w:rsid w:val="008F4518"/>
    <w:rsid w:val="008F48DE"/>
    <w:rsid w:val="008F48E7"/>
    <w:rsid w:val="008F4A87"/>
    <w:rsid w:val="008F4AB3"/>
    <w:rsid w:val="008F4ADD"/>
    <w:rsid w:val="008F4CC1"/>
    <w:rsid w:val="008F4DF8"/>
    <w:rsid w:val="008F4E44"/>
    <w:rsid w:val="008F4EF0"/>
    <w:rsid w:val="008F500C"/>
    <w:rsid w:val="008F5023"/>
    <w:rsid w:val="008F50C1"/>
    <w:rsid w:val="008F50E5"/>
    <w:rsid w:val="008F5236"/>
    <w:rsid w:val="008F52F0"/>
    <w:rsid w:val="008F545F"/>
    <w:rsid w:val="008F5578"/>
    <w:rsid w:val="008F588F"/>
    <w:rsid w:val="008F59B1"/>
    <w:rsid w:val="008F5A60"/>
    <w:rsid w:val="008F5A8C"/>
    <w:rsid w:val="008F5B88"/>
    <w:rsid w:val="008F5BB3"/>
    <w:rsid w:val="008F5E1E"/>
    <w:rsid w:val="008F6025"/>
    <w:rsid w:val="008F608B"/>
    <w:rsid w:val="008F614E"/>
    <w:rsid w:val="008F6184"/>
    <w:rsid w:val="008F61F8"/>
    <w:rsid w:val="008F6241"/>
    <w:rsid w:val="008F63B6"/>
    <w:rsid w:val="008F6436"/>
    <w:rsid w:val="008F68C7"/>
    <w:rsid w:val="008F6914"/>
    <w:rsid w:val="008F6977"/>
    <w:rsid w:val="008F69C9"/>
    <w:rsid w:val="008F6AD0"/>
    <w:rsid w:val="008F6B82"/>
    <w:rsid w:val="008F6C41"/>
    <w:rsid w:val="008F6E36"/>
    <w:rsid w:val="008F6F65"/>
    <w:rsid w:val="008F715C"/>
    <w:rsid w:val="008F7440"/>
    <w:rsid w:val="008F744E"/>
    <w:rsid w:val="008F74F9"/>
    <w:rsid w:val="008F75CC"/>
    <w:rsid w:val="008F7954"/>
    <w:rsid w:val="008F7B05"/>
    <w:rsid w:val="008F7C5E"/>
    <w:rsid w:val="008F7CFA"/>
    <w:rsid w:val="008F7EF2"/>
    <w:rsid w:val="008F7F6A"/>
    <w:rsid w:val="00900047"/>
    <w:rsid w:val="0090025E"/>
    <w:rsid w:val="00900498"/>
    <w:rsid w:val="009005FE"/>
    <w:rsid w:val="00900634"/>
    <w:rsid w:val="009006D6"/>
    <w:rsid w:val="0090071C"/>
    <w:rsid w:val="00900BA7"/>
    <w:rsid w:val="00900C0C"/>
    <w:rsid w:val="00900C11"/>
    <w:rsid w:val="00900C29"/>
    <w:rsid w:val="00900E0C"/>
    <w:rsid w:val="0090105A"/>
    <w:rsid w:val="00901350"/>
    <w:rsid w:val="009014B7"/>
    <w:rsid w:val="00901504"/>
    <w:rsid w:val="009015B3"/>
    <w:rsid w:val="009015F5"/>
    <w:rsid w:val="0090190B"/>
    <w:rsid w:val="00901949"/>
    <w:rsid w:val="00901AF7"/>
    <w:rsid w:val="00901D66"/>
    <w:rsid w:val="00901DA3"/>
    <w:rsid w:val="00901F77"/>
    <w:rsid w:val="009020A5"/>
    <w:rsid w:val="00902194"/>
    <w:rsid w:val="00902507"/>
    <w:rsid w:val="009025D9"/>
    <w:rsid w:val="009026A3"/>
    <w:rsid w:val="009026DC"/>
    <w:rsid w:val="009027B3"/>
    <w:rsid w:val="009028E0"/>
    <w:rsid w:val="00902A0E"/>
    <w:rsid w:val="00902B08"/>
    <w:rsid w:val="00902CB2"/>
    <w:rsid w:val="00902D09"/>
    <w:rsid w:val="00902ED3"/>
    <w:rsid w:val="009031CF"/>
    <w:rsid w:val="00903369"/>
    <w:rsid w:val="0090338E"/>
    <w:rsid w:val="009033E0"/>
    <w:rsid w:val="00903542"/>
    <w:rsid w:val="009037E7"/>
    <w:rsid w:val="009037FC"/>
    <w:rsid w:val="00903909"/>
    <w:rsid w:val="00903C46"/>
    <w:rsid w:val="00903CC0"/>
    <w:rsid w:val="00903FD9"/>
    <w:rsid w:val="00904032"/>
    <w:rsid w:val="009042A0"/>
    <w:rsid w:val="009043DA"/>
    <w:rsid w:val="00904433"/>
    <w:rsid w:val="00904558"/>
    <w:rsid w:val="00904576"/>
    <w:rsid w:val="0090473B"/>
    <w:rsid w:val="00904A1E"/>
    <w:rsid w:val="00904C0B"/>
    <w:rsid w:val="00904D52"/>
    <w:rsid w:val="00904E05"/>
    <w:rsid w:val="00904E41"/>
    <w:rsid w:val="00904E4B"/>
    <w:rsid w:val="00904F4F"/>
    <w:rsid w:val="00904FA4"/>
    <w:rsid w:val="00905057"/>
    <w:rsid w:val="009050F7"/>
    <w:rsid w:val="00905174"/>
    <w:rsid w:val="009051BF"/>
    <w:rsid w:val="009051C5"/>
    <w:rsid w:val="0090520C"/>
    <w:rsid w:val="009052D0"/>
    <w:rsid w:val="009054E9"/>
    <w:rsid w:val="00905506"/>
    <w:rsid w:val="009058EB"/>
    <w:rsid w:val="00905927"/>
    <w:rsid w:val="00905963"/>
    <w:rsid w:val="0090597A"/>
    <w:rsid w:val="00905C65"/>
    <w:rsid w:val="00905E24"/>
    <w:rsid w:val="00905E26"/>
    <w:rsid w:val="00905E89"/>
    <w:rsid w:val="00905F23"/>
    <w:rsid w:val="00906011"/>
    <w:rsid w:val="00906196"/>
    <w:rsid w:val="00906197"/>
    <w:rsid w:val="00906297"/>
    <w:rsid w:val="0090629F"/>
    <w:rsid w:val="00906372"/>
    <w:rsid w:val="009065AB"/>
    <w:rsid w:val="009065D5"/>
    <w:rsid w:val="00906613"/>
    <w:rsid w:val="00906644"/>
    <w:rsid w:val="00906828"/>
    <w:rsid w:val="00906945"/>
    <w:rsid w:val="009069A8"/>
    <w:rsid w:val="00906DA2"/>
    <w:rsid w:val="00906FA0"/>
    <w:rsid w:val="009071B6"/>
    <w:rsid w:val="009073A7"/>
    <w:rsid w:val="009075A3"/>
    <w:rsid w:val="00907A20"/>
    <w:rsid w:val="00907BE8"/>
    <w:rsid w:val="00907D29"/>
    <w:rsid w:val="00907D6C"/>
    <w:rsid w:val="00907E83"/>
    <w:rsid w:val="00910075"/>
    <w:rsid w:val="009101BA"/>
    <w:rsid w:val="00910201"/>
    <w:rsid w:val="0091038E"/>
    <w:rsid w:val="00910393"/>
    <w:rsid w:val="009104CD"/>
    <w:rsid w:val="00910576"/>
    <w:rsid w:val="0091057D"/>
    <w:rsid w:val="009105EF"/>
    <w:rsid w:val="00910667"/>
    <w:rsid w:val="0091066F"/>
    <w:rsid w:val="009106AF"/>
    <w:rsid w:val="0091073A"/>
    <w:rsid w:val="00910879"/>
    <w:rsid w:val="009109E8"/>
    <w:rsid w:val="00910A03"/>
    <w:rsid w:val="00910A76"/>
    <w:rsid w:val="00910A77"/>
    <w:rsid w:val="00910BA3"/>
    <w:rsid w:val="00910C55"/>
    <w:rsid w:val="00910CAA"/>
    <w:rsid w:val="00910D5C"/>
    <w:rsid w:val="00910D8F"/>
    <w:rsid w:val="00910F7C"/>
    <w:rsid w:val="00910F8A"/>
    <w:rsid w:val="0091125A"/>
    <w:rsid w:val="00911789"/>
    <w:rsid w:val="00911821"/>
    <w:rsid w:val="009118EC"/>
    <w:rsid w:val="00911903"/>
    <w:rsid w:val="0091192D"/>
    <w:rsid w:val="00911951"/>
    <w:rsid w:val="00911A80"/>
    <w:rsid w:val="00911B91"/>
    <w:rsid w:val="00911E06"/>
    <w:rsid w:val="0091207D"/>
    <w:rsid w:val="009121A8"/>
    <w:rsid w:val="00912202"/>
    <w:rsid w:val="0091220E"/>
    <w:rsid w:val="00912349"/>
    <w:rsid w:val="00912521"/>
    <w:rsid w:val="009128A3"/>
    <w:rsid w:val="00912909"/>
    <w:rsid w:val="009129F2"/>
    <w:rsid w:val="00912A57"/>
    <w:rsid w:val="00912C1B"/>
    <w:rsid w:val="00912CAA"/>
    <w:rsid w:val="00912D6C"/>
    <w:rsid w:val="00912E56"/>
    <w:rsid w:val="00912F73"/>
    <w:rsid w:val="0091314E"/>
    <w:rsid w:val="00913275"/>
    <w:rsid w:val="0091329B"/>
    <w:rsid w:val="0091329D"/>
    <w:rsid w:val="0091344A"/>
    <w:rsid w:val="009134D1"/>
    <w:rsid w:val="009135D8"/>
    <w:rsid w:val="009136BD"/>
    <w:rsid w:val="009138F7"/>
    <w:rsid w:val="00913D86"/>
    <w:rsid w:val="00913DA1"/>
    <w:rsid w:val="00913E1E"/>
    <w:rsid w:val="00913F16"/>
    <w:rsid w:val="009140E0"/>
    <w:rsid w:val="009143C1"/>
    <w:rsid w:val="0091469E"/>
    <w:rsid w:val="00914830"/>
    <w:rsid w:val="0091487E"/>
    <w:rsid w:val="00914904"/>
    <w:rsid w:val="009149B2"/>
    <w:rsid w:val="00914E1E"/>
    <w:rsid w:val="00914EAB"/>
    <w:rsid w:val="00914ECC"/>
    <w:rsid w:val="0091508B"/>
    <w:rsid w:val="00915395"/>
    <w:rsid w:val="00915588"/>
    <w:rsid w:val="009155B1"/>
    <w:rsid w:val="0091567F"/>
    <w:rsid w:val="009158BD"/>
    <w:rsid w:val="009158EA"/>
    <w:rsid w:val="00915A89"/>
    <w:rsid w:val="00915E78"/>
    <w:rsid w:val="00916000"/>
    <w:rsid w:val="0091620F"/>
    <w:rsid w:val="00916428"/>
    <w:rsid w:val="009164D4"/>
    <w:rsid w:val="0091659D"/>
    <w:rsid w:val="00916A61"/>
    <w:rsid w:val="00916C82"/>
    <w:rsid w:val="00916D9A"/>
    <w:rsid w:val="00916F49"/>
    <w:rsid w:val="00916F58"/>
    <w:rsid w:val="00916FD2"/>
    <w:rsid w:val="00917006"/>
    <w:rsid w:val="0091702C"/>
    <w:rsid w:val="009171F8"/>
    <w:rsid w:val="00917244"/>
    <w:rsid w:val="00917259"/>
    <w:rsid w:val="0091740F"/>
    <w:rsid w:val="009174B4"/>
    <w:rsid w:val="009175CA"/>
    <w:rsid w:val="009176D8"/>
    <w:rsid w:val="0091777D"/>
    <w:rsid w:val="00917A99"/>
    <w:rsid w:val="00917BCA"/>
    <w:rsid w:val="00917E92"/>
    <w:rsid w:val="00920056"/>
    <w:rsid w:val="009202FB"/>
    <w:rsid w:val="0092036F"/>
    <w:rsid w:val="009205A9"/>
    <w:rsid w:val="009207FE"/>
    <w:rsid w:val="00920ADA"/>
    <w:rsid w:val="00920C16"/>
    <w:rsid w:val="00920CC4"/>
    <w:rsid w:val="00920EAA"/>
    <w:rsid w:val="00921389"/>
    <w:rsid w:val="00921423"/>
    <w:rsid w:val="00921438"/>
    <w:rsid w:val="009214AC"/>
    <w:rsid w:val="009217A8"/>
    <w:rsid w:val="009217B8"/>
    <w:rsid w:val="00921911"/>
    <w:rsid w:val="0092196D"/>
    <w:rsid w:val="00921982"/>
    <w:rsid w:val="00921ADA"/>
    <w:rsid w:val="00921EB8"/>
    <w:rsid w:val="00922116"/>
    <w:rsid w:val="0092213D"/>
    <w:rsid w:val="00922317"/>
    <w:rsid w:val="00922885"/>
    <w:rsid w:val="00922A57"/>
    <w:rsid w:val="00922B23"/>
    <w:rsid w:val="00922FCC"/>
    <w:rsid w:val="009231A6"/>
    <w:rsid w:val="009232A6"/>
    <w:rsid w:val="009233D0"/>
    <w:rsid w:val="00923447"/>
    <w:rsid w:val="00923577"/>
    <w:rsid w:val="00923609"/>
    <w:rsid w:val="00923647"/>
    <w:rsid w:val="0092375D"/>
    <w:rsid w:val="009237A6"/>
    <w:rsid w:val="009237DA"/>
    <w:rsid w:val="00923B08"/>
    <w:rsid w:val="00923B27"/>
    <w:rsid w:val="009242A9"/>
    <w:rsid w:val="009242B8"/>
    <w:rsid w:val="009243D7"/>
    <w:rsid w:val="0092442E"/>
    <w:rsid w:val="009244D2"/>
    <w:rsid w:val="00924685"/>
    <w:rsid w:val="00924701"/>
    <w:rsid w:val="00924914"/>
    <w:rsid w:val="009249A3"/>
    <w:rsid w:val="00924C5F"/>
    <w:rsid w:val="00924CE1"/>
    <w:rsid w:val="00924E6E"/>
    <w:rsid w:val="00924EB1"/>
    <w:rsid w:val="00925104"/>
    <w:rsid w:val="009251F4"/>
    <w:rsid w:val="009253B1"/>
    <w:rsid w:val="00925538"/>
    <w:rsid w:val="0092562A"/>
    <w:rsid w:val="00925635"/>
    <w:rsid w:val="00925679"/>
    <w:rsid w:val="009256BE"/>
    <w:rsid w:val="00925739"/>
    <w:rsid w:val="0092575E"/>
    <w:rsid w:val="00925831"/>
    <w:rsid w:val="00925994"/>
    <w:rsid w:val="00925A43"/>
    <w:rsid w:val="00925FBB"/>
    <w:rsid w:val="00925FF6"/>
    <w:rsid w:val="00926229"/>
    <w:rsid w:val="0092627A"/>
    <w:rsid w:val="009262D1"/>
    <w:rsid w:val="009262FB"/>
    <w:rsid w:val="0092646E"/>
    <w:rsid w:val="00926946"/>
    <w:rsid w:val="00926A39"/>
    <w:rsid w:val="00926AAE"/>
    <w:rsid w:val="00926C65"/>
    <w:rsid w:val="00926F59"/>
    <w:rsid w:val="00926F82"/>
    <w:rsid w:val="009270B3"/>
    <w:rsid w:val="0092740A"/>
    <w:rsid w:val="0092753A"/>
    <w:rsid w:val="00927690"/>
    <w:rsid w:val="009276D7"/>
    <w:rsid w:val="00927876"/>
    <w:rsid w:val="00927955"/>
    <w:rsid w:val="009279EF"/>
    <w:rsid w:val="00927B2D"/>
    <w:rsid w:val="00927B5D"/>
    <w:rsid w:val="00927C5A"/>
    <w:rsid w:val="00927C63"/>
    <w:rsid w:val="009300B8"/>
    <w:rsid w:val="009300C3"/>
    <w:rsid w:val="00930129"/>
    <w:rsid w:val="009303BF"/>
    <w:rsid w:val="00930423"/>
    <w:rsid w:val="0093049B"/>
    <w:rsid w:val="0093053F"/>
    <w:rsid w:val="009305A4"/>
    <w:rsid w:val="009306DE"/>
    <w:rsid w:val="00930801"/>
    <w:rsid w:val="0093080A"/>
    <w:rsid w:val="00930BE0"/>
    <w:rsid w:val="00930D5B"/>
    <w:rsid w:val="00930D80"/>
    <w:rsid w:val="00930F64"/>
    <w:rsid w:val="00931087"/>
    <w:rsid w:val="00931269"/>
    <w:rsid w:val="00931538"/>
    <w:rsid w:val="009315D8"/>
    <w:rsid w:val="009315E3"/>
    <w:rsid w:val="00931863"/>
    <w:rsid w:val="00931B7E"/>
    <w:rsid w:val="00931E2C"/>
    <w:rsid w:val="00931E69"/>
    <w:rsid w:val="00931F76"/>
    <w:rsid w:val="009321B6"/>
    <w:rsid w:val="00932257"/>
    <w:rsid w:val="00932346"/>
    <w:rsid w:val="00932540"/>
    <w:rsid w:val="0093257D"/>
    <w:rsid w:val="00932728"/>
    <w:rsid w:val="00932861"/>
    <w:rsid w:val="0093292E"/>
    <w:rsid w:val="0093298F"/>
    <w:rsid w:val="00932A69"/>
    <w:rsid w:val="00932C5E"/>
    <w:rsid w:val="00932C7B"/>
    <w:rsid w:val="009330E7"/>
    <w:rsid w:val="009331F0"/>
    <w:rsid w:val="0093323A"/>
    <w:rsid w:val="00933617"/>
    <w:rsid w:val="00933639"/>
    <w:rsid w:val="00933748"/>
    <w:rsid w:val="009337AC"/>
    <w:rsid w:val="009338B7"/>
    <w:rsid w:val="00933AFF"/>
    <w:rsid w:val="00933C88"/>
    <w:rsid w:val="00933CCA"/>
    <w:rsid w:val="00933DB1"/>
    <w:rsid w:val="00933FF3"/>
    <w:rsid w:val="00934002"/>
    <w:rsid w:val="00934235"/>
    <w:rsid w:val="0093431B"/>
    <w:rsid w:val="00934323"/>
    <w:rsid w:val="00934804"/>
    <w:rsid w:val="00934A5B"/>
    <w:rsid w:val="00934C76"/>
    <w:rsid w:val="00934D94"/>
    <w:rsid w:val="00935199"/>
    <w:rsid w:val="009351AF"/>
    <w:rsid w:val="0093528B"/>
    <w:rsid w:val="009353BD"/>
    <w:rsid w:val="0093553E"/>
    <w:rsid w:val="009356DE"/>
    <w:rsid w:val="00935A36"/>
    <w:rsid w:val="00935A3E"/>
    <w:rsid w:val="00935B56"/>
    <w:rsid w:val="00935CC1"/>
    <w:rsid w:val="00935D8C"/>
    <w:rsid w:val="00935DBC"/>
    <w:rsid w:val="00935F1F"/>
    <w:rsid w:val="0093639D"/>
    <w:rsid w:val="0093650C"/>
    <w:rsid w:val="00936543"/>
    <w:rsid w:val="009367F7"/>
    <w:rsid w:val="00936805"/>
    <w:rsid w:val="00936876"/>
    <w:rsid w:val="00936AC0"/>
    <w:rsid w:val="00936AE3"/>
    <w:rsid w:val="00936CAD"/>
    <w:rsid w:val="00936DF2"/>
    <w:rsid w:val="00936F61"/>
    <w:rsid w:val="00937184"/>
    <w:rsid w:val="009371BA"/>
    <w:rsid w:val="009374C4"/>
    <w:rsid w:val="00937631"/>
    <w:rsid w:val="00937744"/>
    <w:rsid w:val="00937A96"/>
    <w:rsid w:val="00937B16"/>
    <w:rsid w:val="00937B36"/>
    <w:rsid w:val="00937B42"/>
    <w:rsid w:val="00937B77"/>
    <w:rsid w:val="00937BA1"/>
    <w:rsid w:val="00937CA2"/>
    <w:rsid w:val="00937D12"/>
    <w:rsid w:val="00937DD1"/>
    <w:rsid w:val="00937E9D"/>
    <w:rsid w:val="009401E0"/>
    <w:rsid w:val="009401F5"/>
    <w:rsid w:val="00940367"/>
    <w:rsid w:val="009404EE"/>
    <w:rsid w:val="009407AA"/>
    <w:rsid w:val="009407EA"/>
    <w:rsid w:val="009407EC"/>
    <w:rsid w:val="0094082E"/>
    <w:rsid w:val="00940A1B"/>
    <w:rsid w:val="00940A90"/>
    <w:rsid w:val="00940B6E"/>
    <w:rsid w:val="00940D47"/>
    <w:rsid w:val="00940D74"/>
    <w:rsid w:val="00940DDE"/>
    <w:rsid w:val="00940DDF"/>
    <w:rsid w:val="00940E43"/>
    <w:rsid w:val="00940FA2"/>
    <w:rsid w:val="00941131"/>
    <w:rsid w:val="00941423"/>
    <w:rsid w:val="009414DF"/>
    <w:rsid w:val="00941551"/>
    <w:rsid w:val="00941561"/>
    <w:rsid w:val="009415BB"/>
    <w:rsid w:val="009418DA"/>
    <w:rsid w:val="00941C15"/>
    <w:rsid w:val="00941C61"/>
    <w:rsid w:val="00941D2A"/>
    <w:rsid w:val="00942083"/>
    <w:rsid w:val="00942134"/>
    <w:rsid w:val="00942207"/>
    <w:rsid w:val="009422DE"/>
    <w:rsid w:val="0094248C"/>
    <w:rsid w:val="009424C5"/>
    <w:rsid w:val="00942501"/>
    <w:rsid w:val="0094259A"/>
    <w:rsid w:val="009426F2"/>
    <w:rsid w:val="0094275C"/>
    <w:rsid w:val="0094286B"/>
    <w:rsid w:val="00942950"/>
    <w:rsid w:val="00942C3F"/>
    <w:rsid w:val="00942D22"/>
    <w:rsid w:val="00943251"/>
    <w:rsid w:val="009432CA"/>
    <w:rsid w:val="0094334C"/>
    <w:rsid w:val="0094335C"/>
    <w:rsid w:val="00943563"/>
    <w:rsid w:val="009435EC"/>
    <w:rsid w:val="0094367C"/>
    <w:rsid w:val="009439AD"/>
    <w:rsid w:val="00943C37"/>
    <w:rsid w:val="00943CA7"/>
    <w:rsid w:val="00943D1A"/>
    <w:rsid w:val="00943D9A"/>
    <w:rsid w:val="00943DCD"/>
    <w:rsid w:val="00943E1D"/>
    <w:rsid w:val="00943F2C"/>
    <w:rsid w:val="0094424C"/>
    <w:rsid w:val="00944264"/>
    <w:rsid w:val="00944470"/>
    <w:rsid w:val="009445B6"/>
    <w:rsid w:val="009445C8"/>
    <w:rsid w:val="00944629"/>
    <w:rsid w:val="009446A3"/>
    <w:rsid w:val="009446B4"/>
    <w:rsid w:val="00944788"/>
    <w:rsid w:val="00944B9D"/>
    <w:rsid w:val="00944C32"/>
    <w:rsid w:val="00944D82"/>
    <w:rsid w:val="00944DCB"/>
    <w:rsid w:val="00944DE7"/>
    <w:rsid w:val="00944E31"/>
    <w:rsid w:val="00944ED1"/>
    <w:rsid w:val="00945003"/>
    <w:rsid w:val="009450B9"/>
    <w:rsid w:val="00945252"/>
    <w:rsid w:val="00945294"/>
    <w:rsid w:val="009453BF"/>
    <w:rsid w:val="00945575"/>
    <w:rsid w:val="00945644"/>
    <w:rsid w:val="00945657"/>
    <w:rsid w:val="00945779"/>
    <w:rsid w:val="0094590E"/>
    <w:rsid w:val="00945965"/>
    <w:rsid w:val="00945992"/>
    <w:rsid w:val="00945A7A"/>
    <w:rsid w:val="00945ACC"/>
    <w:rsid w:val="00945CD2"/>
    <w:rsid w:val="00945DD7"/>
    <w:rsid w:val="00945EB7"/>
    <w:rsid w:val="00945EC7"/>
    <w:rsid w:val="00945F2F"/>
    <w:rsid w:val="00945F96"/>
    <w:rsid w:val="00945FD9"/>
    <w:rsid w:val="009460E6"/>
    <w:rsid w:val="009461CB"/>
    <w:rsid w:val="00946332"/>
    <w:rsid w:val="00946563"/>
    <w:rsid w:val="00946573"/>
    <w:rsid w:val="0094658C"/>
    <w:rsid w:val="009466B1"/>
    <w:rsid w:val="009466DB"/>
    <w:rsid w:val="00946827"/>
    <w:rsid w:val="0094687D"/>
    <w:rsid w:val="0094698A"/>
    <w:rsid w:val="00946BB5"/>
    <w:rsid w:val="00946BF4"/>
    <w:rsid w:val="00946C41"/>
    <w:rsid w:val="00946FAA"/>
    <w:rsid w:val="00946FEA"/>
    <w:rsid w:val="009471E3"/>
    <w:rsid w:val="00947227"/>
    <w:rsid w:val="009474B1"/>
    <w:rsid w:val="009474D5"/>
    <w:rsid w:val="009475D3"/>
    <w:rsid w:val="00947B7C"/>
    <w:rsid w:val="00947CAF"/>
    <w:rsid w:val="00947D36"/>
    <w:rsid w:val="00947DFB"/>
    <w:rsid w:val="00947EAA"/>
    <w:rsid w:val="0095003B"/>
    <w:rsid w:val="009500ED"/>
    <w:rsid w:val="009501B7"/>
    <w:rsid w:val="0095036C"/>
    <w:rsid w:val="00950595"/>
    <w:rsid w:val="009507FC"/>
    <w:rsid w:val="00950945"/>
    <w:rsid w:val="0095097D"/>
    <w:rsid w:val="00950ABF"/>
    <w:rsid w:val="00950B24"/>
    <w:rsid w:val="00950D1A"/>
    <w:rsid w:val="00950D4F"/>
    <w:rsid w:val="0095104C"/>
    <w:rsid w:val="009511B9"/>
    <w:rsid w:val="0095136B"/>
    <w:rsid w:val="0095147C"/>
    <w:rsid w:val="0095155B"/>
    <w:rsid w:val="00951573"/>
    <w:rsid w:val="0095170D"/>
    <w:rsid w:val="0095184F"/>
    <w:rsid w:val="00951964"/>
    <w:rsid w:val="00951C9A"/>
    <w:rsid w:val="00951CBC"/>
    <w:rsid w:val="00951F5A"/>
    <w:rsid w:val="00952061"/>
    <w:rsid w:val="009520A9"/>
    <w:rsid w:val="0095223B"/>
    <w:rsid w:val="00952242"/>
    <w:rsid w:val="009522F1"/>
    <w:rsid w:val="009522FF"/>
    <w:rsid w:val="0095239D"/>
    <w:rsid w:val="00952502"/>
    <w:rsid w:val="0095254C"/>
    <w:rsid w:val="0095259A"/>
    <w:rsid w:val="009525D2"/>
    <w:rsid w:val="0095262A"/>
    <w:rsid w:val="0095276B"/>
    <w:rsid w:val="00952A60"/>
    <w:rsid w:val="00952BCA"/>
    <w:rsid w:val="00952E11"/>
    <w:rsid w:val="00952F0D"/>
    <w:rsid w:val="0095307C"/>
    <w:rsid w:val="0095312C"/>
    <w:rsid w:val="0095315E"/>
    <w:rsid w:val="00953272"/>
    <w:rsid w:val="00953333"/>
    <w:rsid w:val="00953476"/>
    <w:rsid w:val="00953552"/>
    <w:rsid w:val="00953671"/>
    <w:rsid w:val="009536C9"/>
    <w:rsid w:val="00953775"/>
    <w:rsid w:val="00953A35"/>
    <w:rsid w:val="00953AF2"/>
    <w:rsid w:val="00953E39"/>
    <w:rsid w:val="00953E58"/>
    <w:rsid w:val="00953E9C"/>
    <w:rsid w:val="00954134"/>
    <w:rsid w:val="0095437F"/>
    <w:rsid w:val="0095449D"/>
    <w:rsid w:val="009544BC"/>
    <w:rsid w:val="009546C7"/>
    <w:rsid w:val="009547A5"/>
    <w:rsid w:val="009547C9"/>
    <w:rsid w:val="009547EF"/>
    <w:rsid w:val="00954A17"/>
    <w:rsid w:val="00954F48"/>
    <w:rsid w:val="00955095"/>
    <w:rsid w:val="009552C7"/>
    <w:rsid w:val="00955339"/>
    <w:rsid w:val="009554BB"/>
    <w:rsid w:val="0095558E"/>
    <w:rsid w:val="00955594"/>
    <w:rsid w:val="009556DA"/>
    <w:rsid w:val="009556FC"/>
    <w:rsid w:val="00955949"/>
    <w:rsid w:val="00955C2F"/>
    <w:rsid w:val="00955C49"/>
    <w:rsid w:val="00955CBA"/>
    <w:rsid w:val="00955D69"/>
    <w:rsid w:val="00955D6D"/>
    <w:rsid w:val="00955DB8"/>
    <w:rsid w:val="00956148"/>
    <w:rsid w:val="0095628F"/>
    <w:rsid w:val="009563AE"/>
    <w:rsid w:val="009563CF"/>
    <w:rsid w:val="009566FD"/>
    <w:rsid w:val="00956964"/>
    <w:rsid w:val="00956A57"/>
    <w:rsid w:val="00956CEF"/>
    <w:rsid w:val="00956D6E"/>
    <w:rsid w:val="00956EE6"/>
    <w:rsid w:val="00957031"/>
    <w:rsid w:val="00957187"/>
    <w:rsid w:val="00957238"/>
    <w:rsid w:val="009573EE"/>
    <w:rsid w:val="00957522"/>
    <w:rsid w:val="0095753A"/>
    <w:rsid w:val="009575CC"/>
    <w:rsid w:val="00957700"/>
    <w:rsid w:val="009577B5"/>
    <w:rsid w:val="009577F8"/>
    <w:rsid w:val="0095781C"/>
    <w:rsid w:val="00957A8B"/>
    <w:rsid w:val="00957C3F"/>
    <w:rsid w:val="00957E5D"/>
    <w:rsid w:val="00957EAA"/>
    <w:rsid w:val="009600D2"/>
    <w:rsid w:val="00960128"/>
    <w:rsid w:val="009604CC"/>
    <w:rsid w:val="00960535"/>
    <w:rsid w:val="0096057F"/>
    <w:rsid w:val="0096066E"/>
    <w:rsid w:val="00960D37"/>
    <w:rsid w:val="00960D55"/>
    <w:rsid w:val="00960F0A"/>
    <w:rsid w:val="00961102"/>
    <w:rsid w:val="0096111B"/>
    <w:rsid w:val="009611C7"/>
    <w:rsid w:val="009612A5"/>
    <w:rsid w:val="00961400"/>
    <w:rsid w:val="00961472"/>
    <w:rsid w:val="009614BD"/>
    <w:rsid w:val="00961602"/>
    <w:rsid w:val="0096164F"/>
    <w:rsid w:val="00961681"/>
    <w:rsid w:val="00961693"/>
    <w:rsid w:val="00961746"/>
    <w:rsid w:val="009618D2"/>
    <w:rsid w:val="00961A6F"/>
    <w:rsid w:val="00961BBF"/>
    <w:rsid w:val="00961BDA"/>
    <w:rsid w:val="00961D50"/>
    <w:rsid w:val="00961EB2"/>
    <w:rsid w:val="00962052"/>
    <w:rsid w:val="00962086"/>
    <w:rsid w:val="009620C5"/>
    <w:rsid w:val="00962265"/>
    <w:rsid w:val="0096262E"/>
    <w:rsid w:val="0096266F"/>
    <w:rsid w:val="00962B32"/>
    <w:rsid w:val="00962BA2"/>
    <w:rsid w:val="00962D20"/>
    <w:rsid w:val="00962DF7"/>
    <w:rsid w:val="00962E4E"/>
    <w:rsid w:val="00962F0A"/>
    <w:rsid w:val="009634F1"/>
    <w:rsid w:val="00963505"/>
    <w:rsid w:val="00963580"/>
    <w:rsid w:val="009637A2"/>
    <w:rsid w:val="009637D6"/>
    <w:rsid w:val="009639EA"/>
    <w:rsid w:val="009639F8"/>
    <w:rsid w:val="00963A26"/>
    <w:rsid w:val="00963DBC"/>
    <w:rsid w:val="00963E7F"/>
    <w:rsid w:val="00963F1D"/>
    <w:rsid w:val="009640AB"/>
    <w:rsid w:val="009640E6"/>
    <w:rsid w:val="009642B8"/>
    <w:rsid w:val="009642BC"/>
    <w:rsid w:val="0096446E"/>
    <w:rsid w:val="009644C7"/>
    <w:rsid w:val="00964612"/>
    <w:rsid w:val="00964840"/>
    <w:rsid w:val="00964972"/>
    <w:rsid w:val="009649D9"/>
    <w:rsid w:val="009649DB"/>
    <w:rsid w:val="00964A9D"/>
    <w:rsid w:val="00964BBF"/>
    <w:rsid w:val="00964C15"/>
    <w:rsid w:val="00964C21"/>
    <w:rsid w:val="00964D6A"/>
    <w:rsid w:val="00964E16"/>
    <w:rsid w:val="00964F3C"/>
    <w:rsid w:val="0096516B"/>
    <w:rsid w:val="00965326"/>
    <w:rsid w:val="009655DC"/>
    <w:rsid w:val="009655F8"/>
    <w:rsid w:val="0096575D"/>
    <w:rsid w:val="00965839"/>
    <w:rsid w:val="0096590F"/>
    <w:rsid w:val="0096595E"/>
    <w:rsid w:val="00965A3C"/>
    <w:rsid w:val="00965B1E"/>
    <w:rsid w:val="00965B25"/>
    <w:rsid w:val="00965B96"/>
    <w:rsid w:val="00965DE7"/>
    <w:rsid w:val="00965E81"/>
    <w:rsid w:val="00965F68"/>
    <w:rsid w:val="00966785"/>
    <w:rsid w:val="00966BE3"/>
    <w:rsid w:val="00966BF1"/>
    <w:rsid w:val="00966ED5"/>
    <w:rsid w:val="0096705F"/>
    <w:rsid w:val="009670B1"/>
    <w:rsid w:val="00967109"/>
    <w:rsid w:val="00967144"/>
    <w:rsid w:val="00967339"/>
    <w:rsid w:val="00967367"/>
    <w:rsid w:val="0096737D"/>
    <w:rsid w:val="00967408"/>
    <w:rsid w:val="009676D2"/>
    <w:rsid w:val="0096772A"/>
    <w:rsid w:val="009678FD"/>
    <w:rsid w:val="00967915"/>
    <w:rsid w:val="00967AC8"/>
    <w:rsid w:val="00967B14"/>
    <w:rsid w:val="00967F08"/>
    <w:rsid w:val="00967FDB"/>
    <w:rsid w:val="00970009"/>
    <w:rsid w:val="00970085"/>
    <w:rsid w:val="00970331"/>
    <w:rsid w:val="009703A5"/>
    <w:rsid w:val="0097044A"/>
    <w:rsid w:val="0097047D"/>
    <w:rsid w:val="0097074F"/>
    <w:rsid w:val="0097080C"/>
    <w:rsid w:val="0097097C"/>
    <w:rsid w:val="00970991"/>
    <w:rsid w:val="00970DA0"/>
    <w:rsid w:val="00970DB6"/>
    <w:rsid w:val="00970DF6"/>
    <w:rsid w:val="00970E60"/>
    <w:rsid w:val="00970E84"/>
    <w:rsid w:val="00971003"/>
    <w:rsid w:val="00971068"/>
    <w:rsid w:val="00971220"/>
    <w:rsid w:val="00971407"/>
    <w:rsid w:val="0097150F"/>
    <w:rsid w:val="00971624"/>
    <w:rsid w:val="00971713"/>
    <w:rsid w:val="00971772"/>
    <w:rsid w:val="009717DA"/>
    <w:rsid w:val="009717FC"/>
    <w:rsid w:val="00971854"/>
    <w:rsid w:val="00972427"/>
    <w:rsid w:val="0097248E"/>
    <w:rsid w:val="009724F7"/>
    <w:rsid w:val="009726A3"/>
    <w:rsid w:val="00972827"/>
    <w:rsid w:val="00972BDB"/>
    <w:rsid w:val="00972F0D"/>
    <w:rsid w:val="00972F1C"/>
    <w:rsid w:val="009731BA"/>
    <w:rsid w:val="009736BC"/>
    <w:rsid w:val="00973809"/>
    <w:rsid w:val="00973834"/>
    <w:rsid w:val="009739AA"/>
    <w:rsid w:val="00973C31"/>
    <w:rsid w:val="00973CD8"/>
    <w:rsid w:val="00973D0D"/>
    <w:rsid w:val="00973D4B"/>
    <w:rsid w:val="00973EB7"/>
    <w:rsid w:val="00973F0D"/>
    <w:rsid w:val="00974230"/>
    <w:rsid w:val="00974355"/>
    <w:rsid w:val="009743E2"/>
    <w:rsid w:val="0097455F"/>
    <w:rsid w:val="009747A5"/>
    <w:rsid w:val="0097489F"/>
    <w:rsid w:val="00974A04"/>
    <w:rsid w:val="00974A5A"/>
    <w:rsid w:val="00974BED"/>
    <w:rsid w:val="00974CCB"/>
    <w:rsid w:val="00974CF5"/>
    <w:rsid w:val="00974D42"/>
    <w:rsid w:val="00974F95"/>
    <w:rsid w:val="0097514E"/>
    <w:rsid w:val="009753A6"/>
    <w:rsid w:val="00975529"/>
    <w:rsid w:val="0097586F"/>
    <w:rsid w:val="009758E6"/>
    <w:rsid w:val="00975C22"/>
    <w:rsid w:val="00975E2D"/>
    <w:rsid w:val="00975F0B"/>
    <w:rsid w:val="00975F40"/>
    <w:rsid w:val="009760F7"/>
    <w:rsid w:val="009761EE"/>
    <w:rsid w:val="0097620B"/>
    <w:rsid w:val="00976254"/>
    <w:rsid w:val="00976481"/>
    <w:rsid w:val="0097651A"/>
    <w:rsid w:val="0097695B"/>
    <w:rsid w:val="00976B6A"/>
    <w:rsid w:val="00976BA0"/>
    <w:rsid w:val="00976E53"/>
    <w:rsid w:val="00977173"/>
    <w:rsid w:val="0097727E"/>
    <w:rsid w:val="009772C8"/>
    <w:rsid w:val="00977373"/>
    <w:rsid w:val="009773C9"/>
    <w:rsid w:val="009773E5"/>
    <w:rsid w:val="009774AC"/>
    <w:rsid w:val="0097758F"/>
    <w:rsid w:val="00977707"/>
    <w:rsid w:val="00977919"/>
    <w:rsid w:val="0097798C"/>
    <w:rsid w:val="00977A40"/>
    <w:rsid w:val="00977AA1"/>
    <w:rsid w:val="00977AB7"/>
    <w:rsid w:val="00977E3D"/>
    <w:rsid w:val="00980043"/>
    <w:rsid w:val="0098006F"/>
    <w:rsid w:val="009800B5"/>
    <w:rsid w:val="00980198"/>
    <w:rsid w:val="00980220"/>
    <w:rsid w:val="00980347"/>
    <w:rsid w:val="00980436"/>
    <w:rsid w:val="00980513"/>
    <w:rsid w:val="0098053D"/>
    <w:rsid w:val="00980559"/>
    <w:rsid w:val="00980A80"/>
    <w:rsid w:val="00980AFC"/>
    <w:rsid w:val="00980B72"/>
    <w:rsid w:val="00980C58"/>
    <w:rsid w:val="0098111F"/>
    <w:rsid w:val="0098134B"/>
    <w:rsid w:val="00981637"/>
    <w:rsid w:val="009816B1"/>
    <w:rsid w:val="009816D1"/>
    <w:rsid w:val="009817B3"/>
    <w:rsid w:val="009818EB"/>
    <w:rsid w:val="00981AD8"/>
    <w:rsid w:val="00981C44"/>
    <w:rsid w:val="00981E08"/>
    <w:rsid w:val="00981EAA"/>
    <w:rsid w:val="00981EF5"/>
    <w:rsid w:val="00981F6E"/>
    <w:rsid w:val="00981F9A"/>
    <w:rsid w:val="00982061"/>
    <w:rsid w:val="009821FA"/>
    <w:rsid w:val="0098222B"/>
    <w:rsid w:val="00982321"/>
    <w:rsid w:val="009823C1"/>
    <w:rsid w:val="0098243C"/>
    <w:rsid w:val="009826B3"/>
    <w:rsid w:val="00982739"/>
    <w:rsid w:val="00982929"/>
    <w:rsid w:val="0098294E"/>
    <w:rsid w:val="00982997"/>
    <w:rsid w:val="0098300D"/>
    <w:rsid w:val="00983090"/>
    <w:rsid w:val="00983248"/>
    <w:rsid w:val="009832DC"/>
    <w:rsid w:val="009834C7"/>
    <w:rsid w:val="0098355E"/>
    <w:rsid w:val="009838FE"/>
    <w:rsid w:val="00983922"/>
    <w:rsid w:val="0098394B"/>
    <w:rsid w:val="00983980"/>
    <w:rsid w:val="00983A78"/>
    <w:rsid w:val="00983EA5"/>
    <w:rsid w:val="00983EAB"/>
    <w:rsid w:val="009840C0"/>
    <w:rsid w:val="00984322"/>
    <w:rsid w:val="00984325"/>
    <w:rsid w:val="0098445B"/>
    <w:rsid w:val="00984536"/>
    <w:rsid w:val="009847D9"/>
    <w:rsid w:val="0098486C"/>
    <w:rsid w:val="009848DE"/>
    <w:rsid w:val="0098499B"/>
    <w:rsid w:val="00984D81"/>
    <w:rsid w:val="00984DC5"/>
    <w:rsid w:val="00984EA1"/>
    <w:rsid w:val="0098528C"/>
    <w:rsid w:val="0098538F"/>
    <w:rsid w:val="009853D1"/>
    <w:rsid w:val="00985746"/>
    <w:rsid w:val="00985A18"/>
    <w:rsid w:val="00985BE7"/>
    <w:rsid w:val="00985DCD"/>
    <w:rsid w:val="00986098"/>
    <w:rsid w:val="009860EC"/>
    <w:rsid w:val="00986484"/>
    <w:rsid w:val="009864B9"/>
    <w:rsid w:val="009866DE"/>
    <w:rsid w:val="00986886"/>
    <w:rsid w:val="00986957"/>
    <w:rsid w:val="00986BD7"/>
    <w:rsid w:val="00986BE0"/>
    <w:rsid w:val="00986CED"/>
    <w:rsid w:val="00986DAC"/>
    <w:rsid w:val="00986DD4"/>
    <w:rsid w:val="0098706C"/>
    <w:rsid w:val="00987168"/>
    <w:rsid w:val="00987418"/>
    <w:rsid w:val="009874F1"/>
    <w:rsid w:val="0098772E"/>
    <w:rsid w:val="00987BCA"/>
    <w:rsid w:val="00987CE7"/>
    <w:rsid w:val="00987E93"/>
    <w:rsid w:val="00987EB2"/>
    <w:rsid w:val="00987EF7"/>
    <w:rsid w:val="00987FFC"/>
    <w:rsid w:val="0099011A"/>
    <w:rsid w:val="00990290"/>
    <w:rsid w:val="00990341"/>
    <w:rsid w:val="00990465"/>
    <w:rsid w:val="00990956"/>
    <w:rsid w:val="009909E5"/>
    <w:rsid w:val="00990C1A"/>
    <w:rsid w:val="00990C48"/>
    <w:rsid w:val="00990C66"/>
    <w:rsid w:val="00990D01"/>
    <w:rsid w:val="00990EE2"/>
    <w:rsid w:val="00990F39"/>
    <w:rsid w:val="009914B4"/>
    <w:rsid w:val="00991567"/>
    <w:rsid w:val="0099158B"/>
    <w:rsid w:val="0099213E"/>
    <w:rsid w:val="009921F0"/>
    <w:rsid w:val="0099248C"/>
    <w:rsid w:val="009926C8"/>
    <w:rsid w:val="0099280C"/>
    <w:rsid w:val="0099286A"/>
    <w:rsid w:val="009929D1"/>
    <w:rsid w:val="00992A22"/>
    <w:rsid w:val="00992AA5"/>
    <w:rsid w:val="00992B25"/>
    <w:rsid w:val="00992B85"/>
    <w:rsid w:val="00992C08"/>
    <w:rsid w:val="00992E9D"/>
    <w:rsid w:val="00992F04"/>
    <w:rsid w:val="00992F4D"/>
    <w:rsid w:val="00993059"/>
    <w:rsid w:val="009930ED"/>
    <w:rsid w:val="00993129"/>
    <w:rsid w:val="00993355"/>
    <w:rsid w:val="0099349D"/>
    <w:rsid w:val="00993844"/>
    <w:rsid w:val="0099394F"/>
    <w:rsid w:val="00993A7A"/>
    <w:rsid w:val="00993BB3"/>
    <w:rsid w:val="00993D3C"/>
    <w:rsid w:val="00993EF6"/>
    <w:rsid w:val="0099409A"/>
    <w:rsid w:val="009941F7"/>
    <w:rsid w:val="00994275"/>
    <w:rsid w:val="00994306"/>
    <w:rsid w:val="00994443"/>
    <w:rsid w:val="00994542"/>
    <w:rsid w:val="009945C8"/>
    <w:rsid w:val="00994832"/>
    <w:rsid w:val="009949DB"/>
    <w:rsid w:val="009949E5"/>
    <w:rsid w:val="00994AB5"/>
    <w:rsid w:val="00994C60"/>
    <w:rsid w:val="00994D73"/>
    <w:rsid w:val="00994E74"/>
    <w:rsid w:val="00995205"/>
    <w:rsid w:val="009952A9"/>
    <w:rsid w:val="009952FC"/>
    <w:rsid w:val="0099534F"/>
    <w:rsid w:val="0099537F"/>
    <w:rsid w:val="0099551A"/>
    <w:rsid w:val="00995653"/>
    <w:rsid w:val="0099589F"/>
    <w:rsid w:val="00995952"/>
    <w:rsid w:val="00995BBA"/>
    <w:rsid w:val="00995C28"/>
    <w:rsid w:val="00995D26"/>
    <w:rsid w:val="00995DF3"/>
    <w:rsid w:val="00995FBB"/>
    <w:rsid w:val="00996128"/>
    <w:rsid w:val="009962C8"/>
    <w:rsid w:val="009962F3"/>
    <w:rsid w:val="00996303"/>
    <w:rsid w:val="00996466"/>
    <w:rsid w:val="00996482"/>
    <w:rsid w:val="00996516"/>
    <w:rsid w:val="009965D3"/>
    <w:rsid w:val="009966AB"/>
    <w:rsid w:val="009967EB"/>
    <w:rsid w:val="00996806"/>
    <w:rsid w:val="00996B3E"/>
    <w:rsid w:val="00996B6F"/>
    <w:rsid w:val="00996C45"/>
    <w:rsid w:val="00996C5E"/>
    <w:rsid w:val="00996CCD"/>
    <w:rsid w:val="00996E1A"/>
    <w:rsid w:val="00996FE0"/>
    <w:rsid w:val="00997092"/>
    <w:rsid w:val="0099717F"/>
    <w:rsid w:val="00997227"/>
    <w:rsid w:val="00997452"/>
    <w:rsid w:val="00997659"/>
    <w:rsid w:val="009977A9"/>
    <w:rsid w:val="009978B1"/>
    <w:rsid w:val="00997A49"/>
    <w:rsid w:val="00997B73"/>
    <w:rsid w:val="00997EC3"/>
    <w:rsid w:val="00997FDA"/>
    <w:rsid w:val="009A05CE"/>
    <w:rsid w:val="009A067B"/>
    <w:rsid w:val="009A0680"/>
    <w:rsid w:val="009A0833"/>
    <w:rsid w:val="009A083C"/>
    <w:rsid w:val="009A08AB"/>
    <w:rsid w:val="009A08D7"/>
    <w:rsid w:val="009A0B3A"/>
    <w:rsid w:val="009A0BE4"/>
    <w:rsid w:val="009A0CA7"/>
    <w:rsid w:val="009A0DDB"/>
    <w:rsid w:val="009A0EA5"/>
    <w:rsid w:val="009A0F7A"/>
    <w:rsid w:val="009A10E1"/>
    <w:rsid w:val="009A112A"/>
    <w:rsid w:val="009A1304"/>
    <w:rsid w:val="009A1350"/>
    <w:rsid w:val="009A14F9"/>
    <w:rsid w:val="009A16B8"/>
    <w:rsid w:val="009A1A2E"/>
    <w:rsid w:val="009A1B8B"/>
    <w:rsid w:val="009A1DD0"/>
    <w:rsid w:val="009A1F4F"/>
    <w:rsid w:val="009A205E"/>
    <w:rsid w:val="009A2077"/>
    <w:rsid w:val="009A2088"/>
    <w:rsid w:val="009A21F2"/>
    <w:rsid w:val="009A23D9"/>
    <w:rsid w:val="009A2634"/>
    <w:rsid w:val="009A2765"/>
    <w:rsid w:val="009A297C"/>
    <w:rsid w:val="009A298E"/>
    <w:rsid w:val="009A2C7E"/>
    <w:rsid w:val="009A2EB2"/>
    <w:rsid w:val="009A2F4C"/>
    <w:rsid w:val="009A30A9"/>
    <w:rsid w:val="009A324D"/>
    <w:rsid w:val="009A3289"/>
    <w:rsid w:val="009A33D3"/>
    <w:rsid w:val="009A370B"/>
    <w:rsid w:val="009A37E3"/>
    <w:rsid w:val="009A37FA"/>
    <w:rsid w:val="009A3A13"/>
    <w:rsid w:val="009A3DDE"/>
    <w:rsid w:val="009A3E3D"/>
    <w:rsid w:val="009A3FE9"/>
    <w:rsid w:val="009A4100"/>
    <w:rsid w:val="009A42DD"/>
    <w:rsid w:val="009A451A"/>
    <w:rsid w:val="009A46CB"/>
    <w:rsid w:val="009A489D"/>
    <w:rsid w:val="009A4954"/>
    <w:rsid w:val="009A4B50"/>
    <w:rsid w:val="009A4DE3"/>
    <w:rsid w:val="009A4E12"/>
    <w:rsid w:val="009A4E5D"/>
    <w:rsid w:val="009A4F76"/>
    <w:rsid w:val="009A5205"/>
    <w:rsid w:val="009A5206"/>
    <w:rsid w:val="009A536A"/>
    <w:rsid w:val="009A540E"/>
    <w:rsid w:val="009A553E"/>
    <w:rsid w:val="009A555F"/>
    <w:rsid w:val="009A55D5"/>
    <w:rsid w:val="009A55DF"/>
    <w:rsid w:val="009A5618"/>
    <w:rsid w:val="009A5808"/>
    <w:rsid w:val="009A59E3"/>
    <w:rsid w:val="009A5A0E"/>
    <w:rsid w:val="009A5F8F"/>
    <w:rsid w:val="009A6192"/>
    <w:rsid w:val="009A6209"/>
    <w:rsid w:val="009A646C"/>
    <w:rsid w:val="009A649B"/>
    <w:rsid w:val="009A65E6"/>
    <w:rsid w:val="009A6601"/>
    <w:rsid w:val="009A6627"/>
    <w:rsid w:val="009A670D"/>
    <w:rsid w:val="009A678E"/>
    <w:rsid w:val="009A680B"/>
    <w:rsid w:val="009A6C26"/>
    <w:rsid w:val="009A6E3D"/>
    <w:rsid w:val="009A6F85"/>
    <w:rsid w:val="009A7013"/>
    <w:rsid w:val="009A718C"/>
    <w:rsid w:val="009A7229"/>
    <w:rsid w:val="009A7241"/>
    <w:rsid w:val="009A748E"/>
    <w:rsid w:val="009A757C"/>
    <w:rsid w:val="009A76FF"/>
    <w:rsid w:val="009A7701"/>
    <w:rsid w:val="009A78D4"/>
    <w:rsid w:val="009A78ED"/>
    <w:rsid w:val="009A7C13"/>
    <w:rsid w:val="009A7C15"/>
    <w:rsid w:val="009B01D7"/>
    <w:rsid w:val="009B0449"/>
    <w:rsid w:val="009B0547"/>
    <w:rsid w:val="009B0605"/>
    <w:rsid w:val="009B06DD"/>
    <w:rsid w:val="009B0730"/>
    <w:rsid w:val="009B093C"/>
    <w:rsid w:val="009B0A7F"/>
    <w:rsid w:val="009B0ECF"/>
    <w:rsid w:val="009B0FBD"/>
    <w:rsid w:val="009B11AB"/>
    <w:rsid w:val="009B1397"/>
    <w:rsid w:val="009B14B2"/>
    <w:rsid w:val="009B157A"/>
    <w:rsid w:val="009B17C2"/>
    <w:rsid w:val="009B18CF"/>
    <w:rsid w:val="009B1914"/>
    <w:rsid w:val="009B1A15"/>
    <w:rsid w:val="009B1A85"/>
    <w:rsid w:val="009B1A97"/>
    <w:rsid w:val="009B1AE7"/>
    <w:rsid w:val="009B1B8F"/>
    <w:rsid w:val="009B1F06"/>
    <w:rsid w:val="009B1F1A"/>
    <w:rsid w:val="009B1FB9"/>
    <w:rsid w:val="009B22D7"/>
    <w:rsid w:val="009B235C"/>
    <w:rsid w:val="009B240D"/>
    <w:rsid w:val="009B25D0"/>
    <w:rsid w:val="009B26C4"/>
    <w:rsid w:val="009B270A"/>
    <w:rsid w:val="009B2880"/>
    <w:rsid w:val="009B29D8"/>
    <w:rsid w:val="009B2A87"/>
    <w:rsid w:val="009B2A95"/>
    <w:rsid w:val="009B2A9C"/>
    <w:rsid w:val="009B2B83"/>
    <w:rsid w:val="009B2C61"/>
    <w:rsid w:val="009B2D97"/>
    <w:rsid w:val="009B2F99"/>
    <w:rsid w:val="009B2FA2"/>
    <w:rsid w:val="009B311C"/>
    <w:rsid w:val="009B3278"/>
    <w:rsid w:val="009B32CE"/>
    <w:rsid w:val="009B331A"/>
    <w:rsid w:val="009B3321"/>
    <w:rsid w:val="009B3475"/>
    <w:rsid w:val="009B3513"/>
    <w:rsid w:val="009B3540"/>
    <w:rsid w:val="009B3637"/>
    <w:rsid w:val="009B379C"/>
    <w:rsid w:val="009B37C5"/>
    <w:rsid w:val="009B3863"/>
    <w:rsid w:val="009B3B6E"/>
    <w:rsid w:val="009B3D43"/>
    <w:rsid w:val="009B3D54"/>
    <w:rsid w:val="009B3E54"/>
    <w:rsid w:val="009B4089"/>
    <w:rsid w:val="009B43B2"/>
    <w:rsid w:val="009B4415"/>
    <w:rsid w:val="009B44A2"/>
    <w:rsid w:val="009B44AB"/>
    <w:rsid w:val="009B482F"/>
    <w:rsid w:val="009B483E"/>
    <w:rsid w:val="009B48B8"/>
    <w:rsid w:val="009B492B"/>
    <w:rsid w:val="009B496E"/>
    <w:rsid w:val="009B4B81"/>
    <w:rsid w:val="009B4CAA"/>
    <w:rsid w:val="009B4D12"/>
    <w:rsid w:val="009B4D29"/>
    <w:rsid w:val="009B4F85"/>
    <w:rsid w:val="009B4FBA"/>
    <w:rsid w:val="009B50BA"/>
    <w:rsid w:val="009B516D"/>
    <w:rsid w:val="009B51CB"/>
    <w:rsid w:val="009B53AD"/>
    <w:rsid w:val="009B5433"/>
    <w:rsid w:val="009B5940"/>
    <w:rsid w:val="009B59FC"/>
    <w:rsid w:val="009B5A63"/>
    <w:rsid w:val="009B5C69"/>
    <w:rsid w:val="009B6046"/>
    <w:rsid w:val="009B60AB"/>
    <w:rsid w:val="009B6157"/>
    <w:rsid w:val="009B6243"/>
    <w:rsid w:val="009B625F"/>
    <w:rsid w:val="009B6285"/>
    <w:rsid w:val="009B639F"/>
    <w:rsid w:val="009B63E7"/>
    <w:rsid w:val="009B64CA"/>
    <w:rsid w:val="009B667A"/>
    <w:rsid w:val="009B66D0"/>
    <w:rsid w:val="009B66F6"/>
    <w:rsid w:val="009B6882"/>
    <w:rsid w:val="009B6DAB"/>
    <w:rsid w:val="009B6EDC"/>
    <w:rsid w:val="009B6FB1"/>
    <w:rsid w:val="009B6FE9"/>
    <w:rsid w:val="009B706B"/>
    <w:rsid w:val="009B7090"/>
    <w:rsid w:val="009B7112"/>
    <w:rsid w:val="009B734B"/>
    <w:rsid w:val="009B7486"/>
    <w:rsid w:val="009B769D"/>
    <w:rsid w:val="009B778B"/>
    <w:rsid w:val="009B784E"/>
    <w:rsid w:val="009B7DDB"/>
    <w:rsid w:val="009BE26C"/>
    <w:rsid w:val="009C0005"/>
    <w:rsid w:val="009C00D2"/>
    <w:rsid w:val="009C00D9"/>
    <w:rsid w:val="009C016A"/>
    <w:rsid w:val="009C0233"/>
    <w:rsid w:val="009C026E"/>
    <w:rsid w:val="009C02FE"/>
    <w:rsid w:val="009C0304"/>
    <w:rsid w:val="009C0365"/>
    <w:rsid w:val="009C0498"/>
    <w:rsid w:val="009C058E"/>
    <w:rsid w:val="009C0793"/>
    <w:rsid w:val="009C07F7"/>
    <w:rsid w:val="009C0857"/>
    <w:rsid w:val="009C0909"/>
    <w:rsid w:val="009C0989"/>
    <w:rsid w:val="009C0B48"/>
    <w:rsid w:val="009C0E19"/>
    <w:rsid w:val="009C111B"/>
    <w:rsid w:val="009C1135"/>
    <w:rsid w:val="009C11FF"/>
    <w:rsid w:val="009C1451"/>
    <w:rsid w:val="009C14E8"/>
    <w:rsid w:val="009C17F3"/>
    <w:rsid w:val="009C18ED"/>
    <w:rsid w:val="009C1A4A"/>
    <w:rsid w:val="009C1BF0"/>
    <w:rsid w:val="009C1DCD"/>
    <w:rsid w:val="009C1E5A"/>
    <w:rsid w:val="009C202B"/>
    <w:rsid w:val="009C214E"/>
    <w:rsid w:val="009C21EE"/>
    <w:rsid w:val="009C23A4"/>
    <w:rsid w:val="009C251C"/>
    <w:rsid w:val="009C2621"/>
    <w:rsid w:val="009C26A9"/>
    <w:rsid w:val="009C270E"/>
    <w:rsid w:val="009C278B"/>
    <w:rsid w:val="009C27D3"/>
    <w:rsid w:val="009C28A8"/>
    <w:rsid w:val="009C2A55"/>
    <w:rsid w:val="009C2A8C"/>
    <w:rsid w:val="009C2C4D"/>
    <w:rsid w:val="009C31FB"/>
    <w:rsid w:val="009C33A3"/>
    <w:rsid w:val="009C340B"/>
    <w:rsid w:val="009C3529"/>
    <w:rsid w:val="009C3699"/>
    <w:rsid w:val="009C3747"/>
    <w:rsid w:val="009C37FF"/>
    <w:rsid w:val="009C386A"/>
    <w:rsid w:val="009C3AD2"/>
    <w:rsid w:val="009C3DA0"/>
    <w:rsid w:val="009C3E7C"/>
    <w:rsid w:val="009C4312"/>
    <w:rsid w:val="009C4444"/>
    <w:rsid w:val="009C4452"/>
    <w:rsid w:val="009C4474"/>
    <w:rsid w:val="009C45B3"/>
    <w:rsid w:val="009C46AA"/>
    <w:rsid w:val="009C476B"/>
    <w:rsid w:val="009C4885"/>
    <w:rsid w:val="009C4A64"/>
    <w:rsid w:val="009C4B5A"/>
    <w:rsid w:val="009C4C56"/>
    <w:rsid w:val="009C4D8F"/>
    <w:rsid w:val="009C4FA9"/>
    <w:rsid w:val="009C50EF"/>
    <w:rsid w:val="009C53E9"/>
    <w:rsid w:val="009C546E"/>
    <w:rsid w:val="009C54EE"/>
    <w:rsid w:val="009C5554"/>
    <w:rsid w:val="009C585F"/>
    <w:rsid w:val="009C5921"/>
    <w:rsid w:val="009C5B37"/>
    <w:rsid w:val="009C5B57"/>
    <w:rsid w:val="009C601F"/>
    <w:rsid w:val="009C604E"/>
    <w:rsid w:val="009C609F"/>
    <w:rsid w:val="009C6124"/>
    <w:rsid w:val="009C62D9"/>
    <w:rsid w:val="009C65B8"/>
    <w:rsid w:val="009C68C6"/>
    <w:rsid w:val="009C68F2"/>
    <w:rsid w:val="009C692A"/>
    <w:rsid w:val="009C6938"/>
    <w:rsid w:val="009C6B5A"/>
    <w:rsid w:val="009C6B76"/>
    <w:rsid w:val="009C6C7C"/>
    <w:rsid w:val="009C6DD6"/>
    <w:rsid w:val="009C6DFB"/>
    <w:rsid w:val="009C6F6A"/>
    <w:rsid w:val="009C6FC3"/>
    <w:rsid w:val="009C717B"/>
    <w:rsid w:val="009C7204"/>
    <w:rsid w:val="009C73A3"/>
    <w:rsid w:val="009C7483"/>
    <w:rsid w:val="009C7585"/>
    <w:rsid w:val="009C75BA"/>
    <w:rsid w:val="009C76BC"/>
    <w:rsid w:val="009C79FA"/>
    <w:rsid w:val="009C7A61"/>
    <w:rsid w:val="009C7BFA"/>
    <w:rsid w:val="009D01DD"/>
    <w:rsid w:val="009D0294"/>
    <w:rsid w:val="009D02E1"/>
    <w:rsid w:val="009D0352"/>
    <w:rsid w:val="009D0432"/>
    <w:rsid w:val="009D0660"/>
    <w:rsid w:val="009D07D2"/>
    <w:rsid w:val="009D0FEC"/>
    <w:rsid w:val="009D11B3"/>
    <w:rsid w:val="009D11F7"/>
    <w:rsid w:val="009D124D"/>
    <w:rsid w:val="009D1390"/>
    <w:rsid w:val="009D1569"/>
    <w:rsid w:val="009D15CB"/>
    <w:rsid w:val="009D1601"/>
    <w:rsid w:val="009D1ABC"/>
    <w:rsid w:val="009D1AC1"/>
    <w:rsid w:val="009D1D76"/>
    <w:rsid w:val="009D1DA6"/>
    <w:rsid w:val="009D1E5F"/>
    <w:rsid w:val="009D21FE"/>
    <w:rsid w:val="009D246B"/>
    <w:rsid w:val="009D2676"/>
    <w:rsid w:val="009D2717"/>
    <w:rsid w:val="009D286C"/>
    <w:rsid w:val="009D288C"/>
    <w:rsid w:val="009D28A1"/>
    <w:rsid w:val="009D29E5"/>
    <w:rsid w:val="009D2A51"/>
    <w:rsid w:val="009D2B1D"/>
    <w:rsid w:val="009D2BA3"/>
    <w:rsid w:val="009D2F07"/>
    <w:rsid w:val="009D2F31"/>
    <w:rsid w:val="009D329B"/>
    <w:rsid w:val="009D32BE"/>
    <w:rsid w:val="009D339A"/>
    <w:rsid w:val="009D3743"/>
    <w:rsid w:val="009D3777"/>
    <w:rsid w:val="009D37D8"/>
    <w:rsid w:val="009D39F6"/>
    <w:rsid w:val="009D3C29"/>
    <w:rsid w:val="009D3DA6"/>
    <w:rsid w:val="009D3E7F"/>
    <w:rsid w:val="009D3EA8"/>
    <w:rsid w:val="009D3EBA"/>
    <w:rsid w:val="009D40FC"/>
    <w:rsid w:val="009D415D"/>
    <w:rsid w:val="009D42CA"/>
    <w:rsid w:val="009D42CD"/>
    <w:rsid w:val="009D4456"/>
    <w:rsid w:val="009D44B2"/>
    <w:rsid w:val="009D4706"/>
    <w:rsid w:val="009D4709"/>
    <w:rsid w:val="009D487A"/>
    <w:rsid w:val="009D4896"/>
    <w:rsid w:val="009D4CE5"/>
    <w:rsid w:val="009D4DF6"/>
    <w:rsid w:val="009D4E7E"/>
    <w:rsid w:val="009D4F59"/>
    <w:rsid w:val="009D4F7F"/>
    <w:rsid w:val="009D4F9A"/>
    <w:rsid w:val="009D5092"/>
    <w:rsid w:val="009D521C"/>
    <w:rsid w:val="009D55A3"/>
    <w:rsid w:val="009D565E"/>
    <w:rsid w:val="009D57FF"/>
    <w:rsid w:val="009D5A42"/>
    <w:rsid w:val="009D5A98"/>
    <w:rsid w:val="009D5BB3"/>
    <w:rsid w:val="009D5D01"/>
    <w:rsid w:val="009D5F21"/>
    <w:rsid w:val="009D600F"/>
    <w:rsid w:val="009D6048"/>
    <w:rsid w:val="009D627F"/>
    <w:rsid w:val="009D6340"/>
    <w:rsid w:val="009D63B2"/>
    <w:rsid w:val="009D63DD"/>
    <w:rsid w:val="009D657A"/>
    <w:rsid w:val="009D6715"/>
    <w:rsid w:val="009D6ADA"/>
    <w:rsid w:val="009D6AFE"/>
    <w:rsid w:val="009D6B01"/>
    <w:rsid w:val="009D6BE9"/>
    <w:rsid w:val="009D6C14"/>
    <w:rsid w:val="009D6FC1"/>
    <w:rsid w:val="009D7096"/>
    <w:rsid w:val="009D7103"/>
    <w:rsid w:val="009D71CB"/>
    <w:rsid w:val="009D754A"/>
    <w:rsid w:val="009D7596"/>
    <w:rsid w:val="009D75C3"/>
    <w:rsid w:val="009D767A"/>
    <w:rsid w:val="009D767E"/>
    <w:rsid w:val="009D7716"/>
    <w:rsid w:val="009D7AB9"/>
    <w:rsid w:val="009D7DEF"/>
    <w:rsid w:val="009D7EF9"/>
    <w:rsid w:val="009D7F3A"/>
    <w:rsid w:val="009E0061"/>
    <w:rsid w:val="009E0224"/>
    <w:rsid w:val="009E0377"/>
    <w:rsid w:val="009E0460"/>
    <w:rsid w:val="009E05FA"/>
    <w:rsid w:val="009E0621"/>
    <w:rsid w:val="009E0744"/>
    <w:rsid w:val="009E0909"/>
    <w:rsid w:val="009E0AB9"/>
    <w:rsid w:val="009E0B25"/>
    <w:rsid w:val="009E0B9F"/>
    <w:rsid w:val="009E0BD1"/>
    <w:rsid w:val="009E0D29"/>
    <w:rsid w:val="009E0FBB"/>
    <w:rsid w:val="009E10D8"/>
    <w:rsid w:val="009E1198"/>
    <w:rsid w:val="009E11EE"/>
    <w:rsid w:val="009E1234"/>
    <w:rsid w:val="009E1314"/>
    <w:rsid w:val="009E131F"/>
    <w:rsid w:val="009E1659"/>
    <w:rsid w:val="009E1727"/>
    <w:rsid w:val="009E189D"/>
    <w:rsid w:val="009E18BE"/>
    <w:rsid w:val="009E1909"/>
    <w:rsid w:val="009E1A77"/>
    <w:rsid w:val="009E1A8E"/>
    <w:rsid w:val="009E1BA7"/>
    <w:rsid w:val="009E1D90"/>
    <w:rsid w:val="009E1FF6"/>
    <w:rsid w:val="009E1FF7"/>
    <w:rsid w:val="009E2031"/>
    <w:rsid w:val="009E20D3"/>
    <w:rsid w:val="009E2224"/>
    <w:rsid w:val="009E2227"/>
    <w:rsid w:val="009E2268"/>
    <w:rsid w:val="009E238C"/>
    <w:rsid w:val="009E2397"/>
    <w:rsid w:val="009E23C7"/>
    <w:rsid w:val="009E248A"/>
    <w:rsid w:val="009E252B"/>
    <w:rsid w:val="009E2549"/>
    <w:rsid w:val="009E25A1"/>
    <w:rsid w:val="009E2875"/>
    <w:rsid w:val="009E2B06"/>
    <w:rsid w:val="009E2B81"/>
    <w:rsid w:val="009E2BA6"/>
    <w:rsid w:val="009E2C33"/>
    <w:rsid w:val="009E2D0B"/>
    <w:rsid w:val="009E2EA2"/>
    <w:rsid w:val="009E3011"/>
    <w:rsid w:val="009E308A"/>
    <w:rsid w:val="009E30ED"/>
    <w:rsid w:val="009E339E"/>
    <w:rsid w:val="009E33F2"/>
    <w:rsid w:val="009E3419"/>
    <w:rsid w:val="009E3506"/>
    <w:rsid w:val="009E3573"/>
    <w:rsid w:val="009E3895"/>
    <w:rsid w:val="009E39F5"/>
    <w:rsid w:val="009E3AA6"/>
    <w:rsid w:val="009E3AE0"/>
    <w:rsid w:val="009E3BF9"/>
    <w:rsid w:val="009E3CA2"/>
    <w:rsid w:val="009E3F52"/>
    <w:rsid w:val="009E44D9"/>
    <w:rsid w:val="009E4596"/>
    <w:rsid w:val="009E4719"/>
    <w:rsid w:val="009E4788"/>
    <w:rsid w:val="009E4940"/>
    <w:rsid w:val="009E4A44"/>
    <w:rsid w:val="009E4C16"/>
    <w:rsid w:val="009E4CCA"/>
    <w:rsid w:val="009E4D41"/>
    <w:rsid w:val="009E4DC6"/>
    <w:rsid w:val="009E4DD8"/>
    <w:rsid w:val="009E4E3C"/>
    <w:rsid w:val="009E4F0D"/>
    <w:rsid w:val="009E50DC"/>
    <w:rsid w:val="009E5161"/>
    <w:rsid w:val="009E51E9"/>
    <w:rsid w:val="009E53D3"/>
    <w:rsid w:val="009E545D"/>
    <w:rsid w:val="009E560A"/>
    <w:rsid w:val="009E56C2"/>
    <w:rsid w:val="009E56CF"/>
    <w:rsid w:val="009E56E7"/>
    <w:rsid w:val="009E5767"/>
    <w:rsid w:val="009E57E4"/>
    <w:rsid w:val="009E57E6"/>
    <w:rsid w:val="009E5897"/>
    <w:rsid w:val="009E589E"/>
    <w:rsid w:val="009E593E"/>
    <w:rsid w:val="009E5C79"/>
    <w:rsid w:val="009E5D16"/>
    <w:rsid w:val="009E5DD0"/>
    <w:rsid w:val="009E5DFA"/>
    <w:rsid w:val="009E5EE9"/>
    <w:rsid w:val="009E601B"/>
    <w:rsid w:val="009E6360"/>
    <w:rsid w:val="009E6553"/>
    <w:rsid w:val="009E6594"/>
    <w:rsid w:val="009E6630"/>
    <w:rsid w:val="009E6CD5"/>
    <w:rsid w:val="009E6DB8"/>
    <w:rsid w:val="009E6F06"/>
    <w:rsid w:val="009E6F1F"/>
    <w:rsid w:val="009E6F84"/>
    <w:rsid w:val="009E71AB"/>
    <w:rsid w:val="009E7348"/>
    <w:rsid w:val="009E736D"/>
    <w:rsid w:val="009E744E"/>
    <w:rsid w:val="009E7470"/>
    <w:rsid w:val="009E7472"/>
    <w:rsid w:val="009E74DC"/>
    <w:rsid w:val="009E74FF"/>
    <w:rsid w:val="009E7598"/>
    <w:rsid w:val="009E7609"/>
    <w:rsid w:val="009E767B"/>
    <w:rsid w:val="009E7680"/>
    <w:rsid w:val="009E76BB"/>
    <w:rsid w:val="009E79DD"/>
    <w:rsid w:val="009E7AB5"/>
    <w:rsid w:val="009E7BA5"/>
    <w:rsid w:val="009E7BC4"/>
    <w:rsid w:val="009E7E20"/>
    <w:rsid w:val="009E7EB6"/>
    <w:rsid w:val="009E7F07"/>
    <w:rsid w:val="009E7FA4"/>
    <w:rsid w:val="009F0004"/>
    <w:rsid w:val="009F004A"/>
    <w:rsid w:val="009F00BA"/>
    <w:rsid w:val="009F041F"/>
    <w:rsid w:val="009F04F8"/>
    <w:rsid w:val="009F0507"/>
    <w:rsid w:val="009F05A9"/>
    <w:rsid w:val="009F05C2"/>
    <w:rsid w:val="009F09EA"/>
    <w:rsid w:val="009F0B07"/>
    <w:rsid w:val="009F0B24"/>
    <w:rsid w:val="009F0C17"/>
    <w:rsid w:val="009F0E46"/>
    <w:rsid w:val="009F0EED"/>
    <w:rsid w:val="009F1054"/>
    <w:rsid w:val="009F1700"/>
    <w:rsid w:val="009F1B44"/>
    <w:rsid w:val="009F1B59"/>
    <w:rsid w:val="009F1C78"/>
    <w:rsid w:val="009F1C92"/>
    <w:rsid w:val="009F1D15"/>
    <w:rsid w:val="009F1E0F"/>
    <w:rsid w:val="009F1FB2"/>
    <w:rsid w:val="009F2048"/>
    <w:rsid w:val="009F20A3"/>
    <w:rsid w:val="009F23E8"/>
    <w:rsid w:val="009F2537"/>
    <w:rsid w:val="009F28C7"/>
    <w:rsid w:val="009F2955"/>
    <w:rsid w:val="009F2B15"/>
    <w:rsid w:val="009F2B63"/>
    <w:rsid w:val="009F2D81"/>
    <w:rsid w:val="009F2DC6"/>
    <w:rsid w:val="009F324B"/>
    <w:rsid w:val="009F37B2"/>
    <w:rsid w:val="009F39B1"/>
    <w:rsid w:val="009F3A8D"/>
    <w:rsid w:val="009F3AF7"/>
    <w:rsid w:val="009F3E1E"/>
    <w:rsid w:val="009F3ECD"/>
    <w:rsid w:val="009F3FD2"/>
    <w:rsid w:val="009F413B"/>
    <w:rsid w:val="009F421A"/>
    <w:rsid w:val="009F421F"/>
    <w:rsid w:val="009F42AD"/>
    <w:rsid w:val="009F43D2"/>
    <w:rsid w:val="009F4463"/>
    <w:rsid w:val="009F4969"/>
    <w:rsid w:val="009F49AB"/>
    <w:rsid w:val="009F4A0B"/>
    <w:rsid w:val="009F4ABE"/>
    <w:rsid w:val="009F4C4C"/>
    <w:rsid w:val="009F4D97"/>
    <w:rsid w:val="009F4F87"/>
    <w:rsid w:val="009F5025"/>
    <w:rsid w:val="009F509A"/>
    <w:rsid w:val="009F5402"/>
    <w:rsid w:val="009F54A6"/>
    <w:rsid w:val="009F5949"/>
    <w:rsid w:val="009F5A96"/>
    <w:rsid w:val="009F5AE1"/>
    <w:rsid w:val="009F5C82"/>
    <w:rsid w:val="009F5C97"/>
    <w:rsid w:val="009F5DC4"/>
    <w:rsid w:val="009F5E66"/>
    <w:rsid w:val="009F6066"/>
    <w:rsid w:val="009F606F"/>
    <w:rsid w:val="009F61EC"/>
    <w:rsid w:val="009F620C"/>
    <w:rsid w:val="009F62A1"/>
    <w:rsid w:val="009F6423"/>
    <w:rsid w:val="009F6446"/>
    <w:rsid w:val="009F661A"/>
    <w:rsid w:val="009F69CB"/>
    <w:rsid w:val="009F6B7B"/>
    <w:rsid w:val="009F6BBD"/>
    <w:rsid w:val="009F6C62"/>
    <w:rsid w:val="009F70BA"/>
    <w:rsid w:val="009F7127"/>
    <w:rsid w:val="009F732B"/>
    <w:rsid w:val="009F73B6"/>
    <w:rsid w:val="009F73BC"/>
    <w:rsid w:val="009F79C4"/>
    <w:rsid w:val="009F7A95"/>
    <w:rsid w:val="009F7B82"/>
    <w:rsid w:val="009F7E65"/>
    <w:rsid w:val="009F7F58"/>
    <w:rsid w:val="00A00129"/>
    <w:rsid w:val="00A002B0"/>
    <w:rsid w:val="00A004A2"/>
    <w:rsid w:val="00A004EC"/>
    <w:rsid w:val="00A00677"/>
    <w:rsid w:val="00A00760"/>
    <w:rsid w:val="00A007D6"/>
    <w:rsid w:val="00A00815"/>
    <w:rsid w:val="00A00880"/>
    <w:rsid w:val="00A00925"/>
    <w:rsid w:val="00A00A07"/>
    <w:rsid w:val="00A00ABD"/>
    <w:rsid w:val="00A00B34"/>
    <w:rsid w:val="00A00B93"/>
    <w:rsid w:val="00A00D14"/>
    <w:rsid w:val="00A00E48"/>
    <w:rsid w:val="00A00F8F"/>
    <w:rsid w:val="00A00FC6"/>
    <w:rsid w:val="00A010A7"/>
    <w:rsid w:val="00A01143"/>
    <w:rsid w:val="00A0114F"/>
    <w:rsid w:val="00A01363"/>
    <w:rsid w:val="00A01715"/>
    <w:rsid w:val="00A018D8"/>
    <w:rsid w:val="00A01AD4"/>
    <w:rsid w:val="00A01AE6"/>
    <w:rsid w:val="00A01E4B"/>
    <w:rsid w:val="00A01F58"/>
    <w:rsid w:val="00A01F9F"/>
    <w:rsid w:val="00A02097"/>
    <w:rsid w:val="00A02137"/>
    <w:rsid w:val="00A02146"/>
    <w:rsid w:val="00A022FE"/>
    <w:rsid w:val="00A02713"/>
    <w:rsid w:val="00A0275E"/>
    <w:rsid w:val="00A02879"/>
    <w:rsid w:val="00A028AE"/>
    <w:rsid w:val="00A02BB0"/>
    <w:rsid w:val="00A02D89"/>
    <w:rsid w:val="00A03059"/>
    <w:rsid w:val="00A030E9"/>
    <w:rsid w:val="00A031DC"/>
    <w:rsid w:val="00A033F4"/>
    <w:rsid w:val="00A03484"/>
    <w:rsid w:val="00A034BD"/>
    <w:rsid w:val="00A037E2"/>
    <w:rsid w:val="00A03BE8"/>
    <w:rsid w:val="00A03E6D"/>
    <w:rsid w:val="00A04190"/>
    <w:rsid w:val="00A04489"/>
    <w:rsid w:val="00A044B6"/>
    <w:rsid w:val="00A047C3"/>
    <w:rsid w:val="00A04A73"/>
    <w:rsid w:val="00A04B45"/>
    <w:rsid w:val="00A04DFD"/>
    <w:rsid w:val="00A04EE7"/>
    <w:rsid w:val="00A0509D"/>
    <w:rsid w:val="00A0524A"/>
    <w:rsid w:val="00A0538F"/>
    <w:rsid w:val="00A053C7"/>
    <w:rsid w:val="00A057FF"/>
    <w:rsid w:val="00A058A8"/>
    <w:rsid w:val="00A058AF"/>
    <w:rsid w:val="00A059A5"/>
    <w:rsid w:val="00A05AA4"/>
    <w:rsid w:val="00A05B0B"/>
    <w:rsid w:val="00A05C98"/>
    <w:rsid w:val="00A05CB2"/>
    <w:rsid w:val="00A05D65"/>
    <w:rsid w:val="00A05D8F"/>
    <w:rsid w:val="00A05E81"/>
    <w:rsid w:val="00A05EC5"/>
    <w:rsid w:val="00A05ECE"/>
    <w:rsid w:val="00A05ED4"/>
    <w:rsid w:val="00A05FEF"/>
    <w:rsid w:val="00A06077"/>
    <w:rsid w:val="00A06139"/>
    <w:rsid w:val="00A0621B"/>
    <w:rsid w:val="00A06468"/>
    <w:rsid w:val="00A065B6"/>
    <w:rsid w:val="00A06637"/>
    <w:rsid w:val="00A06799"/>
    <w:rsid w:val="00A06877"/>
    <w:rsid w:val="00A06882"/>
    <w:rsid w:val="00A0688C"/>
    <w:rsid w:val="00A06924"/>
    <w:rsid w:val="00A069ED"/>
    <w:rsid w:val="00A06A29"/>
    <w:rsid w:val="00A06A3B"/>
    <w:rsid w:val="00A06F9E"/>
    <w:rsid w:val="00A06FE5"/>
    <w:rsid w:val="00A07113"/>
    <w:rsid w:val="00A07144"/>
    <w:rsid w:val="00A0714B"/>
    <w:rsid w:val="00A07571"/>
    <w:rsid w:val="00A078CA"/>
    <w:rsid w:val="00A07983"/>
    <w:rsid w:val="00A07B7E"/>
    <w:rsid w:val="00A07CED"/>
    <w:rsid w:val="00A07EAC"/>
    <w:rsid w:val="00A07EDD"/>
    <w:rsid w:val="00A1001B"/>
    <w:rsid w:val="00A1026B"/>
    <w:rsid w:val="00A102F5"/>
    <w:rsid w:val="00A10499"/>
    <w:rsid w:val="00A105E4"/>
    <w:rsid w:val="00A10A24"/>
    <w:rsid w:val="00A10B2F"/>
    <w:rsid w:val="00A10D31"/>
    <w:rsid w:val="00A10D36"/>
    <w:rsid w:val="00A10F22"/>
    <w:rsid w:val="00A10F6D"/>
    <w:rsid w:val="00A10F84"/>
    <w:rsid w:val="00A10FF2"/>
    <w:rsid w:val="00A11030"/>
    <w:rsid w:val="00A111AF"/>
    <w:rsid w:val="00A11231"/>
    <w:rsid w:val="00A11613"/>
    <w:rsid w:val="00A116EA"/>
    <w:rsid w:val="00A11739"/>
    <w:rsid w:val="00A119D1"/>
    <w:rsid w:val="00A11AB8"/>
    <w:rsid w:val="00A11AEB"/>
    <w:rsid w:val="00A11D6B"/>
    <w:rsid w:val="00A11E90"/>
    <w:rsid w:val="00A120CD"/>
    <w:rsid w:val="00A12100"/>
    <w:rsid w:val="00A121BA"/>
    <w:rsid w:val="00A12858"/>
    <w:rsid w:val="00A12894"/>
    <w:rsid w:val="00A1299A"/>
    <w:rsid w:val="00A12C06"/>
    <w:rsid w:val="00A12C12"/>
    <w:rsid w:val="00A12D90"/>
    <w:rsid w:val="00A12D9E"/>
    <w:rsid w:val="00A12E40"/>
    <w:rsid w:val="00A12E78"/>
    <w:rsid w:val="00A12F53"/>
    <w:rsid w:val="00A12F9F"/>
    <w:rsid w:val="00A1311C"/>
    <w:rsid w:val="00A13312"/>
    <w:rsid w:val="00A135C0"/>
    <w:rsid w:val="00A136A6"/>
    <w:rsid w:val="00A13767"/>
    <w:rsid w:val="00A13870"/>
    <w:rsid w:val="00A138EE"/>
    <w:rsid w:val="00A139AB"/>
    <w:rsid w:val="00A139F1"/>
    <w:rsid w:val="00A13BA1"/>
    <w:rsid w:val="00A13C85"/>
    <w:rsid w:val="00A13D1C"/>
    <w:rsid w:val="00A14204"/>
    <w:rsid w:val="00A142F2"/>
    <w:rsid w:val="00A1435D"/>
    <w:rsid w:val="00A14577"/>
    <w:rsid w:val="00A146C1"/>
    <w:rsid w:val="00A1473C"/>
    <w:rsid w:val="00A14A41"/>
    <w:rsid w:val="00A14A62"/>
    <w:rsid w:val="00A14B3C"/>
    <w:rsid w:val="00A14BD4"/>
    <w:rsid w:val="00A14C09"/>
    <w:rsid w:val="00A14D4B"/>
    <w:rsid w:val="00A14E9B"/>
    <w:rsid w:val="00A14FC5"/>
    <w:rsid w:val="00A14FDA"/>
    <w:rsid w:val="00A153C5"/>
    <w:rsid w:val="00A156A6"/>
    <w:rsid w:val="00A158EC"/>
    <w:rsid w:val="00A15960"/>
    <w:rsid w:val="00A15FDA"/>
    <w:rsid w:val="00A161C3"/>
    <w:rsid w:val="00A1625D"/>
    <w:rsid w:val="00A162B1"/>
    <w:rsid w:val="00A16392"/>
    <w:rsid w:val="00A163FA"/>
    <w:rsid w:val="00A1672A"/>
    <w:rsid w:val="00A167F3"/>
    <w:rsid w:val="00A168D4"/>
    <w:rsid w:val="00A16A1B"/>
    <w:rsid w:val="00A16B5A"/>
    <w:rsid w:val="00A16CB3"/>
    <w:rsid w:val="00A16CD8"/>
    <w:rsid w:val="00A16D7D"/>
    <w:rsid w:val="00A1716C"/>
    <w:rsid w:val="00A17405"/>
    <w:rsid w:val="00A1759E"/>
    <w:rsid w:val="00A175BC"/>
    <w:rsid w:val="00A176F8"/>
    <w:rsid w:val="00A17A6B"/>
    <w:rsid w:val="00A17AB3"/>
    <w:rsid w:val="00A17B05"/>
    <w:rsid w:val="00A17C95"/>
    <w:rsid w:val="00A17CB3"/>
    <w:rsid w:val="00A200DC"/>
    <w:rsid w:val="00A2027C"/>
    <w:rsid w:val="00A202C7"/>
    <w:rsid w:val="00A202E1"/>
    <w:rsid w:val="00A203E0"/>
    <w:rsid w:val="00A2049E"/>
    <w:rsid w:val="00A20547"/>
    <w:rsid w:val="00A20756"/>
    <w:rsid w:val="00A20877"/>
    <w:rsid w:val="00A209C6"/>
    <w:rsid w:val="00A20CF4"/>
    <w:rsid w:val="00A20D7A"/>
    <w:rsid w:val="00A20D98"/>
    <w:rsid w:val="00A20EF6"/>
    <w:rsid w:val="00A20FD2"/>
    <w:rsid w:val="00A210BB"/>
    <w:rsid w:val="00A21158"/>
    <w:rsid w:val="00A213A8"/>
    <w:rsid w:val="00A213F3"/>
    <w:rsid w:val="00A2140F"/>
    <w:rsid w:val="00A21482"/>
    <w:rsid w:val="00A21528"/>
    <w:rsid w:val="00A21588"/>
    <w:rsid w:val="00A215CB"/>
    <w:rsid w:val="00A216AC"/>
    <w:rsid w:val="00A21706"/>
    <w:rsid w:val="00A21786"/>
    <w:rsid w:val="00A218BB"/>
    <w:rsid w:val="00A21F56"/>
    <w:rsid w:val="00A21FDA"/>
    <w:rsid w:val="00A22138"/>
    <w:rsid w:val="00A2223B"/>
    <w:rsid w:val="00A222CC"/>
    <w:rsid w:val="00A222ED"/>
    <w:rsid w:val="00A222FF"/>
    <w:rsid w:val="00A22338"/>
    <w:rsid w:val="00A22436"/>
    <w:rsid w:val="00A224B4"/>
    <w:rsid w:val="00A224C0"/>
    <w:rsid w:val="00A2261C"/>
    <w:rsid w:val="00A2267B"/>
    <w:rsid w:val="00A2276C"/>
    <w:rsid w:val="00A227F7"/>
    <w:rsid w:val="00A228C8"/>
    <w:rsid w:val="00A22A52"/>
    <w:rsid w:val="00A22B4F"/>
    <w:rsid w:val="00A22B60"/>
    <w:rsid w:val="00A22B80"/>
    <w:rsid w:val="00A22C08"/>
    <w:rsid w:val="00A22D22"/>
    <w:rsid w:val="00A22D8E"/>
    <w:rsid w:val="00A2309B"/>
    <w:rsid w:val="00A2309D"/>
    <w:rsid w:val="00A23154"/>
    <w:rsid w:val="00A2319F"/>
    <w:rsid w:val="00A23493"/>
    <w:rsid w:val="00A2353F"/>
    <w:rsid w:val="00A2377B"/>
    <w:rsid w:val="00A237D4"/>
    <w:rsid w:val="00A237D9"/>
    <w:rsid w:val="00A239EF"/>
    <w:rsid w:val="00A23A5B"/>
    <w:rsid w:val="00A23CEC"/>
    <w:rsid w:val="00A23D36"/>
    <w:rsid w:val="00A23ECC"/>
    <w:rsid w:val="00A23EE8"/>
    <w:rsid w:val="00A23FD8"/>
    <w:rsid w:val="00A2407C"/>
    <w:rsid w:val="00A24104"/>
    <w:rsid w:val="00A24121"/>
    <w:rsid w:val="00A2433D"/>
    <w:rsid w:val="00A243B2"/>
    <w:rsid w:val="00A24503"/>
    <w:rsid w:val="00A246B1"/>
    <w:rsid w:val="00A247E9"/>
    <w:rsid w:val="00A24987"/>
    <w:rsid w:val="00A24A59"/>
    <w:rsid w:val="00A24BA0"/>
    <w:rsid w:val="00A24C13"/>
    <w:rsid w:val="00A24D32"/>
    <w:rsid w:val="00A2502B"/>
    <w:rsid w:val="00A250C9"/>
    <w:rsid w:val="00A25341"/>
    <w:rsid w:val="00A2534F"/>
    <w:rsid w:val="00A255FD"/>
    <w:rsid w:val="00A25616"/>
    <w:rsid w:val="00A2568B"/>
    <w:rsid w:val="00A25696"/>
    <w:rsid w:val="00A257BE"/>
    <w:rsid w:val="00A2590F"/>
    <w:rsid w:val="00A25BC7"/>
    <w:rsid w:val="00A25EEC"/>
    <w:rsid w:val="00A2607F"/>
    <w:rsid w:val="00A263F5"/>
    <w:rsid w:val="00A2644F"/>
    <w:rsid w:val="00A264F0"/>
    <w:rsid w:val="00A26585"/>
    <w:rsid w:val="00A265DC"/>
    <w:rsid w:val="00A265E5"/>
    <w:rsid w:val="00A26860"/>
    <w:rsid w:val="00A26A01"/>
    <w:rsid w:val="00A26AFB"/>
    <w:rsid w:val="00A26B4B"/>
    <w:rsid w:val="00A26C43"/>
    <w:rsid w:val="00A26CFF"/>
    <w:rsid w:val="00A27277"/>
    <w:rsid w:val="00A272A7"/>
    <w:rsid w:val="00A272B4"/>
    <w:rsid w:val="00A272CB"/>
    <w:rsid w:val="00A27396"/>
    <w:rsid w:val="00A27528"/>
    <w:rsid w:val="00A2771A"/>
    <w:rsid w:val="00A2786F"/>
    <w:rsid w:val="00A278C4"/>
    <w:rsid w:val="00A2796C"/>
    <w:rsid w:val="00A279CC"/>
    <w:rsid w:val="00A27AD6"/>
    <w:rsid w:val="00A27E8C"/>
    <w:rsid w:val="00A27ECF"/>
    <w:rsid w:val="00A27EF0"/>
    <w:rsid w:val="00A30443"/>
    <w:rsid w:val="00A30A1B"/>
    <w:rsid w:val="00A30BBC"/>
    <w:rsid w:val="00A30C5B"/>
    <w:rsid w:val="00A30CA2"/>
    <w:rsid w:val="00A30D32"/>
    <w:rsid w:val="00A30D46"/>
    <w:rsid w:val="00A30EE8"/>
    <w:rsid w:val="00A30FA1"/>
    <w:rsid w:val="00A31095"/>
    <w:rsid w:val="00A31101"/>
    <w:rsid w:val="00A311C0"/>
    <w:rsid w:val="00A311E8"/>
    <w:rsid w:val="00A31220"/>
    <w:rsid w:val="00A31222"/>
    <w:rsid w:val="00A314DE"/>
    <w:rsid w:val="00A315F0"/>
    <w:rsid w:val="00A316BD"/>
    <w:rsid w:val="00A316DC"/>
    <w:rsid w:val="00A31942"/>
    <w:rsid w:val="00A319E6"/>
    <w:rsid w:val="00A31B6C"/>
    <w:rsid w:val="00A31CBC"/>
    <w:rsid w:val="00A31D9D"/>
    <w:rsid w:val="00A31F74"/>
    <w:rsid w:val="00A321B1"/>
    <w:rsid w:val="00A32413"/>
    <w:rsid w:val="00A32440"/>
    <w:rsid w:val="00A32493"/>
    <w:rsid w:val="00A324D3"/>
    <w:rsid w:val="00A324E9"/>
    <w:rsid w:val="00A3269C"/>
    <w:rsid w:val="00A32991"/>
    <w:rsid w:val="00A32A1D"/>
    <w:rsid w:val="00A32C09"/>
    <w:rsid w:val="00A32CC6"/>
    <w:rsid w:val="00A32E4D"/>
    <w:rsid w:val="00A331E9"/>
    <w:rsid w:val="00A332F4"/>
    <w:rsid w:val="00A333A7"/>
    <w:rsid w:val="00A33520"/>
    <w:rsid w:val="00A33635"/>
    <w:rsid w:val="00A33705"/>
    <w:rsid w:val="00A337AC"/>
    <w:rsid w:val="00A338A0"/>
    <w:rsid w:val="00A339F2"/>
    <w:rsid w:val="00A33A41"/>
    <w:rsid w:val="00A33ACA"/>
    <w:rsid w:val="00A33AE7"/>
    <w:rsid w:val="00A33CF6"/>
    <w:rsid w:val="00A33D7E"/>
    <w:rsid w:val="00A33FB7"/>
    <w:rsid w:val="00A33FF1"/>
    <w:rsid w:val="00A34051"/>
    <w:rsid w:val="00A34238"/>
    <w:rsid w:val="00A342B6"/>
    <w:rsid w:val="00A342FD"/>
    <w:rsid w:val="00A34336"/>
    <w:rsid w:val="00A344EF"/>
    <w:rsid w:val="00A345BD"/>
    <w:rsid w:val="00A345CB"/>
    <w:rsid w:val="00A345EF"/>
    <w:rsid w:val="00A34667"/>
    <w:rsid w:val="00A346BC"/>
    <w:rsid w:val="00A3472B"/>
    <w:rsid w:val="00A347C6"/>
    <w:rsid w:val="00A3483F"/>
    <w:rsid w:val="00A34845"/>
    <w:rsid w:val="00A348C2"/>
    <w:rsid w:val="00A349D5"/>
    <w:rsid w:val="00A34AB4"/>
    <w:rsid w:val="00A34B0D"/>
    <w:rsid w:val="00A34B28"/>
    <w:rsid w:val="00A34F72"/>
    <w:rsid w:val="00A34FA7"/>
    <w:rsid w:val="00A35186"/>
    <w:rsid w:val="00A351D2"/>
    <w:rsid w:val="00A35275"/>
    <w:rsid w:val="00A352FF"/>
    <w:rsid w:val="00A354A9"/>
    <w:rsid w:val="00A354E9"/>
    <w:rsid w:val="00A35583"/>
    <w:rsid w:val="00A35631"/>
    <w:rsid w:val="00A35736"/>
    <w:rsid w:val="00A35B4A"/>
    <w:rsid w:val="00A35D0A"/>
    <w:rsid w:val="00A35D55"/>
    <w:rsid w:val="00A35DA5"/>
    <w:rsid w:val="00A35F99"/>
    <w:rsid w:val="00A3606E"/>
    <w:rsid w:val="00A3661E"/>
    <w:rsid w:val="00A3662E"/>
    <w:rsid w:val="00A368AC"/>
    <w:rsid w:val="00A36A5A"/>
    <w:rsid w:val="00A36C5E"/>
    <w:rsid w:val="00A36DC7"/>
    <w:rsid w:val="00A36E6E"/>
    <w:rsid w:val="00A36ED5"/>
    <w:rsid w:val="00A36F4D"/>
    <w:rsid w:val="00A36F7D"/>
    <w:rsid w:val="00A3709C"/>
    <w:rsid w:val="00A370A9"/>
    <w:rsid w:val="00A37355"/>
    <w:rsid w:val="00A373B1"/>
    <w:rsid w:val="00A37418"/>
    <w:rsid w:val="00A3767F"/>
    <w:rsid w:val="00A376F1"/>
    <w:rsid w:val="00A3772E"/>
    <w:rsid w:val="00A37B1A"/>
    <w:rsid w:val="00A37CF7"/>
    <w:rsid w:val="00A37EC8"/>
    <w:rsid w:val="00A401C5"/>
    <w:rsid w:val="00A403E0"/>
    <w:rsid w:val="00A404B4"/>
    <w:rsid w:val="00A405FF"/>
    <w:rsid w:val="00A40704"/>
    <w:rsid w:val="00A40806"/>
    <w:rsid w:val="00A40841"/>
    <w:rsid w:val="00A408F4"/>
    <w:rsid w:val="00A40A09"/>
    <w:rsid w:val="00A40AE9"/>
    <w:rsid w:val="00A40C40"/>
    <w:rsid w:val="00A40D30"/>
    <w:rsid w:val="00A40F25"/>
    <w:rsid w:val="00A40FA0"/>
    <w:rsid w:val="00A40FC8"/>
    <w:rsid w:val="00A4106D"/>
    <w:rsid w:val="00A410D3"/>
    <w:rsid w:val="00A410DB"/>
    <w:rsid w:val="00A41222"/>
    <w:rsid w:val="00A4125A"/>
    <w:rsid w:val="00A41300"/>
    <w:rsid w:val="00A41381"/>
    <w:rsid w:val="00A41439"/>
    <w:rsid w:val="00A41817"/>
    <w:rsid w:val="00A41920"/>
    <w:rsid w:val="00A41995"/>
    <w:rsid w:val="00A41A56"/>
    <w:rsid w:val="00A41A82"/>
    <w:rsid w:val="00A41DDA"/>
    <w:rsid w:val="00A41EE9"/>
    <w:rsid w:val="00A4217E"/>
    <w:rsid w:val="00A4242B"/>
    <w:rsid w:val="00A42473"/>
    <w:rsid w:val="00A42A00"/>
    <w:rsid w:val="00A42A0F"/>
    <w:rsid w:val="00A42A19"/>
    <w:rsid w:val="00A42B29"/>
    <w:rsid w:val="00A42BF4"/>
    <w:rsid w:val="00A42CEF"/>
    <w:rsid w:val="00A42F38"/>
    <w:rsid w:val="00A4305D"/>
    <w:rsid w:val="00A432D9"/>
    <w:rsid w:val="00A43331"/>
    <w:rsid w:val="00A435AE"/>
    <w:rsid w:val="00A4385B"/>
    <w:rsid w:val="00A4389F"/>
    <w:rsid w:val="00A43963"/>
    <w:rsid w:val="00A43B0F"/>
    <w:rsid w:val="00A43F07"/>
    <w:rsid w:val="00A43FD9"/>
    <w:rsid w:val="00A44342"/>
    <w:rsid w:val="00A4468D"/>
    <w:rsid w:val="00A44751"/>
    <w:rsid w:val="00A447A7"/>
    <w:rsid w:val="00A4489F"/>
    <w:rsid w:val="00A44936"/>
    <w:rsid w:val="00A4495D"/>
    <w:rsid w:val="00A44965"/>
    <w:rsid w:val="00A44DC1"/>
    <w:rsid w:val="00A44EEA"/>
    <w:rsid w:val="00A45182"/>
    <w:rsid w:val="00A451A2"/>
    <w:rsid w:val="00A45227"/>
    <w:rsid w:val="00A4546E"/>
    <w:rsid w:val="00A45497"/>
    <w:rsid w:val="00A45678"/>
    <w:rsid w:val="00A4569E"/>
    <w:rsid w:val="00A456A9"/>
    <w:rsid w:val="00A45760"/>
    <w:rsid w:val="00A457D1"/>
    <w:rsid w:val="00A457DE"/>
    <w:rsid w:val="00A459C7"/>
    <w:rsid w:val="00A45A2C"/>
    <w:rsid w:val="00A45B61"/>
    <w:rsid w:val="00A45CC3"/>
    <w:rsid w:val="00A45DE2"/>
    <w:rsid w:val="00A45FED"/>
    <w:rsid w:val="00A462BE"/>
    <w:rsid w:val="00A466E8"/>
    <w:rsid w:val="00A4674C"/>
    <w:rsid w:val="00A468A4"/>
    <w:rsid w:val="00A46B72"/>
    <w:rsid w:val="00A46BAC"/>
    <w:rsid w:val="00A46E85"/>
    <w:rsid w:val="00A46F6D"/>
    <w:rsid w:val="00A46FA8"/>
    <w:rsid w:val="00A46FD6"/>
    <w:rsid w:val="00A46FFA"/>
    <w:rsid w:val="00A471AD"/>
    <w:rsid w:val="00A47382"/>
    <w:rsid w:val="00A47535"/>
    <w:rsid w:val="00A475AE"/>
    <w:rsid w:val="00A477DA"/>
    <w:rsid w:val="00A47959"/>
    <w:rsid w:val="00A47A65"/>
    <w:rsid w:val="00A47B05"/>
    <w:rsid w:val="00A47C6C"/>
    <w:rsid w:val="00A47C92"/>
    <w:rsid w:val="00A47D6C"/>
    <w:rsid w:val="00A47DF1"/>
    <w:rsid w:val="00A47E7B"/>
    <w:rsid w:val="00A47F94"/>
    <w:rsid w:val="00A50066"/>
    <w:rsid w:val="00A501A6"/>
    <w:rsid w:val="00A50270"/>
    <w:rsid w:val="00A502B0"/>
    <w:rsid w:val="00A50447"/>
    <w:rsid w:val="00A50487"/>
    <w:rsid w:val="00A50B4F"/>
    <w:rsid w:val="00A50B63"/>
    <w:rsid w:val="00A50D50"/>
    <w:rsid w:val="00A51080"/>
    <w:rsid w:val="00A510B8"/>
    <w:rsid w:val="00A51101"/>
    <w:rsid w:val="00A51267"/>
    <w:rsid w:val="00A51289"/>
    <w:rsid w:val="00A514AE"/>
    <w:rsid w:val="00A516B8"/>
    <w:rsid w:val="00A5187C"/>
    <w:rsid w:val="00A519F0"/>
    <w:rsid w:val="00A51A13"/>
    <w:rsid w:val="00A51BD6"/>
    <w:rsid w:val="00A51C19"/>
    <w:rsid w:val="00A51C95"/>
    <w:rsid w:val="00A51CE3"/>
    <w:rsid w:val="00A51D7C"/>
    <w:rsid w:val="00A51E51"/>
    <w:rsid w:val="00A5255E"/>
    <w:rsid w:val="00A52570"/>
    <w:rsid w:val="00A52692"/>
    <w:rsid w:val="00A52773"/>
    <w:rsid w:val="00A5283D"/>
    <w:rsid w:val="00A528C9"/>
    <w:rsid w:val="00A52B02"/>
    <w:rsid w:val="00A52C8C"/>
    <w:rsid w:val="00A52F10"/>
    <w:rsid w:val="00A5318D"/>
    <w:rsid w:val="00A5322F"/>
    <w:rsid w:val="00A535B9"/>
    <w:rsid w:val="00A535E8"/>
    <w:rsid w:val="00A53657"/>
    <w:rsid w:val="00A536C4"/>
    <w:rsid w:val="00A5396A"/>
    <w:rsid w:val="00A539AF"/>
    <w:rsid w:val="00A53A26"/>
    <w:rsid w:val="00A53B7B"/>
    <w:rsid w:val="00A53BE4"/>
    <w:rsid w:val="00A53C86"/>
    <w:rsid w:val="00A53C99"/>
    <w:rsid w:val="00A53F79"/>
    <w:rsid w:val="00A53F86"/>
    <w:rsid w:val="00A540E7"/>
    <w:rsid w:val="00A542B4"/>
    <w:rsid w:val="00A542C5"/>
    <w:rsid w:val="00A543D5"/>
    <w:rsid w:val="00A54494"/>
    <w:rsid w:val="00A547B3"/>
    <w:rsid w:val="00A547CD"/>
    <w:rsid w:val="00A548C3"/>
    <w:rsid w:val="00A5499E"/>
    <w:rsid w:val="00A54A20"/>
    <w:rsid w:val="00A54A4B"/>
    <w:rsid w:val="00A54F09"/>
    <w:rsid w:val="00A550CB"/>
    <w:rsid w:val="00A55175"/>
    <w:rsid w:val="00A551A0"/>
    <w:rsid w:val="00A5563A"/>
    <w:rsid w:val="00A5582D"/>
    <w:rsid w:val="00A55938"/>
    <w:rsid w:val="00A55A11"/>
    <w:rsid w:val="00A55AAB"/>
    <w:rsid w:val="00A55AF8"/>
    <w:rsid w:val="00A55B3D"/>
    <w:rsid w:val="00A55DDC"/>
    <w:rsid w:val="00A55F2C"/>
    <w:rsid w:val="00A56200"/>
    <w:rsid w:val="00A563E2"/>
    <w:rsid w:val="00A5646C"/>
    <w:rsid w:val="00A56488"/>
    <w:rsid w:val="00A5648D"/>
    <w:rsid w:val="00A569A9"/>
    <w:rsid w:val="00A56AD2"/>
    <w:rsid w:val="00A56BCC"/>
    <w:rsid w:val="00A56FEF"/>
    <w:rsid w:val="00A570B9"/>
    <w:rsid w:val="00A5710B"/>
    <w:rsid w:val="00A5727C"/>
    <w:rsid w:val="00A5733E"/>
    <w:rsid w:val="00A57398"/>
    <w:rsid w:val="00A5754E"/>
    <w:rsid w:val="00A57743"/>
    <w:rsid w:val="00A5786A"/>
    <w:rsid w:val="00A579C3"/>
    <w:rsid w:val="00A579EB"/>
    <w:rsid w:val="00A57AFD"/>
    <w:rsid w:val="00A57BD5"/>
    <w:rsid w:val="00A57C74"/>
    <w:rsid w:val="00A57F5D"/>
    <w:rsid w:val="00A57F87"/>
    <w:rsid w:val="00A57F91"/>
    <w:rsid w:val="00A57FB9"/>
    <w:rsid w:val="00A6021C"/>
    <w:rsid w:val="00A60220"/>
    <w:rsid w:val="00A604DB"/>
    <w:rsid w:val="00A60602"/>
    <w:rsid w:val="00A6060D"/>
    <w:rsid w:val="00A606D9"/>
    <w:rsid w:val="00A60702"/>
    <w:rsid w:val="00A60A6E"/>
    <w:rsid w:val="00A60BE2"/>
    <w:rsid w:val="00A60DDC"/>
    <w:rsid w:val="00A60E14"/>
    <w:rsid w:val="00A60F60"/>
    <w:rsid w:val="00A60F85"/>
    <w:rsid w:val="00A60FDC"/>
    <w:rsid w:val="00A6101D"/>
    <w:rsid w:val="00A61285"/>
    <w:rsid w:val="00A6150D"/>
    <w:rsid w:val="00A6158E"/>
    <w:rsid w:val="00A615D3"/>
    <w:rsid w:val="00A6168C"/>
    <w:rsid w:val="00A617BF"/>
    <w:rsid w:val="00A61A2B"/>
    <w:rsid w:val="00A61BBE"/>
    <w:rsid w:val="00A61C5A"/>
    <w:rsid w:val="00A61CF4"/>
    <w:rsid w:val="00A61E8A"/>
    <w:rsid w:val="00A6201D"/>
    <w:rsid w:val="00A62116"/>
    <w:rsid w:val="00A6211F"/>
    <w:rsid w:val="00A623D7"/>
    <w:rsid w:val="00A62503"/>
    <w:rsid w:val="00A62515"/>
    <w:rsid w:val="00A6259A"/>
    <w:rsid w:val="00A6275F"/>
    <w:rsid w:val="00A627AC"/>
    <w:rsid w:val="00A627B5"/>
    <w:rsid w:val="00A62905"/>
    <w:rsid w:val="00A62989"/>
    <w:rsid w:val="00A629B8"/>
    <w:rsid w:val="00A62A4B"/>
    <w:rsid w:val="00A62C03"/>
    <w:rsid w:val="00A62C62"/>
    <w:rsid w:val="00A62C88"/>
    <w:rsid w:val="00A62D02"/>
    <w:rsid w:val="00A62FED"/>
    <w:rsid w:val="00A63021"/>
    <w:rsid w:val="00A63094"/>
    <w:rsid w:val="00A6309D"/>
    <w:rsid w:val="00A632A6"/>
    <w:rsid w:val="00A63571"/>
    <w:rsid w:val="00A635D4"/>
    <w:rsid w:val="00A635DE"/>
    <w:rsid w:val="00A635FA"/>
    <w:rsid w:val="00A637B0"/>
    <w:rsid w:val="00A638D5"/>
    <w:rsid w:val="00A639ED"/>
    <w:rsid w:val="00A63A0C"/>
    <w:rsid w:val="00A63C72"/>
    <w:rsid w:val="00A63CE8"/>
    <w:rsid w:val="00A640BD"/>
    <w:rsid w:val="00A6462D"/>
    <w:rsid w:val="00A64736"/>
    <w:rsid w:val="00A647E4"/>
    <w:rsid w:val="00A64865"/>
    <w:rsid w:val="00A648A0"/>
    <w:rsid w:val="00A648F0"/>
    <w:rsid w:val="00A64980"/>
    <w:rsid w:val="00A64A53"/>
    <w:rsid w:val="00A64AB2"/>
    <w:rsid w:val="00A64B92"/>
    <w:rsid w:val="00A64C15"/>
    <w:rsid w:val="00A64DB8"/>
    <w:rsid w:val="00A64E87"/>
    <w:rsid w:val="00A65218"/>
    <w:rsid w:val="00A654D2"/>
    <w:rsid w:val="00A6554F"/>
    <w:rsid w:val="00A65937"/>
    <w:rsid w:val="00A65B67"/>
    <w:rsid w:val="00A65C3A"/>
    <w:rsid w:val="00A65C5B"/>
    <w:rsid w:val="00A65CAE"/>
    <w:rsid w:val="00A65D5C"/>
    <w:rsid w:val="00A65E32"/>
    <w:rsid w:val="00A65F97"/>
    <w:rsid w:val="00A65FA5"/>
    <w:rsid w:val="00A661C3"/>
    <w:rsid w:val="00A66273"/>
    <w:rsid w:val="00A663F3"/>
    <w:rsid w:val="00A667FF"/>
    <w:rsid w:val="00A66835"/>
    <w:rsid w:val="00A66929"/>
    <w:rsid w:val="00A6696D"/>
    <w:rsid w:val="00A669D0"/>
    <w:rsid w:val="00A66A5F"/>
    <w:rsid w:val="00A66BF5"/>
    <w:rsid w:val="00A66E75"/>
    <w:rsid w:val="00A66F83"/>
    <w:rsid w:val="00A67158"/>
    <w:rsid w:val="00A671C0"/>
    <w:rsid w:val="00A67241"/>
    <w:rsid w:val="00A67681"/>
    <w:rsid w:val="00A677D1"/>
    <w:rsid w:val="00A67841"/>
    <w:rsid w:val="00A678A0"/>
    <w:rsid w:val="00A679F9"/>
    <w:rsid w:val="00A67A21"/>
    <w:rsid w:val="00A67A2C"/>
    <w:rsid w:val="00A67BFE"/>
    <w:rsid w:val="00A67FEA"/>
    <w:rsid w:val="00A70027"/>
    <w:rsid w:val="00A70136"/>
    <w:rsid w:val="00A701F6"/>
    <w:rsid w:val="00A702E5"/>
    <w:rsid w:val="00A702EF"/>
    <w:rsid w:val="00A7046E"/>
    <w:rsid w:val="00A704CB"/>
    <w:rsid w:val="00A70545"/>
    <w:rsid w:val="00A705C4"/>
    <w:rsid w:val="00A70896"/>
    <w:rsid w:val="00A70A9F"/>
    <w:rsid w:val="00A70AE6"/>
    <w:rsid w:val="00A70C20"/>
    <w:rsid w:val="00A70C29"/>
    <w:rsid w:val="00A71110"/>
    <w:rsid w:val="00A711A0"/>
    <w:rsid w:val="00A7150D"/>
    <w:rsid w:val="00A717A9"/>
    <w:rsid w:val="00A719BD"/>
    <w:rsid w:val="00A71BC8"/>
    <w:rsid w:val="00A71C1D"/>
    <w:rsid w:val="00A71D1D"/>
    <w:rsid w:val="00A71F4E"/>
    <w:rsid w:val="00A7210D"/>
    <w:rsid w:val="00A7218B"/>
    <w:rsid w:val="00A724B8"/>
    <w:rsid w:val="00A724D2"/>
    <w:rsid w:val="00A7257B"/>
    <w:rsid w:val="00A72585"/>
    <w:rsid w:val="00A725F9"/>
    <w:rsid w:val="00A72802"/>
    <w:rsid w:val="00A72A1D"/>
    <w:rsid w:val="00A72B9C"/>
    <w:rsid w:val="00A72F3D"/>
    <w:rsid w:val="00A7324B"/>
    <w:rsid w:val="00A7329D"/>
    <w:rsid w:val="00A733BF"/>
    <w:rsid w:val="00A73427"/>
    <w:rsid w:val="00A73587"/>
    <w:rsid w:val="00A73A1B"/>
    <w:rsid w:val="00A73AAF"/>
    <w:rsid w:val="00A73CD2"/>
    <w:rsid w:val="00A73D14"/>
    <w:rsid w:val="00A73E5B"/>
    <w:rsid w:val="00A73F36"/>
    <w:rsid w:val="00A73F7E"/>
    <w:rsid w:val="00A74023"/>
    <w:rsid w:val="00A74075"/>
    <w:rsid w:val="00A740CF"/>
    <w:rsid w:val="00A74134"/>
    <w:rsid w:val="00A74590"/>
    <w:rsid w:val="00A745BE"/>
    <w:rsid w:val="00A74755"/>
    <w:rsid w:val="00A7514B"/>
    <w:rsid w:val="00A7563E"/>
    <w:rsid w:val="00A75723"/>
    <w:rsid w:val="00A75790"/>
    <w:rsid w:val="00A757DF"/>
    <w:rsid w:val="00A7585A"/>
    <w:rsid w:val="00A7596A"/>
    <w:rsid w:val="00A75BDD"/>
    <w:rsid w:val="00A75E13"/>
    <w:rsid w:val="00A7600D"/>
    <w:rsid w:val="00A7612D"/>
    <w:rsid w:val="00A76776"/>
    <w:rsid w:val="00A76789"/>
    <w:rsid w:val="00A769AF"/>
    <w:rsid w:val="00A769E9"/>
    <w:rsid w:val="00A76B66"/>
    <w:rsid w:val="00A76CAE"/>
    <w:rsid w:val="00A76D97"/>
    <w:rsid w:val="00A76EDD"/>
    <w:rsid w:val="00A770F0"/>
    <w:rsid w:val="00A77216"/>
    <w:rsid w:val="00A7736C"/>
    <w:rsid w:val="00A77CE0"/>
    <w:rsid w:val="00A77CEF"/>
    <w:rsid w:val="00A77E93"/>
    <w:rsid w:val="00A77EA6"/>
    <w:rsid w:val="00A77FCC"/>
    <w:rsid w:val="00A80113"/>
    <w:rsid w:val="00A8015E"/>
    <w:rsid w:val="00A803AF"/>
    <w:rsid w:val="00A80744"/>
    <w:rsid w:val="00A808AF"/>
    <w:rsid w:val="00A808BC"/>
    <w:rsid w:val="00A80A19"/>
    <w:rsid w:val="00A80A7E"/>
    <w:rsid w:val="00A80C9A"/>
    <w:rsid w:val="00A80F92"/>
    <w:rsid w:val="00A8109D"/>
    <w:rsid w:val="00A811C7"/>
    <w:rsid w:val="00A8137B"/>
    <w:rsid w:val="00A81427"/>
    <w:rsid w:val="00A816B5"/>
    <w:rsid w:val="00A81908"/>
    <w:rsid w:val="00A81C0C"/>
    <w:rsid w:val="00A81D61"/>
    <w:rsid w:val="00A81EE7"/>
    <w:rsid w:val="00A81EFD"/>
    <w:rsid w:val="00A82054"/>
    <w:rsid w:val="00A8209E"/>
    <w:rsid w:val="00A82495"/>
    <w:rsid w:val="00A824F5"/>
    <w:rsid w:val="00A82545"/>
    <w:rsid w:val="00A82567"/>
    <w:rsid w:val="00A8271D"/>
    <w:rsid w:val="00A828D8"/>
    <w:rsid w:val="00A829AA"/>
    <w:rsid w:val="00A82A29"/>
    <w:rsid w:val="00A82C0B"/>
    <w:rsid w:val="00A82C7E"/>
    <w:rsid w:val="00A82D68"/>
    <w:rsid w:val="00A82DC0"/>
    <w:rsid w:val="00A82DCE"/>
    <w:rsid w:val="00A8308A"/>
    <w:rsid w:val="00A83261"/>
    <w:rsid w:val="00A8328E"/>
    <w:rsid w:val="00A832BB"/>
    <w:rsid w:val="00A833E0"/>
    <w:rsid w:val="00A83609"/>
    <w:rsid w:val="00A83683"/>
    <w:rsid w:val="00A8375F"/>
    <w:rsid w:val="00A83A85"/>
    <w:rsid w:val="00A83B78"/>
    <w:rsid w:val="00A83C78"/>
    <w:rsid w:val="00A83E38"/>
    <w:rsid w:val="00A83EB8"/>
    <w:rsid w:val="00A84046"/>
    <w:rsid w:val="00A8429D"/>
    <w:rsid w:val="00A8444C"/>
    <w:rsid w:val="00A8455E"/>
    <w:rsid w:val="00A84678"/>
    <w:rsid w:val="00A84741"/>
    <w:rsid w:val="00A84787"/>
    <w:rsid w:val="00A848A9"/>
    <w:rsid w:val="00A848B9"/>
    <w:rsid w:val="00A849AF"/>
    <w:rsid w:val="00A84A09"/>
    <w:rsid w:val="00A84B54"/>
    <w:rsid w:val="00A84B55"/>
    <w:rsid w:val="00A84D7B"/>
    <w:rsid w:val="00A84E4E"/>
    <w:rsid w:val="00A84F61"/>
    <w:rsid w:val="00A85047"/>
    <w:rsid w:val="00A853C8"/>
    <w:rsid w:val="00A855A3"/>
    <w:rsid w:val="00A85731"/>
    <w:rsid w:val="00A857B9"/>
    <w:rsid w:val="00A85861"/>
    <w:rsid w:val="00A85879"/>
    <w:rsid w:val="00A8587C"/>
    <w:rsid w:val="00A85C25"/>
    <w:rsid w:val="00A85C9B"/>
    <w:rsid w:val="00A85DEE"/>
    <w:rsid w:val="00A85ED2"/>
    <w:rsid w:val="00A86134"/>
    <w:rsid w:val="00A8635C"/>
    <w:rsid w:val="00A863F0"/>
    <w:rsid w:val="00A864E9"/>
    <w:rsid w:val="00A86745"/>
    <w:rsid w:val="00A8679F"/>
    <w:rsid w:val="00A8698A"/>
    <w:rsid w:val="00A86BF6"/>
    <w:rsid w:val="00A86D13"/>
    <w:rsid w:val="00A86D8C"/>
    <w:rsid w:val="00A86F11"/>
    <w:rsid w:val="00A86FD0"/>
    <w:rsid w:val="00A87037"/>
    <w:rsid w:val="00A8704A"/>
    <w:rsid w:val="00A87150"/>
    <w:rsid w:val="00A8757E"/>
    <w:rsid w:val="00A876C9"/>
    <w:rsid w:val="00A87873"/>
    <w:rsid w:val="00A87D99"/>
    <w:rsid w:val="00A87E1A"/>
    <w:rsid w:val="00A900A6"/>
    <w:rsid w:val="00A900F2"/>
    <w:rsid w:val="00A90125"/>
    <w:rsid w:val="00A90167"/>
    <w:rsid w:val="00A902CB"/>
    <w:rsid w:val="00A9038B"/>
    <w:rsid w:val="00A903C8"/>
    <w:rsid w:val="00A903CA"/>
    <w:rsid w:val="00A9042D"/>
    <w:rsid w:val="00A9048F"/>
    <w:rsid w:val="00A90568"/>
    <w:rsid w:val="00A90843"/>
    <w:rsid w:val="00A908C8"/>
    <w:rsid w:val="00A908DC"/>
    <w:rsid w:val="00A9097C"/>
    <w:rsid w:val="00A90C33"/>
    <w:rsid w:val="00A90D5B"/>
    <w:rsid w:val="00A90D97"/>
    <w:rsid w:val="00A91494"/>
    <w:rsid w:val="00A91763"/>
    <w:rsid w:val="00A91829"/>
    <w:rsid w:val="00A9185E"/>
    <w:rsid w:val="00A918FB"/>
    <w:rsid w:val="00A9196E"/>
    <w:rsid w:val="00A91AEF"/>
    <w:rsid w:val="00A91C25"/>
    <w:rsid w:val="00A91CAE"/>
    <w:rsid w:val="00A91F3B"/>
    <w:rsid w:val="00A92050"/>
    <w:rsid w:val="00A9243E"/>
    <w:rsid w:val="00A92464"/>
    <w:rsid w:val="00A924E4"/>
    <w:rsid w:val="00A92602"/>
    <w:rsid w:val="00A927AB"/>
    <w:rsid w:val="00A92887"/>
    <w:rsid w:val="00A92963"/>
    <w:rsid w:val="00A92C32"/>
    <w:rsid w:val="00A92EB8"/>
    <w:rsid w:val="00A92F88"/>
    <w:rsid w:val="00A930F6"/>
    <w:rsid w:val="00A9310C"/>
    <w:rsid w:val="00A9314B"/>
    <w:rsid w:val="00A9321C"/>
    <w:rsid w:val="00A93371"/>
    <w:rsid w:val="00A934FE"/>
    <w:rsid w:val="00A935B9"/>
    <w:rsid w:val="00A935BE"/>
    <w:rsid w:val="00A93728"/>
    <w:rsid w:val="00A9383F"/>
    <w:rsid w:val="00A93C22"/>
    <w:rsid w:val="00A93CA6"/>
    <w:rsid w:val="00A93DE9"/>
    <w:rsid w:val="00A93E41"/>
    <w:rsid w:val="00A94064"/>
    <w:rsid w:val="00A94067"/>
    <w:rsid w:val="00A9425E"/>
    <w:rsid w:val="00A94261"/>
    <w:rsid w:val="00A946AF"/>
    <w:rsid w:val="00A94789"/>
    <w:rsid w:val="00A9491A"/>
    <w:rsid w:val="00A94957"/>
    <w:rsid w:val="00A949BE"/>
    <w:rsid w:val="00A94A42"/>
    <w:rsid w:val="00A94B2E"/>
    <w:rsid w:val="00A94CC0"/>
    <w:rsid w:val="00A95029"/>
    <w:rsid w:val="00A95619"/>
    <w:rsid w:val="00A957E8"/>
    <w:rsid w:val="00A95A3E"/>
    <w:rsid w:val="00A95AEB"/>
    <w:rsid w:val="00A95BBD"/>
    <w:rsid w:val="00A95BEE"/>
    <w:rsid w:val="00A95CCA"/>
    <w:rsid w:val="00A95E8C"/>
    <w:rsid w:val="00A95E98"/>
    <w:rsid w:val="00A95EAB"/>
    <w:rsid w:val="00A95F51"/>
    <w:rsid w:val="00A95F86"/>
    <w:rsid w:val="00A965F0"/>
    <w:rsid w:val="00A96603"/>
    <w:rsid w:val="00A96722"/>
    <w:rsid w:val="00A9679B"/>
    <w:rsid w:val="00A96887"/>
    <w:rsid w:val="00A96BC4"/>
    <w:rsid w:val="00A96BD1"/>
    <w:rsid w:val="00A96CDA"/>
    <w:rsid w:val="00A96CFD"/>
    <w:rsid w:val="00A96D1D"/>
    <w:rsid w:val="00A96E07"/>
    <w:rsid w:val="00A96E6D"/>
    <w:rsid w:val="00A970C3"/>
    <w:rsid w:val="00A9715B"/>
    <w:rsid w:val="00A9718F"/>
    <w:rsid w:val="00A9730B"/>
    <w:rsid w:val="00A978FE"/>
    <w:rsid w:val="00A97AD3"/>
    <w:rsid w:val="00A97BCA"/>
    <w:rsid w:val="00A97C07"/>
    <w:rsid w:val="00A97DD1"/>
    <w:rsid w:val="00A97DD6"/>
    <w:rsid w:val="00A97DEC"/>
    <w:rsid w:val="00A97EF3"/>
    <w:rsid w:val="00A97EF7"/>
    <w:rsid w:val="00AA0033"/>
    <w:rsid w:val="00AA00BE"/>
    <w:rsid w:val="00AA03C3"/>
    <w:rsid w:val="00AA0663"/>
    <w:rsid w:val="00AA0973"/>
    <w:rsid w:val="00AA0BA8"/>
    <w:rsid w:val="00AA0D1D"/>
    <w:rsid w:val="00AA0E2A"/>
    <w:rsid w:val="00AA0ECE"/>
    <w:rsid w:val="00AA0F35"/>
    <w:rsid w:val="00AA144A"/>
    <w:rsid w:val="00AA158C"/>
    <w:rsid w:val="00AA1819"/>
    <w:rsid w:val="00AA1833"/>
    <w:rsid w:val="00AA1862"/>
    <w:rsid w:val="00AA1A99"/>
    <w:rsid w:val="00AA1BB9"/>
    <w:rsid w:val="00AA1D86"/>
    <w:rsid w:val="00AA1DF0"/>
    <w:rsid w:val="00AA1E07"/>
    <w:rsid w:val="00AA1F6F"/>
    <w:rsid w:val="00AA209A"/>
    <w:rsid w:val="00AA2106"/>
    <w:rsid w:val="00AA21ED"/>
    <w:rsid w:val="00AA22F5"/>
    <w:rsid w:val="00AA2373"/>
    <w:rsid w:val="00AA237E"/>
    <w:rsid w:val="00AA2396"/>
    <w:rsid w:val="00AA24D1"/>
    <w:rsid w:val="00AA252D"/>
    <w:rsid w:val="00AA27E3"/>
    <w:rsid w:val="00AA2855"/>
    <w:rsid w:val="00AA2A41"/>
    <w:rsid w:val="00AA2B5C"/>
    <w:rsid w:val="00AA2B98"/>
    <w:rsid w:val="00AA2BC7"/>
    <w:rsid w:val="00AA2C60"/>
    <w:rsid w:val="00AA2CCF"/>
    <w:rsid w:val="00AA3002"/>
    <w:rsid w:val="00AA3085"/>
    <w:rsid w:val="00AA318A"/>
    <w:rsid w:val="00AA3308"/>
    <w:rsid w:val="00AA3660"/>
    <w:rsid w:val="00AA378F"/>
    <w:rsid w:val="00AA37DF"/>
    <w:rsid w:val="00AA386C"/>
    <w:rsid w:val="00AA3AF3"/>
    <w:rsid w:val="00AA3B78"/>
    <w:rsid w:val="00AA3B8E"/>
    <w:rsid w:val="00AA3E35"/>
    <w:rsid w:val="00AA4324"/>
    <w:rsid w:val="00AA4406"/>
    <w:rsid w:val="00AA4488"/>
    <w:rsid w:val="00AA44FE"/>
    <w:rsid w:val="00AA45E4"/>
    <w:rsid w:val="00AA461C"/>
    <w:rsid w:val="00AA46BE"/>
    <w:rsid w:val="00AA48BF"/>
    <w:rsid w:val="00AA497D"/>
    <w:rsid w:val="00AA4999"/>
    <w:rsid w:val="00AA49F4"/>
    <w:rsid w:val="00AA4A67"/>
    <w:rsid w:val="00AA4C63"/>
    <w:rsid w:val="00AA4E76"/>
    <w:rsid w:val="00AA514D"/>
    <w:rsid w:val="00AA547D"/>
    <w:rsid w:val="00AA56A7"/>
    <w:rsid w:val="00AA58A1"/>
    <w:rsid w:val="00AA58B9"/>
    <w:rsid w:val="00AA597D"/>
    <w:rsid w:val="00AA59C6"/>
    <w:rsid w:val="00AA5BC0"/>
    <w:rsid w:val="00AA5CF5"/>
    <w:rsid w:val="00AA5D65"/>
    <w:rsid w:val="00AA6077"/>
    <w:rsid w:val="00AA6098"/>
    <w:rsid w:val="00AA60F4"/>
    <w:rsid w:val="00AA65FB"/>
    <w:rsid w:val="00AA670E"/>
    <w:rsid w:val="00AA676A"/>
    <w:rsid w:val="00AA685B"/>
    <w:rsid w:val="00AA687F"/>
    <w:rsid w:val="00AA6A3D"/>
    <w:rsid w:val="00AA6A43"/>
    <w:rsid w:val="00AA6CA8"/>
    <w:rsid w:val="00AA6CD3"/>
    <w:rsid w:val="00AA6CF4"/>
    <w:rsid w:val="00AA6DE2"/>
    <w:rsid w:val="00AA6EF9"/>
    <w:rsid w:val="00AA6F40"/>
    <w:rsid w:val="00AA6FBB"/>
    <w:rsid w:val="00AA70D2"/>
    <w:rsid w:val="00AA73D9"/>
    <w:rsid w:val="00AA7420"/>
    <w:rsid w:val="00AA7528"/>
    <w:rsid w:val="00AA76CA"/>
    <w:rsid w:val="00AA76CC"/>
    <w:rsid w:val="00AA7829"/>
    <w:rsid w:val="00AA78C8"/>
    <w:rsid w:val="00AA7AA1"/>
    <w:rsid w:val="00AA7B7C"/>
    <w:rsid w:val="00AA7B8D"/>
    <w:rsid w:val="00AA7BCB"/>
    <w:rsid w:val="00AA7D9A"/>
    <w:rsid w:val="00AA7E80"/>
    <w:rsid w:val="00AB00FB"/>
    <w:rsid w:val="00AB0232"/>
    <w:rsid w:val="00AB0348"/>
    <w:rsid w:val="00AB0461"/>
    <w:rsid w:val="00AB0603"/>
    <w:rsid w:val="00AB0824"/>
    <w:rsid w:val="00AB0A9D"/>
    <w:rsid w:val="00AB0D24"/>
    <w:rsid w:val="00AB0EF0"/>
    <w:rsid w:val="00AB0EFB"/>
    <w:rsid w:val="00AB0F48"/>
    <w:rsid w:val="00AB118A"/>
    <w:rsid w:val="00AB11CC"/>
    <w:rsid w:val="00AB1259"/>
    <w:rsid w:val="00AB1349"/>
    <w:rsid w:val="00AB14A9"/>
    <w:rsid w:val="00AB1A3B"/>
    <w:rsid w:val="00AB1ACF"/>
    <w:rsid w:val="00AB1B73"/>
    <w:rsid w:val="00AB1E9E"/>
    <w:rsid w:val="00AB1F23"/>
    <w:rsid w:val="00AB2416"/>
    <w:rsid w:val="00AB2548"/>
    <w:rsid w:val="00AB28AB"/>
    <w:rsid w:val="00AB29CC"/>
    <w:rsid w:val="00AB2C3B"/>
    <w:rsid w:val="00AB2C7B"/>
    <w:rsid w:val="00AB2DB4"/>
    <w:rsid w:val="00AB2E17"/>
    <w:rsid w:val="00AB2E58"/>
    <w:rsid w:val="00AB318B"/>
    <w:rsid w:val="00AB3423"/>
    <w:rsid w:val="00AB36A1"/>
    <w:rsid w:val="00AB375A"/>
    <w:rsid w:val="00AB37E0"/>
    <w:rsid w:val="00AB385E"/>
    <w:rsid w:val="00AB3A09"/>
    <w:rsid w:val="00AB3BB2"/>
    <w:rsid w:val="00AB3CFC"/>
    <w:rsid w:val="00AB3DB5"/>
    <w:rsid w:val="00AB403D"/>
    <w:rsid w:val="00AB40B1"/>
    <w:rsid w:val="00AB40CE"/>
    <w:rsid w:val="00AB447F"/>
    <w:rsid w:val="00AB461A"/>
    <w:rsid w:val="00AB4833"/>
    <w:rsid w:val="00AB48F5"/>
    <w:rsid w:val="00AB4ACB"/>
    <w:rsid w:val="00AB4C50"/>
    <w:rsid w:val="00AB4D84"/>
    <w:rsid w:val="00AB4D9E"/>
    <w:rsid w:val="00AB4E5D"/>
    <w:rsid w:val="00AB4F01"/>
    <w:rsid w:val="00AB4F4E"/>
    <w:rsid w:val="00AB521D"/>
    <w:rsid w:val="00AB5322"/>
    <w:rsid w:val="00AB5335"/>
    <w:rsid w:val="00AB53EC"/>
    <w:rsid w:val="00AB5694"/>
    <w:rsid w:val="00AB575E"/>
    <w:rsid w:val="00AB59F2"/>
    <w:rsid w:val="00AB5A7B"/>
    <w:rsid w:val="00AB5B14"/>
    <w:rsid w:val="00AB5CAA"/>
    <w:rsid w:val="00AB5DC6"/>
    <w:rsid w:val="00AB6299"/>
    <w:rsid w:val="00AB62B7"/>
    <w:rsid w:val="00AB62D9"/>
    <w:rsid w:val="00AB658C"/>
    <w:rsid w:val="00AB66D9"/>
    <w:rsid w:val="00AB68AF"/>
    <w:rsid w:val="00AB68F9"/>
    <w:rsid w:val="00AB697B"/>
    <w:rsid w:val="00AB6BB4"/>
    <w:rsid w:val="00AB6CB2"/>
    <w:rsid w:val="00AB6D03"/>
    <w:rsid w:val="00AB6DF2"/>
    <w:rsid w:val="00AB6FC2"/>
    <w:rsid w:val="00AB71A0"/>
    <w:rsid w:val="00AB7391"/>
    <w:rsid w:val="00AB741D"/>
    <w:rsid w:val="00AB75B1"/>
    <w:rsid w:val="00AB7757"/>
    <w:rsid w:val="00AB782B"/>
    <w:rsid w:val="00AB7917"/>
    <w:rsid w:val="00AB7A10"/>
    <w:rsid w:val="00AB7A5C"/>
    <w:rsid w:val="00AB7B7A"/>
    <w:rsid w:val="00AB7ECA"/>
    <w:rsid w:val="00AB7FF8"/>
    <w:rsid w:val="00AC001C"/>
    <w:rsid w:val="00AC00F4"/>
    <w:rsid w:val="00AC02FA"/>
    <w:rsid w:val="00AC05AD"/>
    <w:rsid w:val="00AC08E9"/>
    <w:rsid w:val="00AC0948"/>
    <w:rsid w:val="00AC0B56"/>
    <w:rsid w:val="00AC0E5E"/>
    <w:rsid w:val="00AC0E7A"/>
    <w:rsid w:val="00AC0F45"/>
    <w:rsid w:val="00AC12FB"/>
    <w:rsid w:val="00AC16AC"/>
    <w:rsid w:val="00AC17B7"/>
    <w:rsid w:val="00AC1A82"/>
    <w:rsid w:val="00AC1A85"/>
    <w:rsid w:val="00AC1B7F"/>
    <w:rsid w:val="00AC1D8B"/>
    <w:rsid w:val="00AC1DD7"/>
    <w:rsid w:val="00AC2059"/>
    <w:rsid w:val="00AC2338"/>
    <w:rsid w:val="00AC23E3"/>
    <w:rsid w:val="00AC26B5"/>
    <w:rsid w:val="00AC277F"/>
    <w:rsid w:val="00AC27FF"/>
    <w:rsid w:val="00AC2A40"/>
    <w:rsid w:val="00AC2B14"/>
    <w:rsid w:val="00AC2B1B"/>
    <w:rsid w:val="00AC2B56"/>
    <w:rsid w:val="00AC2CA6"/>
    <w:rsid w:val="00AC2DE5"/>
    <w:rsid w:val="00AC2F7E"/>
    <w:rsid w:val="00AC316A"/>
    <w:rsid w:val="00AC31B3"/>
    <w:rsid w:val="00AC3228"/>
    <w:rsid w:val="00AC3279"/>
    <w:rsid w:val="00AC3442"/>
    <w:rsid w:val="00AC375D"/>
    <w:rsid w:val="00AC3844"/>
    <w:rsid w:val="00AC3857"/>
    <w:rsid w:val="00AC396C"/>
    <w:rsid w:val="00AC3B23"/>
    <w:rsid w:val="00AC3D2B"/>
    <w:rsid w:val="00AC3D6C"/>
    <w:rsid w:val="00AC3EB1"/>
    <w:rsid w:val="00AC3F61"/>
    <w:rsid w:val="00AC3F67"/>
    <w:rsid w:val="00AC3FA8"/>
    <w:rsid w:val="00AC4313"/>
    <w:rsid w:val="00AC449F"/>
    <w:rsid w:val="00AC4693"/>
    <w:rsid w:val="00AC486F"/>
    <w:rsid w:val="00AC48BE"/>
    <w:rsid w:val="00AC4AA2"/>
    <w:rsid w:val="00AC4B90"/>
    <w:rsid w:val="00AC4BD2"/>
    <w:rsid w:val="00AC4E9D"/>
    <w:rsid w:val="00AC5164"/>
    <w:rsid w:val="00AC51B9"/>
    <w:rsid w:val="00AC528C"/>
    <w:rsid w:val="00AC53AB"/>
    <w:rsid w:val="00AC5479"/>
    <w:rsid w:val="00AC58CD"/>
    <w:rsid w:val="00AC5B80"/>
    <w:rsid w:val="00AC5BE5"/>
    <w:rsid w:val="00AC5D35"/>
    <w:rsid w:val="00AC5E3A"/>
    <w:rsid w:val="00AC6198"/>
    <w:rsid w:val="00AC643C"/>
    <w:rsid w:val="00AC6456"/>
    <w:rsid w:val="00AC64CE"/>
    <w:rsid w:val="00AC66C6"/>
    <w:rsid w:val="00AC6797"/>
    <w:rsid w:val="00AC6A40"/>
    <w:rsid w:val="00AC6A9B"/>
    <w:rsid w:val="00AC6BCD"/>
    <w:rsid w:val="00AC6C4F"/>
    <w:rsid w:val="00AC6CB4"/>
    <w:rsid w:val="00AC6CCE"/>
    <w:rsid w:val="00AC6D9A"/>
    <w:rsid w:val="00AC6E92"/>
    <w:rsid w:val="00AC6EB2"/>
    <w:rsid w:val="00AC6ED0"/>
    <w:rsid w:val="00AC73A9"/>
    <w:rsid w:val="00AC75E3"/>
    <w:rsid w:val="00AC774F"/>
    <w:rsid w:val="00AC77ED"/>
    <w:rsid w:val="00AC798F"/>
    <w:rsid w:val="00AC79FC"/>
    <w:rsid w:val="00AC7C43"/>
    <w:rsid w:val="00AC7E45"/>
    <w:rsid w:val="00AC7E9E"/>
    <w:rsid w:val="00AD0066"/>
    <w:rsid w:val="00AD021E"/>
    <w:rsid w:val="00AD0356"/>
    <w:rsid w:val="00AD04D2"/>
    <w:rsid w:val="00AD085A"/>
    <w:rsid w:val="00AD0960"/>
    <w:rsid w:val="00AD09B9"/>
    <w:rsid w:val="00AD0A03"/>
    <w:rsid w:val="00AD0BDD"/>
    <w:rsid w:val="00AD0E6B"/>
    <w:rsid w:val="00AD0FC8"/>
    <w:rsid w:val="00AD0FFF"/>
    <w:rsid w:val="00AD1203"/>
    <w:rsid w:val="00AD124A"/>
    <w:rsid w:val="00AD1346"/>
    <w:rsid w:val="00AD150C"/>
    <w:rsid w:val="00AD17B2"/>
    <w:rsid w:val="00AD1822"/>
    <w:rsid w:val="00AD19B8"/>
    <w:rsid w:val="00AD1A43"/>
    <w:rsid w:val="00AD1AAA"/>
    <w:rsid w:val="00AD1B5F"/>
    <w:rsid w:val="00AD1C66"/>
    <w:rsid w:val="00AD1D99"/>
    <w:rsid w:val="00AD1EE2"/>
    <w:rsid w:val="00AD2019"/>
    <w:rsid w:val="00AD208F"/>
    <w:rsid w:val="00AD2183"/>
    <w:rsid w:val="00AD28F7"/>
    <w:rsid w:val="00AD2BB7"/>
    <w:rsid w:val="00AD2C9F"/>
    <w:rsid w:val="00AD2CD6"/>
    <w:rsid w:val="00AD2D7F"/>
    <w:rsid w:val="00AD2FA5"/>
    <w:rsid w:val="00AD3005"/>
    <w:rsid w:val="00AD3053"/>
    <w:rsid w:val="00AD313F"/>
    <w:rsid w:val="00AD3168"/>
    <w:rsid w:val="00AD319F"/>
    <w:rsid w:val="00AD3349"/>
    <w:rsid w:val="00AD34E7"/>
    <w:rsid w:val="00AD3BB0"/>
    <w:rsid w:val="00AD3CD9"/>
    <w:rsid w:val="00AD3D77"/>
    <w:rsid w:val="00AD42B3"/>
    <w:rsid w:val="00AD4334"/>
    <w:rsid w:val="00AD439B"/>
    <w:rsid w:val="00AD4612"/>
    <w:rsid w:val="00AD4664"/>
    <w:rsid w:val="00AD46D4"/>
    <w:rsid w:val="00AD471A"/>
    <w:rsid w:val="00AD48F5"/>
    <w:rsid w:val="00AD4A32"/>
    <w:rsid w:val="00AD4AB0"/>
    <w:rsid w:val="00AD4B09"/>
    <w:rsid w:val="00AD4CC3"/>
    <w:rsid w:val="00AD4CD9"/>
    <w:rsid w:val="00AD4DD3"/>
    <w:rsid w:val="00AD4F7C"/>
    <w:rsid w:val="00AD50AC"/>
    <w:rsid w:val="00AD5316"/>
    <w:rsid w:val="00AD548F"/>
    <w:rsid w:val="00AD57A8"/>
    <w:rsid w:val="00AD57E6"/>
    <w:rsid w:val="00AD5953"/>
    <w:rsid w:val="00AD5B25"/>
    <w:rsid w:val="00AD5BAA"/>
    <w:rsid w:val="00AD5CEB"/>
    <w:rsid w:val="00AD5D03"/>
    <w:rsid w:val="00AD60D4"/>
    <w:rsid w:val="00AD6190"/>
    <w:rsid w:val="00AD623D"/>
    <w:rsid w:val="00AD6400"/>
    <w:rsid w:val="00AD642F"/>
    <w:rsid w:val="00AD6633"/>
    <w:rsid w:val="00AD6773"/>
    <w:rsid w:val="00AD6AD2"/>
    <w:rsid w:val="00AD6B43"/>
    <w:rsid w:val="00AD6F68"/>
    <w:rsid w:val="00AD6FEA"/>
    <w:rsid w:val="00AD7026"/>
    <w:rsid w:val="00AD727C"/>
    <w:rsid w:val="00AD73A1"/>
    <w:rsid w:val="00AD7745"/>
    <w:rsid w:val="00AD7B8D"/>
    <w:rsid w:val="00AD7E57"/>
    <w:rsid w:val="00AD7F13"/>
    <w:rsid w:val="00AD7FC8"/>
    <w:rsid w:val="00AE0070"/>
    <w:rsid w:val="00AE012C"/>
    <w:rsid w:val="00AE048F"/>
    <w:rsid w:val="00AE049B"/>
    <w:rsid w:val="00AE066B"/>
    <w:rsid w:val="00AE06F6"/>
    <w:rsid w:val="00AE0775"/>
    <w:rsid w:val="00AE093C"/>
    <w:rsid w:val="00AE0986"/>
    <w:rsid w:val="00AE0BCF"/>
    <w:rsid w:val="00AE0C04"/>
    <w:rsid w:val="00AE0C61"/>
    <w:rsid w:val="00AE0E03"/>
    <w:rsid w:val="00AE0E12"/>
    <w:rsid w:val="00AE0EB6"/>
    <w:rsid w:val="00AE108B"/>
    <w:rsid w:val="00AE10C7"/>
    <w:rsid w:val="00AE1158"/>
    <w:rsid w:val="00AE11F9"/>
    <w:rsid w:val="00AE11FA"/>
    <w:rsid w:val="00AE14B1"/>
    <w:rsid w:val="00AE14E7"/>
    <w:rsid w:val="00AE15FD"/>
    <w:rsid w:val="00AE1659"/>
    <w:rsid w:val="00AE171A"/>
    <w:rsid w:val="00AE1838"/>
    <w:rsid w:val="00AE18BE"/>
    <w:rsid w:val="00AE1AF7"/>
    <w:rsid w:val="00AE1B3D"/>
    <w:rsid w:val="00AE1DAD"/>
    <w:rsid w:val="00AE20E5"/>
    <w:rsid w:val="00AE262E"/>
    <w:rsid w:val="00AE26F1"/>
    <w:rsid w:val="00AE2753"/>
    <w:rsid w:val="00AE2C08"/>
    <w:rsid w:val="00AE2D5B"/>
    <w:rsid w:val="00AE2E35"/>
    <w:rsid w:val="00AE2FF7"/>
    <w:rsid w:val="00AE304E"/>
    <w:rsid w:val="00AE3105"/>
    <w:rsid w:val="00AE31FE"/>
    <w:rsid w:val="00AE32D0"/>
    <w:rsid w:val="00AE3333"/>
    <w:rsid w:val="00AE3352"/>
    <w:rsid w:val="00AE33D5"/>
    <w:rsid w:val="00AE3510"/>
    <w:rsid w:val="00AE358C"/>
    <w:rsid w:val="00AE363C"/>
    <w:rsid w:val="00AE381A"/>
    <w:rsid w:val="00AE38D6"/>
    <w:rsid w:val="00AE38EE"/>
    <w:rsid w:val="00AE3C51"/>
    <w:rsid w:val="00AE3CBA"/>
    <w:rsid w:val="00AE3D1F"/>
    <w:rsid w:val="00AE3EA0"/>
    <w:rsid w:val="00AE4198"/>
    <w:rsid w:val="00AE428E"/>
    <w:rsid w:val="00AE4380"/>
    <w:rsid w:val="00AE44FA"/>
    <w:rsid w:val="00AE4620"/>
    <w:rsid w:val="00AE462F"/>
    <w:rsid w:val="00AE48DB"/>
    <w:rsid w:val="00AE49FF"/>
    <w:rsid w:val="00AE4ABE"/>
    <w:rsid w:val="00AE4D23"/>
    <w:rsid w:val="00AE4D63"/>
    <w:rsid w:val="00AE4D84"/>
    <w:rsid w:val="00AE4DBE"/>
    <w:rsid w:val="00AE4F74"/>
    <w:rsid w:val="00AE505C"/>
    <w:rsid w:val="00AE5246"/>
    <w:rsid w:val="00AE5389"/>
    <w:rsid w:val="00AE5591"/>
    <w:rsid w:val="00AE56B3"/>
    <w:rsid w:val="00AE56B9"/>
    <w:rsid w:val="00AE5749"/>
    <w:rsid w:val="00AE57EA"/>
    <w:rsid w:val="00AE5960"/>
    <w:rsid w:val="00AE599C"/>
    <w:rsid w:val="00AE5BE7"/>
    <w:rsid w:val="00AE5D75"/>
    <w:rsid w:val="00AE5DA8"/>
    <w:rsid w:val="00AE5E15"/>
    <w:rsid w:val="00AE5F7F"/>
    <w:rsid w:val="00AE6076"/>
    <w:rsid w:val="00AE6184"/>
    <w:rsid w:val="00AE61ED"/>
    <w:rsid w:val="00AE6200"/>
    <w:rsid w:val="00AE6277"/>
    <w:rsid w:val="00AE63F1"/>
    <w:rsid w:val="00AE64D6"/>
    <w:rsid w:val="00AE65A8"/>
    <w:rsid w:val="00AE6607"/>
    <w:rsid w:val="00AE67FD"/>
    <w:rsid w:val="00AE699A"/>
    <w:rsid w:val="00AE69D4"/>
    <w:rsid w:val="00AE6A2C"/>
    <w:rsid w:val="00AE6F30"/>
    <w:rsid w:val="00AE6FD4"/>
    <w:rsid w:val="00AE6FDF"/>
    <w:rsid w:val="00AE71E4"/>
    <w:rsid w:val="00AE72B6"/>
    <w:rsid w:val="00AE752E"/>
    <w:rsid w:val="00AE765E"/>
    <w:rsid w:val="00AE7776"/>
    <w:rsid w:val="00AE7949"/>
    <w:rsid w:val="00AE794F"/>
    <w:rsid w:val="00AE7B28"/>
    <w:rsid w:val="00AE7DA2"/>
    <w:rsid w:val="00AE7E20"/>
    <w:rsid w:val="00AE7E92"/>
    <w:rsid w:val="00AF0204"/>
    <w:rsid w:val="00AF0520"/>
    <w:rsid w:val="00AF0572"/>
    <w:rsid w:val="00AF0677"/>
    <w:rsid w:val="00AF07BB"/>
    <w:rsid w:val="00AF07DE"/>
    <w:rsid w:val="00AF0892"/>
    <w:rsid w:val="00AF0901"/>
    <w:rsid w:val="00AF0962"/>
    <w:rsid w:val="00AF09D5"/>
    <w:rsid w:val="00AF0AA5"/>
    <w:rsid w:val="00AF0D1B"/>
    <w:rsid w:val="00AF0E25"/>
    <w:rsid w:val="00AF0F5B"/>
    <w:rsid w:val="00AF102A"/>
    <w:rsid w:val="00AF119B"/>
    <w:rsid w:val="00AF11E3"/>
    <w:rsid w:val="00AF1280"/>
    <w:rsid w:val="00AF1349"/>
    <w:rsid w:val="00AF1547"/>
    <w:rsid w:val="00AF159E"/>
    <w:rsid w:val="00AF198E"/>
    <w:rsid w:val="00AF1993"/>
    <w:rsid w:val="00AF1CD2"/>
    <w:rsid w:val="00AF1CFB"/>
    <w:rsid w:val="00AF1E3A"/>
    <w:rsid w:val="00AF1F43"/>
    <w:rsid w:val="00AF2234"/>
    <w:rsid w:val="00AF232D"/>
    <w:rsid w:val="00AF23FB"/>
    <w:rsid w:val="00AF2665"/>
    <w:rsid w:val="00AF2825"/>
    <w:rsid w:val="00AF28CA"/>
    <w:rsid w:val="00AF3062"/>
    <w:rsid w:val="00AF32D5"/>
    <w:rsid w:val="00AF3304"/>
    <w:rsid w:val="00AF3413"/>
    <w:rsid w:val="00AF3557"/>
    <w:rsid w:val="00AF35E6"/>
    <w:rsid w:val="00AF35FB"/>
    <w:rsid w:val="00AF3614"/>
    <w:rsid w:val="00AF38E6"/>
    <w:rsid w:val="00AF39D0"/>
    <w:rsid w:val="00AF39EA"/>
    <w:rsid w:val="00AF3A36"/>
    <w:rsid w:val="00AF3C2D"/>
    <w:rsid w:val="00AF3C6A"/>
    <w:rsid w:val="00AF3D25"/>
    <w:rsid w:val="00AF3EC5"/>
    <w:rsid w:val="00AF3FFD"/>
    <w:rsid w:val="00AF40F0"/>
    <w:rsid w:val="00AF415F"/>
    <w:rsid w:val="00AF4166"/>
    <w:rsid w:val="00AF439B"/>
    <w:rsid w:val="00AF4400"/>
    <w:rsid w:val="00AF440E"/>
    <w:rsid w:val="00AF44AD"/>
    <w:rsid w:val="00AF4528"/>
    <w:rsid w:val="00AF45C6"/>
    <w:rsid w:val="00AF46BB"/>
    <w:rsid w:val="00AF4923"/>
    <w:rsid w:val="00AF49D0"/>
    <w:rsid w:val="00AF4A54"/>
    <w:rsid w:val="00AF4CC6"/>
    <w:rsid w:val="00AF4E8C"/>
    <w:rsid w:val="00AF4F1D"/>
    <w:rsid w:val="00AF5102"/>
    <w:rsid w:val="00AF52AE"/>
    <w:rsid w:val="00AF54B8"/>
    <w:rsid w:val="00AF5937"/>
    <w:rsid w:val="00AF5B96"/>
    <w:rsid w:val="00AF5CFD"/>
    <w:rsid w:val="00AF5DE5"/>
    <w:rsid w:val="00AF5F7A"/>
    <w:rsid w:val="00AF6140"/>
    <w:rsid w:val="00AF628B"/>
    <w:rsid w:val="00AF62AD"/>
    <w:rsid w:val="00AF64D6"/>
    <w:rsid w:val="00AF652F"/>
    <w:rsid w:val="00AF653E"/>
    <w:rsid w:val="00AF6568"/>
    <w:rsid w:val="00AF6630"/>
    <w:rsid w:val="00AF66FA"/>
    <w:rsid w:val="00AF683D"/>
    <w:rsid w:val="00AF685C"/>
    <w:rsid w:val="00AF696A"/>
    <w:rsid w:val="00AF6A4A"/>
    <w:rsid w:val="00AF6A8B"/>
    <w:rsid w:val="00AF6F8C"/>
    <w:rsid w:val="00AF70B4"/>
    <w:rsid w:val="00AF714B"/>
    <w:rsid w:val="00AF7178"/>
    <w:rsid w:val="00AF7359"/>
    <w:rsid w:val="00AF73A5"/>
    <w:rsid w:val="00AF74C3"/>
    <w:rsid w:val="00AF74E4"/>
    <w:rsid w:val="00AF74FE"/>
    <w:rsid w:val="00AF7A30"/>
    <w:rsid w:val="00AF7A92"/>
    <w:rsid w:val="00AF7AB3"/>
    <w:rsid w:val="00AF7B9B"/>
    <w:rsid w:val="00AF7EA3"/>
    <w:rsid w:val="00B0001E"/>
    <w:rsid w:val="00B002A5"/>
    <w:rsid w:val="00B00324"/>
    <w:rsid w:val="00B0033F"/>
    <w:rsid w:val="00B004A4"/>
    <w:rsid w:val="00B006A9"/>
    <w:rsid w:val="00B00758"/>
    <w:rsid w:val="00B008AC"/>
    <w:rsid w:val="00B00A59"/>
    <w:rsid w:val="00B00AA7"/>
    <w:rsid w:val="00B00B58"/>
    <w:rsid w:val="00B00BC0"/>
    <w:rsid w:val="00B00C88"/>
    <w:rsid w:val="00B01196"/>
    <w:rsid w:val="00B011BF"/>
    <w:rsid w:val="00B011D8"/>
    <w:rsid w:val="00B0125B"/>
    <w:rsid w:val="00B01269"/>
    <w:rsid w:val="00B012C7"/>
    <w:rsid w:val="00B012D7"/>
    <w:rsid w:val="00B013E1"/>
    <w:rsid w:val="00B01436"/>
    <w:rsid w:val="00B0144E"/>
    <w:rsid w:val="00B01480"/>
    <w:rsid w:val="00B01604"/>
    <w:rsid w:val="00B01638"/>
    <w:rsid w:val="00B0172E"/>
    <w:rsid w:val="00B01911"/>
    <w:rsid w:val="00B0195E"/>
    <w:rsid w:val="00B01A0D"/>
    <w:rsid w:val="00B01C71"/>
    <w:rsid w:val="00B01ECD"/>
    <w:rsid w:val="00B01F2E"/>
    <w:rsid w:val="00B02037"/>
    <w:rsid w:val="00B02046"/>
    <w:rsid w:val="00B0218F"/>
    <w:rsid w:val="00B02394"/>
    <w:rsid w:val="00B025FD"/>
    <w:rsid w:val="00B02716"/>
    <w:rsid w:val="00B02773"/>
    <w:rsid w:val="00B02A18"/>
    <w:rsid w:val="00B02AD8"/>
    <w:rsid w:val="00B02B3D"/>
    <w:rsid w:val="00B02E50"/>
    <w:rsid w:val="00B0300D"/>
    <w:rsid w:val="00B0319F"/>
    <w:rsid w:val="00B031CC"/>
    <w:rsid w:val="00B03465"/>
    <w:rsid w:val="00B03526"/>
    <w:rsid w:val="00B03701"/>
    <w:rsid w:val="00B03861"/>
    <w:rsid w:val="00B0397D"/>
    <w:rsid w:val="00B039A6"/>
    <w:rsid w:val="00B03AB2"/>
    <w:rsid w:val="00B03AD2"/>
    <w:rsid w:val="00B03B31"/>
    <w:rsid w:val="00B03EBA"/>
    <w:rsid w:val="00B03F10"/>
    <w:rsid w:val="00B04079"/>
    <w:rsid w:val="00B042AA"/>
    <w:rsid w:val="00B0441A"/>
    <w:rsid w:val="00B045A0"/>
    <w:rsid w:val="00B045EC"/>
    <w:rsid w:val="00B0460C"/>
    <w:rsid w:val="00B0462D"/>
    <w:rsid w:val="00B0467E"/>
    <w:rsid w:val="00B0468C"/>
    <w:rsid w:val="00B047AE"/>
    <w:rsid w:val="00B04906"/>
    <w:rsid w:val="00B04921"/>
    <w:rsid w:val="00B0495D"/>
    <w:rsid w:val="00B04C73"/>
    <w:rsid w:val="00B04CE6"/>
    <w:rsid w:val="00B04D64"/>
    <w:rsid w:val="00B04DF1"/>
    <w:rsid w:val="00B04DFB"/>
    <w:rsid w:val="00B04F14"/>
    <w:rsid w:val="00B05345"/>
    <w:rsid w:val="00B053B1"/>
    <w:rsid w:val="00B054D8"/>
    <w:rsid w:val="00B05684"/>
    <w:rsid w:val="00B05903"/>
    <w:rsid w:val="00B05ACE"/>
    <w:rsid w:val="00B05B7F"/>
    <w:rsid w:val="00B05E18"/>
    <w:rsid w:val="00B05E6D"/>
    <w:rsid w:val="00B06077"/>
    <w:rsid w:val="00B06168"/>
    <w:rsid w:val="00B062F6"/>
    <w:rsid w:val="00B065B1"/>
    <w:rsid w:val="00B065EA"/>
    <w:rsid w:val="00B0666C"/>
    <w:rsid w:val="00B0680D"/>
    <w:rsid w:val="00B06AD4"/>
    <w:rsid w:val="00B06AE8"/>
    <w:rsid w:val="00B06B20"/>
    <w:rsid w:val="00B06D93"/>
    <w:rsid w:val="00B0762D"/>
    <w:rsid w:val="00B0776C"/>
    <w:rsid w:val="00B077FE"/>
    <w:rsid w:val="00B0781A"/>
    <w:rsid w:val="00B0799A"/>
    <w:rsid w:val="00B07A7C"/>
    <w:rsid w:val="00B07BA0"/>
    <w:rsid w:val="00B07DB5"/>
    <w:rsid w:val="00B07F53"/>
    <w:rsid w:val="00B1021A"/>
    <w:rsid w:val="00B102C9"/>
    <w:rsid w:val="00B10302"/>
    <w:rsid w:val="00B104CA"/>
    <w:rsid w:val="00B1061E"/>
    <w:rsid w:val="00B10B7D"/>
    <w:rsid w:val="00B10BA4"/>
    <w:rsid w:val="00B10C08"/>
    <w:rsid w:val="00B10C9A"/>
    <w:rsid w:val="00B10CB7"/>
    <w:rsid w:val="00B10F9F"/>
    <w:rsid w:val="00B10FC1"/>
    <w:rsid w:val="00B11032"/>
    <w:rsid w:val="00B1108D"/>
    <w:rsid w:val="00B111E8"/>
    <w:rsid w:val="00B115C9"/>
    <w:rsid w:val="00B116B7"/>
    <w:rsid w:val="00B11EFF"/>
    <w:rsid w:val="00B11F2E"/>
    <w:rsid w:val="00B11FE3"/>
    <w:rsid w:val="00B1216A"/>
    <w:rsid w:val="00B1222B"/>
    <w:rsid w:val="00B1233F"/>
    <w:rsid w:val="00B12536"/>
    <w:rsid w:val="00B12732"/>
    <w:rsid w:val="00B1275C"/>
    <w:rsid w:val="00B127F3"/>
    <w:rsid w:val="00B1298A"/>
    <w:rsid w:val="00B129B6"/>
    <w:rsid w:val="00B129E2"/>
    <w:rsid w:val="00B12B4F"/>
    <w:rsid w:val="00B12B72"/>
    <w:rsid w:val="00B12C26"/>
    <w:rsid w:val="00B12CDF"/>
    <w:rsid w:val="00B12D4F"/>
    <w:rsid w:val="00B12D52"/>
    <w:rsid w:val="00B12D94"/>
    <w:rsid w:val="00B12E28"/>
    <w:rsid w:val="00B12F1C"/>
    <w:rsid w:val="00B1309F"/>
    <w:rsid w:val="00B130D4"/>
    <w:rsid w:val="00B132D6"/>
    <w:rsid w:val="00B132FE"/>
    <w:rsid w:val="00B13398"/>
    <w:rsid w:val="00B133F2"/>
    <w:rsid w:val="00B137CF"/>
    <w:rsid w:val="00B138DE"/>
    <w:rsid w:val="00B138E0"/>
    <w:rsid w:val="00B138EF"/>
    <w:rsid w:val="00B1397D"/>
    <w:rsid w:val="00B13DB4"/>
    <w:rsid w:val="00B13EF2"/>
    <w:rsid w:val="00B13EFB"/>
    <w:rsid w:val="00B13F3B"/>
    <w:rsid w:val="00B14273"/>
    <w:rsid w:val="00B143DB"/>
    <w:rsid w:val="00B14409"/>
    <w:rsid w:val="00B14480"/>
    <w:rsid w:val="00B145D9"/>
    <w:rsid w:val="00B146FF"/>
    <w:rsid w:val="00B14736"/>
    <w:rsid w:val="00B147A8"/>
    <w:rsid w:val="00B149A8"/>
    <w:rsid w:val="00B149D2"/>
    <w:rsid w:val="00B14DD5"/>
    <w:rsid w:val="00B14E9F"/>
    <w:rsid w:val="00B14F61"/>
    <w:rsid w:val="00B1511D"/>
    <w:rsid w:val="00B15240"/>
    <w:rsid w:val="00B152D6"/>
    <w:rsid w:val="00B15474"/>
    <w:rsid w:val="00B1550F"/>
    <w:rsid w:val="00B15554"/>
    <w:rsid w:val="00B15643"/>
    <w:rsid w:val="00B15848"/>
    <w:rsid w:val="00B15D0A"/>
    <w:rsid w:val="00B15E1B"/>
    <w:rsid w:val="00B15FB4"/>
    <w:rsid w:val="00B15FB8"/>
    <w:rsid w:val="00B1601C"/>
    <w:rsid w:val="00B160B7"/>
    <w:rsid w:val="00B160D5"/>
    <w:rsid w:val="00B1633C"/>
    <w:rsid w:val="00B163A1"/>
    <w:rsid w:val="00B16592"/>
    <w:rsid w:val="00B16660"/>
    <w:rsid w:val="00B167F6"/>
    <w:rsid w:val="00B16AA3"/>
    <w:rsid w:val="00B16C20"/>
    <w:rsid w:val="00B16C3E"/>
    <w:rsid w:val="00B16CA9"/>
    <w:rsid w:val="00B16D88"/>
    <w:rsid w:val="00B16E6E"/>
    <w:rsid w:val="00B16E97"/>
    <w:rsid w:val="00B16EF2"/>
    <w:rsid w:val="00B16FC3"/>
    <w:rsid w:val="00B170B7"/>
    <w:rsid w:val="00B1710A"/>
    <w:rsid w:val="00B17382"/>
    <w:rsid w:val="00B175C2"/>
    <w:rsid w:val="00B175D2"/>
    <w:rsid w:val="00B1774A"/>
    <w:rsid w:val="00B17769"/>
    <w:rsid w:val="00B17770"/>
    <w:rsid w:val="00B1778F"/>
    <w:rsid w:val="00B1790E"/>
    <w:rsid w:val="00B17A95"/>
    <w:rsid w:val="00B17BA1"/>
    <w:rsid w:val="00B17C9D"/>
    <w:rsid w:val="00B17D57"/>
    <w:rsid w:val="00B17E1D"/>
    <w:rsid w:val="00B17E73"/>
    <w:rsid w:val="00B20043"/>
    <w:rsid w:val="00B2011B"/>
    <w:rsid w:val="00B201EB"/>
    <w:rsid w:val="00B202A1"/>
    <w:rsid w:val="00B2030E"/>
    <w:rsid w:val="00B2063C"/>
    <w:rsid w:val="00B20857"/>
    <w:rsid w:val="00B20938"/>
    <w:rsid w:val="00B20A91"/>
    <w:rsid w:val="00B20B27"/>
    <w:rsid w:val="00B20C67"/>
    <w:rsid w:val="00B20CCC"/>
    <w:rsid w:val="00B20D27"/>
    <w:rsid w:val="00B20DE6"/>
    <w:rsid w:val="00B20E85"/>
    <w:rsid w:val="00B20ED1"/>
    <w:rsid w:val="00B210BD"/>
    <w:rsid w:val="00B211A5"/>
    <w:rsid w:val="00B2133A"/>
    <w:rsid w:val="00B2135B"/>
    <w:rsid w:val="00B213F2"/>
    <w:rsid w:val="00B21645"/>
    <w:rsid w:val="00B2165B"/>
    <w:rsid w:val="00B21710"/>
    <w:rsid w:val="00B21904"/>
    <w:rsid w:val="00B21935"/>
    <w:rsid w:val="00B21A26"/>
    <w:rsid w:val="00B21A3C"/>
    <w:rsid w:val="00B21A70"/>
    <w:rsid w:val="00B21B6A"/>
    <w:rsid w:val="00B21BDB"/>
    <w:rsid w:val="00B21EA4"/>
    <w:rsid w:val="00B22550"/>
    <w:rsid w:val="00B22658"/>
    <w:rsid w:val="00B22669"/>
    <w:rsid w:val="00B227DE"/>
    <w:rsid w:val="00B227E7"/>
    <w:rsid w:val="00B22A16"/>
    <w:rsid w:val="00B22BB9"/>
    <w:rsid w:val="00B22CA4"/>
    <w:rsid w:val="00B23150"/>
    <w:rsid w:val="00B23285"/>
    <w:rsid w:val="00B2364C"/>
    <w:rsid w:val="00B23AF6"/>
    <w:rsid w:val="00B23C36"/>
    <w:rsid w:val="00B23DB0"/>
    <w:rsid w:val="00B23EDE"/>
    <w:rsid w:val="00B23F19"/>
    <w:rsid w:val="00B24032"/>
    <w:rsid w:val="00B243FF"/>
    <w:rsid w:val="00B2447C"/>
    <w:rsid w:val="00B244A3"/>
    <w:rsid w:val="00B24504"/>
    <w:rsid w:val="00B249B8"/>
    <w:rsid w:val="00B24A42"/>
    <w:rsid w:val="00B24A4F"/>
    <w:rsid w:val="00B24A82"/>
    <w:rsid w:val="00B24AFF"/>
    <w:rsid w:val="00B24C4F"/>
    <w:rsid w:val="00B24E09"/>
    <w:rsid w:val="00B24E67"/>
    <w:rsid w:val="00B24E8A"/>
    <w:rsid w:val="00B24F3B"/>
    <w:rsid w:val="00B2501A"/>
    <w:rsid w:val="00B25387"/>
    <w:rsid w:val="00B255BE"/>
    <w:rsid w:val="00B256B7"/>
    <w:rsid w:val="00B256C4"/>
    <w:rsid w:val="00B25868"/>
    <w:rsid w:val="00B25AC7"/>
    <w:rsid w:val="00B25AE8"/>
    <w:rsid w:val="00B25C05"/>
    <w:rsid w:val="00B25C94"/>
    <w:rsid w:val="00B25F36"/>
    <w:rsid w:val="00B26540"/>
    <w:rsid w:val="00B2654D"/>
    <w:rsid w:val="00B265CC"/>
    <w:rsid w:val="00B267B1"/>
    <w:rsid w:val="00B268BF"/>
    <w:rsid w:val="00B2693B"/>
    <w:rsid w:val="00B26A42"/>
    <w:rsid w:val="00B26B2D"/>
    <w:rsid w:val="00B26B2E"/>
    <w:rsid w:val="00B26B45"/>
    <w:rsid w:val="00B26BCE"/>
    <w:rsid w:val="00B26EF1"/>
    <w:rsid w:val="00B26F09"/>
    <w:rsid w:val="00B271B0"/>
    <w:rsid w:val="00B2720D"/>
    <w:rsid w:val="00B272AC"/>
    <w:rsid w:val="00B276B0"/>
    <w:rsid w:val="00B27706"/>
    <w:rsid w:val="00B27AEE"/>
    <w:rsid w:val="00B27AFA"/>
    <w:rsid w:val="00B27B01"/>
    <w:rsid w:val="00B27E76"/>
    <w:rsid w:val="00B27F6B"/>
    <w:rsid w:val="00B27F88"/>
    <w:rsid w:val="00B3007F"/>
    <w:rsid w:val="00B3009D"/>
    <w:rsid w:val="00B3013B"/>
    <w:rsid w:val="00B3018F"/>
    <w:rsid w:val="00B301BF"/>
    <w:rsid w:val="00B302ED"/>
    <w:rsid w:val="00B30403"/>
    <w:rsid w:val="00B305D7"/>
    <w:rsid w:val="00B3063B"/>
    <w:rsid w:val="00B30749"/>
    <w:rsid w:val="00B3080B"/>
    <w:rsid w:val="00B309C6"/>
    <w:rsid w:val="00B309FD"/>
    <w:rsid w:val="00B30B5C"/>
    <w:rsid w:val="00B30B9F"/>
    <w:rsid w:val="00B30BDC"/>
    <w:rsid w:val="00B30C3A"/>
    <w:rsid w:val="00B30C90"/>
    <w:rsid w:val="00B31062"/>
    <w:rsid w:val="00B31095"/>
    <w:rsid w:val="00B316A1"/>
    <w:rsid w:val="00B3178F"/>
    <w:rsid w:val="00B318D0"/>
    <w:rsid w:val="00B31A7D"/>
    <w:rsid w:val="00B31B16"/>
    <w:rsid w:val="00B31C0F"/>
    <w:rsid w:val="00B31FA9"/>
    <w:rsid w:val="00B323D3"/>
    <w:rsid w:val="00B327AE"/>
    <w:rsid w:val="00B327B0"/>
    <w:rsid w:val="00B327E3"/>
    <w:rsid w:val="00B32ACB"/>
    <w:rsid w:val="00B32E41"/>
    <w:rsid w:val="00B32FB5"/>
    <w:rsid w:val="00B32FE3"/>
    <w:rsid w:val="00B33077"/>
    <w:rsid w:val="00B3313B"/>
    <w:rsid w:val="00B33149"/>
    <w:rsid w:val="00B33277"/>
    <w:rsid w:val="00B33389"/>
    <w:rsid w:val="00B33536"/>
    <w:rsid w:val="00B335DA"/>
    <w:rsid w:val="00B33602"/>
    <w:rsid w:val="00B3367C"/>
    <w:rsid w:val="00B33722"/>
    <w:rsid w:val="00B337C3"/>
    <w:rsid w:val="00B33C33"/>
    <w:rsid w:val="00B33D5F"/>
    <w:rsid w:val="00B33E75"/>
    <w:rsid w:val="00B340C1"/>
    <w:rsid w:val="00B341A0"/>
    <w:rsid w:val="00B343E6"/>
    <w:rsid w:val="00B344C6"/>
    <w:rsid w:val="00B34532"/>
    <w:rsid w:val="00B34562"/>
    <w:rsid w:val="00B3460F"/>
    <w:rsid w:val="00B34A11"/>
    <w:rsid w:val="00B34A34"/>
    <w:rsid w:val="00B34B1A"/>
    <w:rsid w:val="00B34C21"/>
    <w:rsid w:val="00B34CC9"/>
    <w:rsid w:val="00B34E6E"/>
    <w:rsid w:val="00B34EB1"/>
    <w:rsid w:val="00B34EFF"/>
    <w:rsid w:val="00B34F72"/>
    <w:rsid w:val="00B3523E"/>
    <w:rsid w:val="00B35419"/>
    <w:rsid w:val="00B35468"/>
    <w:rsid w:val="00B35516"/>
    <w:rsid w:val="00B35581"/>
    <w:rsid w:val="00B3575A"/>
    <w:rsid w:val="00B3582A"/>
    <w:rsid w:val="00B35A85"/>
    <w:rsid w:val="00B35B06"/>
    <w:rsid w:val="00B35B08"/>
    <w:rsid w:val="00B35DB7"/>
    <w:rsid w:val="00B35E37"/>
    <w:rsid w:val="00B35E62"/>
    <w:rsid w:val="00B35EBD"/>
    <w:rsid w:val="00B35F12"/>
    <w:rsid w:val="00B36074"/>
    <w:rsid w:val="00B36273"/>
    <w:rsid w:val="00B36351"/>
    <w:rsid w:val="00B36832"/>
    <w:rsid w:val="00B36904"/>
    <w:rsid w:val="00B36966"/>
    <w:rsid w:val="00B36972"/>
    <w:rsid w:val="00B3698F"/>
    <w:rsid w:val="00B36CC7"/>
    <w:rsid w:val="00B36DF8"/>
    <w:rsid w:val="00B36EEA"/>
    <w:rsid w:val="00B36F8B"/>
    <w:rsid w:val="00B371E1"/>
    <w:rsid w:val="00B371F5"/>
    <w:rsid w:val="00B3755B"/>
    <w:rsid w:val="00B375DC"/>
    <w:rsid w:val="00B3761B"/>
    <w:rsid w:val="00B3762B"/>
    <w:rsid w:val="00B37671"/>
    <w:rsid w:val="00B376CD"/>
    <w:rsid w:val="00B3776C"/>
    <w:rsid w:val="00B37804"/>
    <w:rsid w:val="00B37969"/>
    <w:rsid w:val="00B379CF"/>
    <w:rsid w:val="00B37C8B"/>
    <w:rsid w:val="00B37D74"/>
    <w:rsid w:val="00B37E9D"/>
    <w:rsid w:val="00B37FB4"/>
    <w:rsid w:val="00B400DE"/>
    <w:rsid w:val="00B4013E"/>
    <w:rsid w:val="00B401B0"/>
    <w:rsid w:val="00B405A1"/>
    <w:rsid w:val="00B40994"/>
    <w:rsid w:val="00B40B1A"/>
    <w:rsid w:val="00B40FEB"/>
    <w:rsid w:val="00B4109A"/>
    <w:rsid w:val="00B4111F"/>
    <w:rsid w:val="00B41378"/>
    <w:rsid w:val="00B4144F"/>
    <w:rsid w:val="00B416E7"/>
    <w:rsid w:val="00B417F6"/>
    <w:rsid w:val="00B41897"/>
    <w:rsid w:val="00B41B1F"/>
    <w:rsid w:val="00B41B3C"/>
    <w:rsid w:val="00B41D0F"/>
    <w:rsid w:val="00B41DE1"/>
    <w:rsid w:val="00B41E38"/>
    <w:rsid w:val="00B41E4E"/>
    <w:rsid w:val="00B41FF0"/>
    <w:rsid w:val="00B420CF"/>
    <w:rsid w:val="00B420D6"/>
    <w:rsid w:val="00B42179"/>
    <w:rsid w:val="00B42260"/>
    <w:rsid w:val="00B42398"/>
    <w:rsid w:val="00B424D5"/>
    <w:rsid w:val="00B42571"/>
    <w:rsid w:val="00B42604"/>
    <w:rsid w:val="00B4269D"/>
    <w:rsid w:val="00B4280D"/>
    <w:rsid w:val="00B42821"/>
    <w:rsid w:val="00B42B02"/>
    <w:rsid w:val="00B42B0A"/>
    <w:rsid w:val="00B42B3D"/>
    <w:rsid w:val="00B42BE6"/>
    <w:rsid w:val="00B42C11"/>
    <w:rsid w:val="00B42D12"/>
    <w:rsid w:val="00B42F2D"/>
    <w:rsid w:val="00B42F8B"/>
    <w:rsid w:val="00B430CF"/>
    <w:rsid w:val="00B430FC"/>
    <w:rsid w:val="00B431CB"/>
    <w:rsid w:val="00B43659"/>
    <w:rsid w:val="00B436E2"/>
    <w:rsid w:val="00B438B0"/>
    <w:rsid w:val="00B43945"/>
    <w:rsid w:val="00B4398B"/>
    <w:rsid w:val="00B439BF"/>
    <w:rsid w:val="00B43A52"/>
    <w:rsid w:val="00B43B03"/>
    <w:rsid w:val="00B43C52"/>
    <w:rsid w:val="00B43EE7"/>
    <w:rsid w:val="00B43FF7"/>
    <w:rsid w:val="00B440B8"/>
    <w:rsid w:val="00B44180"/>
    <w:rsid w:val="00B441A0"/>
    <w:rsid w:val="00B4433C"/>
    <w:rsid w:val="00B44740"/>
    <w:rsid w:val="00B4486F"/>
    <w:rsid w:val="00B448CB"/>
    <w:rsid w:val="00B448D7"/>
    <w:rsid w:val="00B44A34"/>
    <w:rsid w:val="00B44B54"/>
    <w:rsid w:val="00B4515B"/>
    <w:rsid w:val="00B45683"/>
    <w:rsid w:val="00B458BF"/>
    <w:rsid w:val="00B45995"/>
    <w:rsid w:val="00B45AC4"/>
    <w:rsid w:val="00B45B82"/>
    <w:rsid w:val="00B45D45"/>
    <w:rsid w:val="00B45DD4"/>
    <w:rsid w:val="00B45E20"/>
    <w:rsid w:val="00B45EAD"/>
    <w:rsid w:val="00B4601B"/>
    <w:rsid w:val="00B4609B"/>
    <w:rsid w:val="00B46287"/>
    <w:rsid w:val="00B462D8"/>
    <w:rsid w:val="00B465F5"/>
    <w:rsid w:val="00B4668D"/>
    <w:rsid w:val="00B46A8E"/>
    <w:rsid w:val="00B46C4D"/>
    <w:rsid w:val="00B46E80"/>
    <w:rsid w:val="00B4712E"/>
    <w:rsid w:val="00B47281"/>
    <w:rsid w:val="00B47360"/>
    <w:rsid w:val="00B4743C"/>
    <w:rsid w:val="00B475EA"/>
    <w:rsid w:val="00B47861"/>
    <w:rsid w:val="00B478F9"/>
    <w:rsid w:val="00B479A5"/>
    <w:rsid w:val="00B47B0B"/>
    <w:rsid w:val="00B47B5A"/>
    <w:rsid w:val="00B47BF6"/>
    <w:rsid w:val="00B47CBF"/>
    <w:rsid w:val="00B47DB1"/>
    <w:rsid w:val="00B47DBA"/>
    <w:rsid w:val="00B47EA6"/>
    <w:rsid w:val="00B500B1"/>
    <w:rsid w:val="00B50112"/>
    <w:rsid w:val="00B5028F"/>
    <w:rsid w:val="00B5041B"/>
    <w:rsid w:val="00B50449"/>
    <w:rsid w:val="00B504A7"/>
    <w:rsid w:val="00B50637"/>
    <w:rsid w:val="00B50A3D"/>
    <w:rsid w:val="00B50B42"/>
    <w:rsid w:val="00B50D03"/>
    <w:rsid w:val="00B50E2F"/>
    <w:rsid w:val="00B50FCE"/>
    <w:rsid w:val="00B5107E"/>
    <w:rsid w:val="00B514E3"/>
    <w:rsid w:val="00B51544"/>
    <w:rsid w:val="00B515A2"/>
    <w:rsid w:val="00B515A4"/>
    <w:rsid w:val="00B516F6"/>
    <w:rsid w:val="00B51722"/>
    <w:rsid w:val="00B51939"/>
    <w:rsid w:val="00B51BEE"/>
    <w:rsid w:val="00B51D2A"/>
    <w:rsid w:val="00B51E7B"/>
    <w:rsid w:val="00B521B9"/>
    <w:rsid w:val="00B521F9"/>
    <w:rsid w:val="00B52593"/>
    <w:rsid w:val="00B52620"/>
    <w:rsid w:val="00B52661"/>
    <w:rsid w:val="00B52757"/>
    <w:rsid w:val="00B527DF"/>
    <w:rsid w:val="00B52867"/>
    <w:rsid w:val="00B52984"/>
    <w:rsid w:val="00B52A44"/>
    <w:rsid w:val="00B52E89"/>
    <w:rsid w:val="00B5307B"/>
    <w:rsid w:val="00B530F2"/>
    <w:rsid w:val="00B531EB"/>
    <w:rsid w:val="00B532E5"/>
    <w:rsid w:val="00B533D6"/>
    <w:rsid w:val="00B53448"/>
    <w:rsid w:val="00B535C7"/>
    <w:rsid w:val="00B53611"/>
    <w:rsid w:val="00B536BA"/>
    <w:rsid w:val="00B53955"/>
    <w:rsid w:val="00B539AB"/>
    <w:rsid w:val="00B539E5"/>
    <w:rsid w:val="00B539E6"/>
    <w:rsid w:val="00B53EB7"/>
    <w:rsid w:val="00B542E1"/>
    <w:rsid w:val="00B543C4"/>
    <w:rsid w:val="00B543F0"/>
    <w:rsid w:val="00B54400"/>
    <w:rsid w:val="00B54596"/>
    <w:rsid w:val="00B546CB"/>
    <w:rsid w:val="00B5472A"/>
    <w:rsid w:val="00B54962"/>
    <w:rsid w:val="00B54A84"/>
    <w:rsid w:val="00B54ACD"/>
    <w:rsid w:val="00B54DEE"/>
    <w:rsid w:val="00B54E28"/>
    <w:rsid w:val="00B54EDD"/>
    <w:rsid w:val="00B54EE4"/>
    <w:rsid w:val="00B54FAE"/>
    <w:rsid w:val="00B5503B"/>
    <w:rsid w:val="00B5507B"/>
    <w:rsid w:val="00B55398"/>
    <w:rsid w:val="00B553B0"/>
    <w:rsid w:val="00B5568A"/>
    <w:rsid w:val="00B55A37"/>
    <w:rsid w:val="00B55AC1"/>
    <w:rsid w:val="00B55B75"/>
    <w:rsid w:val="00B5601A"/>
    <w:rsid w:val="00B5604F"/>
    <w:rsid w:val="00B5606D"/>
    <w:rsid w:val="00B561BD"/>
    <w:rsid w:val="00B562AE"/>
    <w:rsid w:val="00B5681E"/>
    <w:rsid w:val="00B56845"/>
    <w:rsid w:val="00B56887"/>
    <w:rsid w:val="00B568C7"/>
    <w:rsid w:val="00B569D9"/>
    <w:rsid w:val="00B56A23"/>
    <w:rsid w:val="00B56A6A"/>
    <w:rsid w:val="00B56B7C"/>
    <w:rsid w:val="00B56CD8"/>
    <w:rsid w:val="00B56D53"/>
    <w:rsid w:val="00B56E53"/>
    <w:rsid w:val="00B56E6C"/>
    <w:rsid w:val="00B56E8A"/>
    <w:rsid w:val="00B56F5C"/>
    <w:rsid w:val="00B57215"/>
    <w:rsid w:val="00B57279"/>
    <w:rsid w:val="00B575AE"/>
    <w:rsid w:val="00B575F1"/>
    <w:rsid w:val="00B57880"/>
    <w:rsid w:val="00B578C9"/>
    <w:rsid w:val="00B578F5"/>
    <w:rsid w:val="00B5795C"/>
    <w:rsid w:val="00B57A4F"/>
    <w:rsid w:val="00B57AA2"/>
    <w:rsid w:val="00B57AA7"/>
    <w:rsid w:val="00B57AC5"/>
    <w:rsid w:val="00B57B76"/>
    <w:rsid w:val="00B57CFC"/>
    <w:rsid w:val="00B57D24"/>
    <w:rsid w:val="00B57D6D"/>
    <w:rsid w:val="00B600CE"/>
    <w:rsid w:val="00B60235"/>
    <w:rsid w:val="00B6047A"/>
    <w:rsid w:val="00B6060A"/>
    <w:rsid w:val="00B60BD5"/>
    <w:rsid w:val="00B60C9E"/>
    <w:rsid w:val="00B60DB5"/>
    <w:rsid w:val="00B60DFF"/>
    <w:rsid w:val="00B60E74"/>
    <w:rsid w:val="00B6111E"/>
    <w:rsid w:val="00B612D2"/>
    <w:rsid w:val="00B6149A"/>
    <w:rsid w:val="00B615FD"/>
    <w:rsid w:val="00B6163A"/>
    <w:rsid w:val="00B617FF"/>
    <w:rsid w:val="00B618DB"/>
    <w:rsid w:val="00B61BFB"/>
    <w:rsid w:val="00B61EDC"/>
    <w:rsid w:val="00B61F1C"/>
    <w:rsid w:val="00B62085"/>
    <w:rsid w:val="00B620EF"/>
    <w:rsid w:val="00B620F0"/>
    <w:rsid w:val="00B621CD"/>
    <w:rsid w:val="00B6223C"/>
    <w:rsid w:val="00B624B6"/>
    <w:rsid w:val="00B6252D"/>
    <w:rsid w:val="00B62604"/>
    <w:rsid w:val="00B626EF"/>
    <w:rsid w:val="00B628E9"/>
    <w:rsid w:val="00B628EB"/>
    <w:rsid w:val="00B6294F"/>
    <w:rsid w:val="00B62D3A"/>
    <w:rsid w:val="00B62EFA"/>
    <w:rsid w:val="00B62FFE"/>
    <w:rsid w:val="00B63025"/>
    <w:rsid w:val="00B6306A"/>
    <w:rsid w:val="00B6309C"/>
    <w:rsid w:val="00B631D6"/>
    <w:rsid w:val="00B633A5"/>
    <w:rsid w:val="00B63431"/>
    <w:rsid w:val="00B63536"/>
    <w:rsid w:val="00B63537"/>
    <w:rsid w:val="00B6378B"/>
    <w:rsid w:val="00B63C4B"/>
    <w:rsid w:val="00B63EF2"/>
    <w:rsid w:val="00B63F77"/>
    <w:rsid w:val="00B63FC7"/>
    <w:rsid w:val="00B64019"/>
    <w:rsid w:val="00B6402E"/>
    <w:rsid w:val="00B64144"/>
    <w:rsid w:val="00B6417F"/>
    <w:rsid w:val="00B64211"/>
    <w:rsid w:val="00B642B9"/>
    <w:rsid w:val="00B64687"/>
    <w:rsid w:val="00B647C7"/>
    <w:rsid w:val="00B64820"/>
    <w:rsid w:val="00B64B12"/>
    <w:rsid w:val="00B64BD3"/>
    <w:rsid w:val="00B64CFB"/>
    <w:rsid w:val="00B64F42"/>
    <w:rsid w:val="00B6538D"/>
    <w:rsid w:val="00B653AB"/>
    <w:rsid w:val="00B65488"/>
    <w:rsid w:val="00B65675"/>
    <w:rsid w:val="00B6571E"/>
    <w:rsid w:val="00B65953"/>
    <w:rsid w:val="00B65B86"/>
    <w:rsid w:val="00B65EEC"/>
    <w:rsid w:val="00B661BE"/>
    <w:rsid w:val="00B662B0"/>
    <w:rsid w:val="00B665FA"/>
    <w:rsid w:val="00B666A7"/>
    <w:rsid w:val="00B6684E"/>
    <w:rsid w:val="00B668D0"/>
    <w:rsid w:val="00B6696E"/>
    <w:rsid w:val="00B66AB3"/>
    <w:rsid w:val="00B66B79"/>
    <w:rsid w:val="00B66BC4"/>
    <w:rsid w:val="00B66C19"/>
    <w:rsid w:val="00B66C69"/>
    <w:rsid w:val="00B66CF8"/>
    <w:rsid w:val="00B66D9F"/>
    <w:rsid w:val="00B67085"/>
    <w:rsid w:val="00B6708E"/>
    <w:rsid w:val="00B67221"/>
    <w:rsid w:val="00B67228"/>
    <w:rsid w:val="00B672CB"/>
    <w:rsid w:val="00B673B3"/>
    <w:rsid w:val="00B67462"/>
    <w:rsid w:val="00B674BB"/>
    <w:rsid w:val="00B67671"/>
    <w:rsid w:val="00B6778A"/>
    <w:rsid w:val="00B67885"/>
    <w:rsid w:val="00B67AE0"/>
    <w:rsid w:val="00B67B57"/>
    <w:rsid w:val="00B67B79"/>
    <w:rsid w:val="00B67C4B"/>
    <w:rsid w:val="00B67C5A"/>
    <w:rsid w:val="00B70183"/>
    <w:rsid w:val="00B702FE"/>
    <w:rsid w:val="00B7059D"/>
    <w:rsid w:val="00B70616"/>
    <w:rsid w:val="00B7078E"/>
    <w:rsid w:val="00B708DA"/>
    <w:rsid w:val="00B708E4"/>
    <w:rsid w:val="00B70B15"/>
    <w:rsid w:val="00B70B1F"/>
    <w:rsid w:val="00B70DEC"/>
    <w:rsid w:val="00B70F9F"/>
    <w:rsid w:val="00B70FB4"/>
    <w:rsid w:val="00B7107C"/>
    <w:rsid w:val="00B710C0"/>
    <w:rsid w:val="00B71246"/>
    <w:rsid w:val="00B713CB"/>
    <w:rsid w:val="00B7146E"/>
    <w:rsid w:val="00B71478"/>
    <w:rsid w:val="00B71548"/>
    <w:rsid w:val="00B716F3"/>
    <w:rsid w:val="00B71798"/>
    <w:rsid w:val="00B71923"/>
    <w:rsid w:val="00B71976"/>
    <w:rsid w:val="00B71A6E"/>
    <w:rsid w:val="00B71E14"/>
    <w:rsid w:val="00B71E54"/>
    <w:rsid w:val="00B7205A"/>
    <w:rsid w:val="00B7215D"/>
    <w:rsid w:val="00B724D9"/>
    <w:rsid w:val="00B7258C"/>
    <w:rsid w:val="00B72703"/>
    <w:rsid w:val="00B72731"/>
    <w:rsid w:val="00B7286E"/>
    <w:rsid w:val="00B72984"/>
    <w:rsid w:val="00B72A0D"/>
    <w:rsid w:val="00B72A42"/>
    <w:rsid w:val="00B72AEC"/>
    <w:rsid w:val="00B72B12"/>
    <w:rsid w:val="00B72DB1"/>
    <w:rsid w:val="00B7317F"/>
    <w:rsid w:val="00B73555"/>
    <w:rsid w:val="00B73699"/>
    <w:rsid w:val="00B7393B"/>
    <w:rsid w:val="00B73B23"/>
    <w:rsid w:val="00B73B30"/>
    <w:rsid w:val="00B73B3B"/>
    <w:rsid w:val="00B73BE0"/>
    <w:rsid w:val="00B73C5B"/>
    <w:rsid w:val="00B73D31"/>
    <w:rsid w:val="00B73E3C"/>
    <w:rsid w:val="00B742EC"/>
    <w:rsid w:val="00B747CF"/>
    <w:rsid w:val="00B749DF"/>
    <w:rsid w:val="00B74AC3"/>
    <w:rsid w:val="00B74BC1"/>
    <w:rsid w:val="00B74C19"/>
    <w:rsid w:val="00B74C43"/>
    <w:rsid w:val="00B74C64"/>
    <w:rsid w:val="00B74DDD"/>
    <w:rsid w:val="00B75205"/>
    <w:rsid w:val="00B7528F"/>
    <w:rsid w:val="00B75446"/>
    <w:rsid w:val="00B754B1"/>
    <w:rsid w:val="00B756BF"/>
    <w:rsid w:val="00B757AC"/>
    <w:rsid w:val="00B757F1"/>
    <w:rsid w:val="00B758ED"/>
    <w:rsid w:val="00B75970"/>
    <w:rsid w:val="00B75A75"/>
    <w:rsid w:val="00B75D3E"/>
    <w:rsid w:val="00B75D4A"/>
    <w:rsid w:val="00B75DC2"/>
    <w:rsid w:val="00B75F3C"/>
    <w:rsid w:val="00B76062"/>
    <w:rsid w:val="00B7608F"/>
    <w:rsid w:val="00B76332"/>
    <w:rsid w:val="00B76431"/>
    <w:rsid w:val="00B76838"/>
    <w:rsid w:val="00B76900"/>
    <w:rsid w:val="00B76A0E"/>
    <w:rsid w:val="00B76B33"/>
    <w:rsid w:val="00B76B62"/>
    <w:rsid w:val="00B76DA9"/>
    <w:rsid w:val="00B76DB0"/>
    <w:rsid w:val="00B76DB3"/>
    <w:rsid w:val="00B76DD5"/>
    <w:rsid w:val="00B76FD6"/>
    <w:rsid w:val="00B77114"/>
    <w:rsid w:val="00B771B0"/>
    <w:rsid w:val="00B77292"/>
    <w:rsid w:val="00B773A9"/>
    <w:rsid w:val="00B773CD"/>
    <w:rsid w:val="00B774F2"/>
    <w:rsid w:val="00B77571"/>
    <w:rsid w:val="00B77695"/>
    <w:rsid w:val="00B77720"/>
    <w:rsid w:val="00B7798D"/>
    <w:rsid w:val="00B77C99"/>
    <w:rsid w:val="00B77D74"/>
    <w:rsid w:val="00B77DC9"/>
    <w:rsid w:val="00B77E80"/>
    <w:rsid w:val="00B77E90"/>
    <w:rsid w:val="00B77E9D"/>
    <w:rsid w:val="00B77ECB"/>
    <w:rsid w:val="00B80170"/>
    <w:rsid w:val="00B803CA"/>
    <w:rsid w:val="00B80451"/>
    <w:rsid w:val="00B804BB"/>
    <w:rsid w:val="00B804FC"/>
    <w:rsid w:val="00B80658"/>
    <w:rsid w:val="00B806CC"/>
    <w:rsid w:val="00B807F0"/>
    <w:rsid w:val="00B80983"/>
    <w:rsid w:val="00B80A33"/>
    <w:rsid w:val="00B80A3C"/>
    <w:rsid w:val="00B80ADC"/>
    <w:rsid w:val="00B80C2B"/>
    <w:rsid w:val="00B80D3E"/>
    <w:rsid w:val="00B81136"/>
    <w:rsid w:val="00B81352"/>
    <w:rsid w:val="00B814D3"/>
    <w:rsid w:val="00B814D6"/>
    <w:rsid w:val="00B81673"/>
    <w:rsid w:val="00B817A7"/>
    <w:rsid w:val="00B819F4"/>
    <w:rsid w:val="00B81C47"/>
    <w:rsid w:val="00B81E1A"/>
    <w:rsid w:val="00B82115"/>
    <w:rsid w:val="00B8219C"/>
    <w:rsid w:val="00B82246"/>
    <w:rsid w:val="00B822A5"/>
    <w:rsid w:val="00B825C4"/>
    <w:rsid w:val="00B82B05"/>
    <w:rsid w:val="00B82CE1"/>
    <w:rsid w:val="00B82F10"/>
    <w:rsid w:val="00B832F0"/>
    <w:rsid w:val="00B8337D"/>
    <w:rsid w:val="00B834DE"/>
    <w:rsid w:val="00B83535"/>
    <w:rsid w:val="00B835D1"/>
    <w:rsid w:val="00B8362B"/>
    <w:rsid w:val="00B83668"/>
    <w:rsid w:val="00B836F5"/>
    <w:rsid w:val="00B8373D"/>
    <w:rsid w:val="00B837C4"/>
    <w:rsid w:val="00B83846"/>
    <w:rsid w:val="00B83F68"/>
    <w:rsid w:val="00B84261"/>
    <w:rsid w:val="00B8431F"/>
    <w:rsid w:val="00B84374"/>
    <w:rsid w:val="00B8448B"/>
    <w:rsid w:val="00B844E9"/>
    <w:rsid w:val="00B84588"/>
    <w:rsid w:val="00B846DD"/>
    <w:rsid w:val="00B84750"/>
    <w:rsid w:val="00B84B67"/>
    <w:rsid w:val="00B84B78"/>
    <w:rsid w:val="00B84C25"/>
    <w:rsid w:val="00B84D0D"/>
    <w:rsid w:val="00B84D2D"/>
    <w:rsid w:val="00B84D6E"/>
    <w:rsid w:val="00B84DBF"/>
    <w:rsid w:val="00B84E1D"/>
    <w:rsid w:val="00B84F23"/>
    <w:rsid w:val="00B84FDB"/>
    <w:rsid w:val="00B8503C"/>
    <w:rsid w:val="00B850C8"/>
    <w:rsid w:val="00B85165"/>
    <w:rsid w:val="00B85388"/>
    <w:rsid w:val="00B853B1"/>
    <w:rsid w:val="00B853DE"/>
    <w:rsid w:val="00B853F7"/>
    <w:rsid w:val="00B854FA"/>
    <w:rsid w:val="00B85538"/>
    <w:rsid w:val="00B85605"/>
    <w:rsid w:val="00B8589A"/>
    <w:rsid w:val="00B85958"/>
    <w:rsid w:val="00B85B9A"/>
    <w:rsid w:val="00B85BAF"/>
    <w:rsid w:val="00B85CFF"/>
    <w:rsid w:val="00B85D6C"/>
    <w:rsid w:val="00B85E33"/>
    <w:rsid w:val="00B86021"/>
    <w:rsid w:val="00B8605B"/>
    <w:rsid w:val="00B8609F"/>
    <w:rsid w:val="00B8635C"/>
    <w:rsid w:val="00B86D70"/>
    <w:rsid w:val="00B86F91"/>
    <w:rsid w:val="00B8701D"/>
    <w:rsid w:val="00B870A9"/>
    <w:rsid w:val="00B870BF"/>
    <w:rsid w:val="00B8717B"/>
    <w:rsid w:val="00B87607"/>
    <w:rsid w:val="00B876E2"/>
    <w:rsid w:val="00B8777A"/>
    <w:rsid w:val="00B87ACC"/>
    <w:rsid w:val="00B87C4A"/>
    <w:rsid w:val="00B8B9B0"/>
    <w:rsid w:val="00B900E1"/>
    <w:rsid w:val="00B901BB"/>
    <w:rsid w:val="00B902DE"/>
    <w:rsid w:val="00B90394"/>
    <w:rsid w:val="00B90634"/>
    <w:rsid w:val="00B90669"/>
    <w:rsid w:val="00B90775"/>
    <w:rsid w:val="00B907BD"/>
    <w:rsid w:val="00B908D8"/>
    <w:rsid w:val="00B90A5A"/>
    <w:rsid w:val="00B90B86"/>
    <w:rsid w:val="00B90B8A"/>
    <w:rsid w:val="00B90B93"/>
    <w:rsid w:val="00B90C8B"/>
    <w:rsid w:val="00B90C9B"/>
    <w:rsid w:val="00B90F6D"/>
    <w:rsid w:val="00B9115B"/>
    <w:rsid w:val="00B911C7"/>
    <w:rsid w:val="00B91320"/>
    <w:rsid w:val="00B91402"/>
    <w:rsid w:val="00B9170E"/>
    <w:rsid w:val="00B91877"/>
    <w:rsid w:val="00B9188E"/>
    <w:rsid w:val="00B91935"/>
    <w:rsid w:val="00B91BCA"/>
    <w:rsid w:val="00B91EB7"/>
    <w:rsid w:val="00B91ED3"/>
    <w:rsid w:val="00B91F26"/>
    <w:rsid w:val="00B91F96"/>
    <w:rsid w:val="00B9208F"/>
    <w:rsid w:val="00B921A2"/>
    <w:rsid w:val="00B92285"/>
    <w:rsid w:val="00B92291"/>
    <w:rsid w:val="00B922F3"/>
    <w:rsid w:val="00B9231B"/>
    <w:rsid w:val="00B92352"/>
    <w:rsid w:val="00B92530"/>
    <w:rsid w:val="00B9265F"/>
    <w:rsid w:val="00B926BC"/>
    <w:rsid w:val="00B926E3"/>
    <w:rsid w:val="00B9276B"/>
    <w:rsid w:val="00B92ABC"/>
    <w:rsid w:val="00B92B7C"/>
    <w:rsid w:val="00B92C48"/>
    <w:rsid w:val="00B92E10"/>
    <w:rsid w:val="00B92E1C"/>
    <w:rsid w:val="00B92F67"/>
    <w:rsid w:val="00B92F68"/>
    <w:rsid w:val="00B934AE"/>
    <w:rsid w:val="00B93536"/>
    <w:rsid w:val="00B9354F"/>
    <w:rsid w:val="00B936F9"/>
    <w:rsid w:val="00B93929"/>
    <w:rsid w:val="00B93A28"/>
    <w:rsid w:val="00B93B66"/>
    <w:rsid w:val="00B93CAA"/>
    <w:rsid w:val="00B93D86"/>
    <w:rsid w:val="00B93DAB"/>
    <w:rsid w:val="00B93FAB"/>
    <w:rsid w:val="00B941B1"/>
    <w:rsid w:val="00B9428F"/>
    <w:rsid w:val="00B9436F"/>
    <w:rsid w:val="00B943E8"/>
    <w:rsid w:val="00B944F7"/>
    <w:rsid w:val="00B94777"/>
    <w:rsid w:val="00B949B8"/>
    <w:rsid w:val="00B949C5"/>
    <w:rsid w:val="00B94E20"/>
    <w:rsid w:val="00B95283"/>
    <w:rsid w:val="00B957A5"/>
    <w:rsid w:val="00B957EA"/>
    <w:rsid w:val="00B95827"/>
    <w:rsid w:val="00B9582C"/>
    <w:rsid w:val="00B95AE2"/>
    <w:rsid w:val="00B95B7F"/>
    <w:rsid w:val="00B95BF3"/>
    <w:rsid w:val="00B95C2D"/>
    <w:rsid w:val="00B960D0"/>
    <w:rsid w:val="00B960D9"/>
    <w:rsid w:val="00B961AC"/>
    <w:rsid w:val="00B962B0"/>
    <w:rsid w:val="00B962BD"/>
    <w:rsid w:val="00B963F5"/>
    <w:rsid w:val="00B96418"/>
    <w:rsid w:val="00B966A4"/>
    <w:rsid w:val="00B966CC"/>
    <w:rsid w:val="00B9673C"/>
    <w:rsid w:val="00B9683A"/>
    <w:rsid w:val="00B96957"/>
    <w:rsid w:val="00B96973"/>
    <w:rsid w:val="00B969B5"/>
    <w:rsid w:val="00B96A7A"/>
    <w:rsid w:val="00B96CDA"/>
    <w:rsid w:val="00B96E0C"/>
    <w:rsid w:val="00B96ECA"/>
    <w:rsid w:val="00B970D8"/>
    <w:rsid w:val="00B9711B"/>
    <w:rsid w:val="00B9731C"/>
    <w:rsid w:val="00B973DE"/>
    <w:rsid w:val="00B976BC"/>
    <w:rsid w:val="00B97760"/>
    <w:rsid w:val="00B97776"/>
    <w:rsid w:val="00B97CF7"/>
    <w:rsid w:val="00B97DEA"/>
    <w:rsid w:val="00B97F31"/>
    <w:rsid w:val="00BA0263"/>
    <w:rsid w:val="00BA0383"/>
    <w:rsid w:val="00BA0443"/>
    <w:rsid w:val="00BA0476"/>
    <w:rsid w:val="00BA0796"/>
    <w:rsid w:val="00BA091A"/>
    <w:rsid w:val="00BA0AC5"/>
    <w:rsid w:val="00BA0B20"/>
    <w:rsid w:val="00BA0BB1"/>
    <w:rsid w:val="00BA103E"/>
    <w:rsid w:val="00BA10CE"/>
    <w:rsid w:val="00BA1296"/>
    <w:rsid w:val="00BA1355"/>
    <w:rsid w:val="00BA1399"/>
    <w:rsid w:val="00BA1548"/>
    <w:rsid w:val="00BA1612"/>
    <w:rsid w:val="00BA17D0"/>
    <w:rsid w:val="00BA189B"/>
    <w:rsid w:val="00BA1976"/>
    <w:rsid w:val="00BA198E"/>
    <w:rsid w:val="00BA1B76"/>
    <w:rsid w:val="00BA2006"/>
    <w:rsid w:val="00BA207F"/>
    <w:rsid w:val="00BA21B3"/>
    <w:rsid w:val="00BA2314"/>
    <w:rsid w:val="00BA256B"/>
    <w:rsid w:val="00BA25CA"/>
    <w:rsid w:val="00BA2645"/>
    <w:rsid w:val="00BA27C1"/>
    <w:rsid w:val="00BA2A3A"/>
    <w:rsid w:val="00BA2A52"/>
    <w:rsid w:val="00BA2E8C"/>
    <w:rsid w:val="00BA30A1"/>
    <w:rsid w:val="00BA3181"/>
    <w:rsid w:val="00BA329F"/>
    <w:rsid w:val="00BA348E"/>
    <w:rsid w:val="00BA3651"/>
    <w:rsid w:val="00BA36D3"/>
    <w:rsid w:val="00BA387C"/>
    <w:rsid w:val="00BA3AFC"/>
    <w:rsid w:val="00BA3CA3"/>
    <w:rsid w:val="00BA3CC1"/>
    <w:rsid w:val="00BA3D9E"/>
    <w:rsid w:val="00BA3E89"/>
    <w:rsid w:val="00BA4053"/>
    <w:rsid w:val="00BA42EC"/>
    <w:rsid w:val="00BA4483"/>
    <w:rsid w:val="00BA44C4"/>
    <w:rsid w:val="00BA4866"/>
    <w:rsid w:val="00BA4A26"/>
    <w:rsid w:val="00BA4A80"/>
    <w:rsid w:val="00BA4A81"/>
    <w:rsid w:val="00BA4A90"/>
    <w:rsid w:val="00BA4E4B"/>
    <w:rsid w:val="00BA4EAE"/>
    <w:rsid w:val="00BA4ED5"/>
    <w:rsid w:val="00BA4EDE"/>
    <w:rsid w:val="00BA4FE8"/>
    <w:rsid w:val="00BA532E"/>
    <w:rsid w:val="00BA56D9"/>
    <w:rsid w:val="00BA5B8F"/>
    <w:rsid w:val="00BA5BD9"/>
    <w:rsid w:val="00BA5BFF"/>
    <w:rsid w:val="00BA5DE6"/>
    <w:rsid w:val="00BA5EF4"/>
    <w:rsid w:val="00BA600F"/>
    <w:rsid w:val="00BA60C0"/>
    <w:rsid w:val="00BA60E4"/>
    <w:rsid w:val="00BA6370"/>
    <w:rsid w:val="00BA63B0"/>
    <w:rsid w:val="00BA6457"/>
    <w:rsid w:val="00BA64BE"/>
    <w:rsid w:val="00BA652C"/>
    <w:rsid w:val="00BA6607"/>
    <w:rsid w:val="00BA6705"/>
    <w:rsid w:val="00BA69BD"/>
    <w:rsid w:val="00BA6DDD"/>
    <w:rsid w:val="00BA6E2D"/>
    <w:rsid w:val="00BA6EC5"/>
    <w:rsid w:val="00BA6F43"/>
    <w:rsid w:val="00BA7064"/>
    <w:rsid w:val="00BA7186"/>
    <w:rsid w:val="00BA745A"/>
    <w:rsid w:val="00BA76C4"/>
    <w:rsid w:val="00BA77B4"/>
    <w:rsid w:val="00BA7A1A"/>
    <w:rsid w:val="00BA7BE1"/>
    <w:rsid w:val="00BA7D15"/>
    <w:rsid w:val="00BA7E37"/>
    <w:rsid w:val="00BB0094"/>
    <w:rsid w:val="00BB0112"/>
    <w:rsid w:val="00BB04EA"/>
    <w:rsid w:val="00BB0908"/>
    <w:rsid w:val="00BB0962"/>
    <w:rsid w:val="00BB09F6"/>
    <w:rsid w:val="00BB0B97"/>
    <w:rsid w:val="00BB0C8D"/>
    <w:rsid w:val="00BB0D9B"/>
    <w:rsid w:val="00BB0DC1"/>
    <w:rsid w:val="00BB0E18"/>
    <w:rsid w:val="00BB0F01"/>
    <w:rsid w:val="00BB0FDA"/>
    <w:rsid w:val="00BB10BB"/>
    <w:rsid w:val="00BB12A1"/>
    <w:rsid w:val="00BB13FF"/>
    <w:rsid w:val="00BB146B"/>
    <w:rsid w:val="00BB14A7"/>
    <w:rsid w:val="00BB150D"/>
    <w:rsid w:val="00BB178B"/>
    <w:rsid w:val="00BB1B2F"/>
    <w:rsid w:val="00BB1D1D"/>
    <w:rsid w:val="00BB1DB4"/>
    <w:rsid w:val="00BB1E2A"/>
    <w:rsid w:val="00BB1F10"/>
    <w:rsid w:val="00BB1F57"/>
    <w:rsid w:val="00BB1FCD"/>
    <w:rsid w:val="00BB233C"/>
    <w:rsid w:val="00BB26A4"/>
    <w:rsid w:val="00BB276E"/>
    <w:rsid w:val="00BB2850"/>
    <w:rsid w:val="00BB2937"/>
    <w:rsid w:val="00BB2995"/>
    <w:rsid w:val="00BB2A80"/>
    <w:rsid w:val="00BB2BD5"/>
    <w:rsid w:val="00BB2E01"/>
    <w:rsid w:val="00BB306D"/>
    <w:rsid w:val="00BB3288"/>
    <w:rsid w:val="00BB33C4"/>
    <w:rsid w:val="00BB3401"/>
    <w:rsid w:val="00BB34A9"/>
    <w:rsid w:val="00BB358C"/>
    <w:rsid w:val="00BB36AC"/>
    <w:rsid w:val="00BB38C2"/>
    <w:rsid w:val="00BB38C7"/>
    <w:rsid w:val="00BB3A2F"/>
    <w:rsid w:val="00BB3D69"/>
    <w:rsid w:val="00BB3DEB"/>
    <w:rsid w:val="00BB3E85"/>
    <w:rsid w:val="00BB4154"/>
    <w:rsid w:val="00BB4175"/>
    <w:rsid w:val="00BB418D"/>
    <w:rsid w:val="00BB4264"/>
    <w:rsid w:val="00BB42BA"/>
    <w:rsid w:val="00BB42E7"/>
    <w:rsid w:val="00BB438E"/>
    <w:rsid w:val="00BB43C8"/>
    <w:rsid w:val="00BB43F8"/>
    <w:rsid w:val="00BB4569"/>
    <w:rsid w:val="00BB45E0"/>
    <w:rsid w:val="00BB4767"/>
    <w:rsid w:val="00BB48FF"/>
    <w:rsid w:val="00BB4C33"/>
    <w:rsid w:val="00BB4CED"/>
    <w:rsid w:val="00BB4D87"/>
    <w:rsid w:val="00BB4DB2"/>
    <w:rsid w:val="00BB4ED8"/>
    <w:rsid w:val="00BB4F0F"/>
    <w:rsid w:val="00BB4FA2"/>
    <w:rsid w:val="00BB5008"/>
    <w:rsid w:val="00BB5279"/>
    <w:rsid w:val="00BB5431"/>
    <w:rsid w:val="00BB5680"/>
    <w:rsid w:val="00BB59B4"/>
    <w:rsid w:val="00BB5C2C"/>
    <w:rsid w:val="00BB5CFB"/>
    <w:rsid w:val="00BB5D45"/>
    <w:rsid w:val="00BB5D81"/>
    <w:rsid w:val="00BB611C"/>
    <w:rsid w:val="00BB61AA"/>
    <w:rsid w:val="00BB61AC"/>
    <w:rsid w:val="00BB6332"/>
    <w:rsid w:val="00BB633B"/>
    <w:rsid w:val="00BB64C1"/>
    <w:rsid w:val="00BB66A6"/>
    <w:rsid w:val="00BB66BC"/>
    <w:rsid w:val="00BB66CD"/>
    <w:rsid w:val="00BB679A"/>
    <w:rsid w:val="00BB6BC6"/>
    <w:rsid w:val="00BB6CFD"/>
    <w:rsid w:val="00BB6E21"/>
    <w:rsid w:val="00BB6EF7"/>
    <w:rsid w:val="00BB746C"/>
    <w:rsid w:val="00BB75D1"/>
    <w:rsid w:val="00BB7705"/>
    <w:rsid w:val="00BB7833"/>
    <w:rsid w:val="00BB7854"/>
    <w:rsid w:val="00BB78B1"/>
    <w:rsid w:val="00BB7921"/>
    <w:rsid w:val="00BB7A10"/>
    <w:rsid w:val="00BB7A91"/>
    <w:rsid w:val="00BB7CE9"/>
    <w:rsid w:val="00BB7D3B"/>
    <w:rsid w:val="00BB7E78"/>
    <w:rsid w:val="00BB7EF8"/>
    <w:rsid w:val="00BC00BB"/>
    <w:rsid w:val="00BC01F6"/>
    <w:rsid w:val="00BC031B"/>
    <w:rsid w:val="00BC03C8"/>
    <w:rsid w:val="00BC0464"/>
    <w:rsid w:val="00BC062F"/>
    <w:rsid w:val="00BC068E"/>
    <w:rsid w:val="00BC0706"/>
    <w:rsid w:val="00BC0839"/>
    <w:rsid w:val="00BC085D"/>
    <w:rsid w:val="00BC097B"/>
    <w:rsid w:val="00BC09EC"/>
    <w:rsid w:val="00BC0A36"/>
    <w:rsid w:val="00BC0A7B"/>
    <w:rsid w:val="00BC0A89"/>
    <w:rsid w:val="00BC0C05"/>
    <w:rsid w:val="00BC0C38"/>
    <w:rsid w:val="00BC0C62"/>
    <w:rsid w:val="00BC0DEB"/>
    <w:rsid w:val="00BC0E31"/>
    <w:rsid w:val="00BC0F54"/>
    <w:rsid w:val="00BC0F64"/>
    <w:rsid w:val="00BC1359"/>
    <w:rsid w:val="00BC15F3"/>
    <w:rsid w:val="00BC1627"/>
    <w:rsid w:val="00BC19F2"/>
    <w:rsid w:val="00BC1B43"/>
    <w:rsid w:val="00BC1BA4"/>
    <w:rsid w:val="00BC1F10"/>
    <w:rsid w:val="00BC2021"/>
    <w:rsid w:val="00BC20CA"/>
    <w:rsid w:val="00BC21EB"/>
    <w:rsid w:val="00BC2305"/>
    <w:rsid w:val="00BC234C"/>
    <w:rsid w:val="00BC25E4"/>
    <w:rsid w:val="00BC286F"/>
    <w:rsid w:val="00BC2896"/>
    <w:rsid w:val="00BC292A"/>
    <w:rsid w:val="00BC2960"/>
    <w:rsid w:val="00BC2B5B"/>
    <w:rsid w:val="00BC2DC0"/>
    <w:rsid w:val="00BC2E90"/>
    <w:rsid w:val="00BC30BA"/>
    <w:rsid w:val="00BC3124"/>
    <w:rsid w:val="00BC3437"/>
    <w:rsid w:val="00BC34BB"/>
    <w:rsid w:val="00BC3717"/>
    <w:rsid w:val="00BC37DC"/>
    <w:rsid w:val="00BC3A50"/>
    <w:rsid w:val="00BC3A68"/>
    <w:rsid w:val="00BC3AC0"/>
    <w:rsid w:val="00BC3AC5"/>
    <w:rsid w:val="00BC3BA0"/>
    <w:rsid w:val="00BC3C21"/>
    <w:rsid w:val="00BC3F26"/>
    <w:rsid w:val="00BC3F4B"/>
    <w:rsid w:val="00BC419A"/>
    <w:rsid w:val="00BC41B3"/>
    <w:rsid w:val="00BC4517"/>
    <w:rsid w:val="00BC45F6"/>
    <w:rsid w:val="00BC47FB"/>
    <w:rsid w:val="00BC4922"/>
    <w:rsid w:val="00BC4931"/>
    <w:rsid w:val="00BC4BC9"/>
    <w:rsid w:val="00BC4D3A"/>
    <w:rsid w:val="00BC4F99"/>
    <w:rsid w:val="00BC4FE1"/>
    <w:rsid w:val="00BC52D8"/>
    <w:rsid w:val="00BC5397"/>
    <w:rsid w:val="00BC53CA"/>
    <w:rsid w:val="00BC53DE"/>
    <w:rsid w:val="00BC549F"/>
    <w:rsid w:val="00BC553E"/>
    <w:rsid w:val="00BC5772"/>
    <w:rsid w:val="00BC5817"/>
    <w:rsid w:val="00BC58DD"/>
    <w:rsid w:val="00BC5C82"/>
    <w:rsid w:val="00BC5E4F"/>
    <w:rsid w:val="00BC5FFB"/>
    <w:rsid w:val="00BC6066"/>
    <w:rsid w:val="00BC61AD"/>
    <w:rsid w:val="00BC61DD"/>
    <w:rsid w:val="00BC63BA"/>
    <w:rsid w:val="00BC674F"/>
    <w:rsid w:val="00BC67F1"/>
    <w:rsid w:val="00BC69FC"/>
    <w:rsid w:val="00BC6C85"/>
    <w:rsid w:val="00BC6C95"/>
    <w:rsid w:val="00BC6C9C"/>
    <w:rsid w:val="00BC6CE9"/>
    <w:rsid w:val="00BC6D91"/>
    <w:rsid w:val="00BC7136"/>
    <w:rsid w:val="00BC725D"/>
    <w:rsid w:val="00BC728C"/>
    <w:rsid w:val="00BC72BF"/>
    <w:rsid w:val="00BC7425"/>
    <w:rsid w:val="00BC74A5"/>
    <w:rsid w:val="00BC74A8"/>
    <w:rsid w:val="00BC7506"/>
    <w:rsid w:val="00BC756D"/>
    <w:rsid w:val="00BC75EB"/>
    <w:rsid w:val="00BC7670"/>
    <w:rsid w:val="00BC79F3"/>
    <w:rsid w:val="00BC7A24"/>
    <w:rsid w:val="00BC7C99"/>
    <w:rsid w:val="00BC7EE7"/>
    <w:rsid w:val="00BD00D4"/>
    <w:rsid w:val="00BD0101"/>
    <w:rsid w:val="00BD02BF"/>
    <w:rsid w:val="00BD02FE"/>
    <w:rsid w:val="00BD032A"/>
    <w:rsid w:val="00BD0369"/>
    <w:rsid w:val="00BD03C6"/>
    <w:rsid w:val="00BD0528"/>
    <w:rsid w:val="00BD059F"/>
    <w:rsid w:val="00BD0740"/>
    <w:rsid w:val="00BD07A2"/>
    <w:rsid w:val="00BD0917"/>
    <w:rsid w:val="00BD0982"/>
    <w:rsid w:val="00BD0ACB"/>
    <w:rsid w:val="00BD0B26"/>
    <w:rsid w:val="00BD0C35"/>
    <w:rsid w:val="00BD0F3E"/>
    <w:rsid w:val="00BD13DA"/>
    <w:rsid w:val="00BD165F"/>
    <w:rsid w:val="00BD17E8"/>
    <w:rsid w:val="00BD183F"/>
    <w:rsid w:val="00BD1A21"/>
    <w:rsid w:val="00BD1AFC"/>
    <w:rsid w:val="00BD1C54"/>
    <w:rsid w:val="00BD1CAF"/>
    <w:rsid w:val="00BD1DA4"/>
    <w:rsid w:val="00BD1E76"/>
    <w:rsid w:val="00BD1E80"/>
    <w:rsid w:val="00BD1E9F"/>
    <w:rsid w:val="00BD1EC0"/>
    <w:rsid w:val="00BD1FDE"/>
    <w:rsid w:val="00BD216B"/>
    <w:rsid w:val="00BD23AF"/>
    <w:rsid w:val="00BD262A"/>
    <w:rsid w:val="00BD27C6"/>
    <w:rsid w:val="00BD28C6"/>
    <w:rsid w:val="00BD29F8"/>
    <w:rsid w:val="00BD2A75"/>
    <w:rsid w:val="00BD2ABE"/>
    <w:rsid w:val="00BD2B09"/>
    <w:rsid w:val="00BD2BBC"/>
    <w:rsid w:val="00BD2D05"/>
    <w:rsid w:val="00BD2E47"/>
    <w:rsid w:val="00BD2FBB"/>
    <w:rsid w:val="00BD2FFF"/>
    <w:rsid w:val="00BD305A"/>
    <w:rsid w:val="00BD346C"/>
    <w:rsid w:val="00BD34C2"/>
    <w:rsid w:val="00BD3600"/>
    <w:rsid w:val="00BD3672"/>
    <w:rsid w:val="00BD36CC"/>
    <w:rsid w:val="00BD3714"/>
    <w:rsid w:val="00BD376E"/>
    <w:rsid w:val="00BD38EF"/>
    <w:rsid w:val="00BD3979"/>
    <w:rsid w:val="00BD39BC"/>
    <w:rsid w:val="00BD3A80"/>
    <w:rsid w:val="00BD3ADD"/>
    <w:rsid w:val="00BD3B89"/>
    <w:rsid w:val="00BD3C00"/>
    <w:rsid w:val="00BD3CC0"/>
    <w:rsid w:val="00BD3CD8"/>
    <w:rsid w:val="00BD3CF9"/>
    <w:rsid w:val="00BD3E3C"/>
    <w:rsid w:val="00BD3ED5"/>
    <w:rsid w:val="00BD4011"/>
    <w:rsid w:val="00BD42AF"/>
    <w:rsid w:val="00BD45E4"/>
    <w:rsid w:val="00BD4641"/>
    <w:rsid w:val="00BD4715"/>
    <w:rsid w:val="00BD4825"/>
    <w:rsid w:val="00BD497F"/>
    <w:rsid w:val="00BD49A0"/>
    <w:rsid w:val="00BD49E4"/>
    <w:rsid w:val="00BD4A2C"/>
    <w:rsid w:val="00BD4BE5"/>
    <w:rsid w:val="00BD4C53"/>
    <w:rsid w:val="00BD4D60"/>
    <w:rsid w:val="00BD4DEF"/>
    <w:rsid w:val="00BD4EBD"/>
    <w:rsid w:val="00BD4FBA"/>
    <w:rsid w:val="00BD5042"/>
    <w:rsid w:val="00BD50A9"/>
    <w:rsid w:val="00BD50B7"/>
    <w:rsid w:val="00BD51EE"/>
    <w:rsid w:val="00BD52F5"/>
    <w:rsid w:val="00BD5449"/>
    <w:rsid w:val="00BD55CD"/>
    <w:rsid w:val="00BD5751"/>
    <w:rsid w:val="00BD58EB"/>
    <w:rsid w:val="00BD5913"/>
    <w:rsid w:val="00BD59C9"/>
    <w:rsid w:val="00BD5C32"/>
    <w:rsid w:val="00BD5C78"/>
    <w:rsid w:val="00BD5DAF"/>
    <w:rsid w:val="00BD5E33"/>
    <w:rsid w:val="00BD5E83"/>
    <w:rsid w:val="00BD6143"/>
    <w:rsid w:val="00BD6160"/>
    <w:rsid w:val="00BD640D"/>
    <w:rsid w:val="00BD642B"/>
    <w:rsid w:val="00BD671B"/>
    <w:rsid w:val="00BD67DB"/>
    <w:rsid w:val="00BD6984"/>
    <w:rsid w:val="00BD6AA7"/>
    <w:rsid w:val="00BD6CAD"/>
    <w:rsid w:val="00BD6D89"/>
    <w:rsid w:val="00BD712B"/>
    <w:rsid w:val="00BD72B1"/>
    <w:rsid w:val="00BD736B"/>
    <w:rsid w:val="00BD7531"/>
    <w:rsid w:val="00BD75C7"/>
    <w:rsid w:val="00BD7619"/>
    <w:rsid w:val="00BD76DA"/>
    <w:rsid w:val="00BD7761"/>
    <w:rsid w:val="00BD7AEB"/>
    <w:rsid w:val="00BD7AF8"/>
    <w:rsid w:val="00BD7B90"/>
    <w:rsid w:val="00BD7D64"/>
    <w:rsid w:val="00BD7EE0"/>
    <w:rsid w:val="00BE00DE"/>
    <w:rsid w:val="00BE0171"/>
    <w:rsid w:val="00BE0206"/>
    <w:rsid w:val="00BE02F3"/>
    <w:rsid w:val="00BE034A"/>
    <w:rsid w:val="00BE07B1"/>
    <w:rsid w:val="00BE07C7"/>
    <w:rsid w:val="00BE085D"/>
    <w:rsid w:val="00BE0BE8"/>
    <w:rsid w:val="00BE0D93"/>
    <w:rsid w:val="00BE0FB6"/>
    <w:rsid w:val="00BE1481"/>
    <w:rsid w:val="00BE148A"/>
    <w:rsid w:val="00BE1713"/>
    <w:rsid w:val="00BE174A"/>
    <w:rsid w:val="00BE17E7"/>
    <w:rsid w:val="00BE1A40"/>
    <w:rsid w:val="00BE1B63"/>
    <w:rsid w:val="00BE1C7A"/>
    <w:rsid w:val="00BE1CF8"/>
    <w:rsid w:val="00BE2075"/>
    <w:rsid w:val="00BE23D1"/>
    <w:rsid w:val="00BE2427"/>
    <w:rsid w:val="00BE2511"/>
    <w:rsid w:val="00BE25C1"/>
    <w:rsid w:val="00BE2975"/>
    <w:rsid w:val="00BE29A8"/>
    <w:rsid w:val="00BE2C0A"/>
    <w:rsid w:val="00BE2E1A"/>
    <w:rsid w:val="00BE3035"/>
    <w:rsid w:val="00BE31BD"/>
    <w:rsid w:val="00BE3328"/>
    <w:rsid w:val="00BE33D6"/>
    <w:rsid w:val="00BE3457"/>
    <w:rsid w:val="00BE3543"/>
    <w:rsid w:val="00BE39D2"/>
    <w:rsid w:val="00BE3E71"/>
    <w:rsid w:val="00BE4013"/>
    <w:rsid w:val="00BE4047"/>
    <w:rsid w:val="00BE4284"/>
    <w:rsid w:val="00BE444F"/>
    <w:rsid w:val="00BE46F4"/>
    <w:rsid w:val="00BE473F"/>
    <w:rsid w:val="00BE4828"/>
    <w:rsid w:val="00BE489A"/>
    <w:rsid w:val="00BE4B74"/>
    <w:rsid w:val="00BE4D83"/>
    <w:rsid w:val="00BE53AA"/>
    <w:rsid w:val="00BE5410"/>
    <w:rsid w:val="00BE543F"/>
    <w:rsid w:val="00BE5542"/>
    <w:rsid w:val="00BE55C0"/>
    <w:rsid w:val="00BE55CB"/>
    <w:rsid w:val="00BE5601"/>
    <w:rsid w:val="00BE584B"/>
    <w:rsid w:val="00BE5933"/>
    <w:rsid w:val="00BE59CF"/>
    <w:rsid w:val="00BE5B51"/>
    <w:rsid w:val="00BE5E33"/>
    <w:rsid w:val="00BE5F81"/>
    <w:rsid w:val="00BE61CE"/>
    <w:rsid w:val="00BE61DD"/>
    <w:rsid w:val="00BE64DC"/>
    <w:rsid w:val="00BE65A3"/>
    <w:rsid w:val="00BE65E8"/>
    <w:rsid w:val="00BE6616"/>
    <w:rsid w:val="00BE667B"/>
    <w:rsid w:val="00BE68A7"/>
    <w:rsid w:val="00BE68EB"/>
    <w:rsid w:val="00BE690E"/>
    <w:rsid w:val="00BE692A"/>
    <w:rsid w:val="00BE6CB8"/>
    <w:rsid w:val="00BE6D57"/>
    <w:rsid w:val="00BE6D99"/>
    <w:rsid w:val="00BE6E14"/>
    <w:rsid w:val="00BE6E24"/>
    <w:rsid w:val="00BE6E47"/>
    <w:rsid w:val="00BE70B6"/>
    <w:rsid w:val="00BE71DC"/>
    <w:rsid w:val="00BE751B"/>
    <w:rsid w:val="00BE7738"/>
    <w:rsid w:val="00BE79E1"/>
    <w:rsid w:val="00BE7A32"/>
    <w:rsid w:val="00BE7A35"/>
    <w:rsid w:val="00BE7BA2"/>
    <w:rsid w:val="00BE7C06"/>
    <w:rsid w:val="00BE7CD4"/>
    <w:rsid w:val="00BE7D08"/>
    <w:rsid w:val="00BE7E10"/>
    <w:rsid w:val="00BF00DD"/>
    <w:rsid w:val="00BF031E"/>
    <w:rsid w:val="00BF042D"/>
    <w:rsid w:val="00BF06A9"/>
    <w:rsid w:val="00BF08D1"/>
    <w:rsid w:val="00BF0AE0"/>
    <w:rsid w:val="00BF0BFA"/>
    <w:rsid w:val="00BF0C7A"/>
    <w:rsid w:val="00BF0CCE"/>
    <w:rsid w:val="00BF0DF0"/>
    <w:rsid w:val="00BF0E5A"/>
    <w:rsid w:val="00BF103C"/>
    <w:rsid w:val="00BF1614"/>
    <w:rsid w:val="00BF1659"/>
    <w:rsid w:val="00BF168C"/>
    <w:rsid w:val="00BF1880"/>
    <w:rsid w:val="00BF194F"/>
    <w:rsid w:val="00BF1CC7"/>
    <w:rsid w:val="00BF1F1A"/>
    <w:rsid w:val="00BF1FC8"/>
    <w:rsid w:val="00BF23B6"/>
    <w:rsid w:val="00BF23D2"/>
    <w:rsid w:val="00BF23EF"/>
    <w:rsid w:val="00BF24C7"/>
    <w:rsid w:val="00BF2606"/>
    <w:rsid w:val="00BF2681"/>
    <w:rsid w:val="00BF26D8"/>
    <w:rsid w:val="00BF298C"/>
    <w:rsid w:val="00BF2ADD"/>
    <w:rsid w:val="00BF2B92"/>
    <w:rsid w:val="00BF2B99"/>
    <w:rsid w:val="00BF2B9C"/>
    <w:rsid w:val="00BF2C2C"/>
    <w:rsid w:val="00BF2C85"/>
    <w:rsid w:val="00BF2DC7"/>
    <w:rsid w:val="00BF2DF0"/>
    <w:rsid w:val="00BF312B"/>
    <w:rsid w:val="00BF3316"/>
    <w:rsid w:val="00BF3580"/>
    <w:rsid w:val="00BF366F"/>
    <w:rsid w:val="00BF39B3"/>
    <w:rsid w:val="00BF3AEC"/>
    <w:rsid w:val="00BF3C2E"/>
    <w:rsid w:val="00BF3CD1"/>
    <w:rsid w:val="00BF3D94"/>
    <w:rsid w:val="00BF3EA2"/>
    <w:rsid w:val="00BF3FCF"/>
    <w:rsid w:val="00BF406C"/>
    <w:rsid w:val="00BF407C"/>
    <w:rsid w:val="00BF42CD"/>
    <w:rsid w:val="00BF42CF"/>
    <w:rsid w:val="00BF4328"/>
    <w:rsid w:val="00BF45D9"/>
    <w:rsid w:val="00BF4640"/>
    <w:rsid w:val="00BF4809"/>
    <w:rsid w:val="00BF4A3A"/>
    <w:rsid w:val="00BF4BE7"/>
    <w:rsid w:val="00BF4C30"/>
    <w:rsid w:val="00BF4D24"/>
    <w:rsid w:val="00BF4F71"/>
    <w:rsid w:val="00BF4FE8"/>
    <w:rsid w:val="00BF5022"/>
    <w:rsid w:val="00BF505F"/>
    <w:rsid w:val="00BF54AB"/>
    <w:rsid w:val="00BF5529"/>
    <w:rsid w:val="00BF56F0"/>
    <w:rsid w:val="00BF573D"/>
    <w:rsid w:val="00BF57C5"/>
    <w:rsid w:val="00BF57FA"/>
    <w:rsid w:val="00BF589F"/>
    <w:rsid w:val="00BF5A47"/>
    <w:rsid w:val="00BF5A7F"/>
    <w:rsid w:val="00BF5BE4"/>
    <w:rsid w:val="00BF5F5B"/>
    <w:rsid w:val="00BF5FAE"/>
    <w:rsid w:val="00BF62C7"/>
    <w:rsid w:val="00BF6360"/>
    <w:rsid w:val="00BF63B2"/>
    <w:rsid w:val="00BF683C"/>
    <w:rsid w:val="00BF69F4"/>
    <w:rsid w:val="00BF6AC6"/>
    <w:rsid w:val="00BF6B7F"/>
    <w:rsid w:val="00BF6BD0"/>
    <w:rsid w:val="00BF6C1B"/>
    <w:rsid w:val="00BF6CA9"/>
    <w:rsid w:val="00BF6F39"/>
    <w:rsid w:val="00BF70D8"/>
    <w:rsid w:val="00BF7304"/>
    <w:rsid w:val="00BF7376"/>
    <w:rsid w:val="00BF7708"/>
    <w:rsid w:val="00BF7752"/>
    <w:rsid w:val="00BF7A48"/>
    <w:rsid w:val="00BF7ADF"/>
    <w:rsid w:val="00BF7AFF"/>
    <w:rsid w:val="00BF7B0C"/>
    <w:rsid w:val="00BF7BCE"/>
    <w:rsid w:val="00BF7E14"/>
    <w:rsid w:val="00BF7F1F"/>
    <w:rsid w:val="00BF7FBC"/>
    <w:rsid w:val="00C00327"/>
    <w:rsid w:val="00C00374"/>
    <w:rsid w:val="00C003E2"/>
    <w:rsid w:val="00C00442"/>
    <w:rsid w:val="00C00573"/>
    <w:rsid w:val="00C0061C"/>
    <w:rsid w:val="00C008DC"/>
    <w:rsid w:val="00C009DC"/>
    <w:rsid w:val="00C00AD9"/>
    <w:rsid w:val="00C0124C"/>
    <w:rsid w:val="00C0127D"/>
    <w:rsid w:val="00C013B0"/>
    <w:rsid w:val="00C0142B"/>
    <w:rsid w:val="00C01553"/>
    <w:rsid w:val="00C015D7"/>
    <w:rsid w:val="00C0166C"/>
    <w:rsid w:val="00C01857"/>
    <w:rsid w:val="00C01970"/>
    <w:rsid w:val="00C0199F"/>
    <w:rsid w:val="00C01A45"/>
    <w:rsid w:val="00C01A4A"/>
    <w:rsid w:val="00C01B49"/>
    <w:rsid w:val="00C01B9D"/>
    <w:rsid w:val="00C01BB3"/>
    <w:rsid w:val="00C01BCA"/>
    <w:rsid w:val="00C01DF1"/>
    <w:rsid w:val="00C020C0"/>
    <w:rsid w:val="00C02206"/>
    <w:rsid w:val="00C02229"/>
    <w:rsid w:val="00C0241B"/>
    <w:rsid w:val="00C0242D"/>
    <w:rsid w:val="00C02584"/>
    <w:rsid w:val="00C02932"/>
    <w:rsid w:val="00C02D51"/>
    <w:rsid w:val="00C02F28"/>
    <w:rsid w:val="00C0304D"/>
    <w:rsid w:val="00C0326F"/>
    <w:rsid w:val="00C03274"/>
    <w:rsid w:val="00C033D1"/>
    <w:rsid w:val="00C034E5"/>
    <w:rsid w:val="00C03689"/>
    <w:rsid w:val="00C03702"/>
    <w:rsid w:val="00C037B2"/>
    <w:rsid w:val="00C0381F"/>
    <w:rsid w:val="00C038D3"/>
    <w:rsid w:val="00C03990"/>
    <w:rsid w:val="00C03A17"/>
    <w:rsid w:val="00C03CBB"/>
    <w:rsid w:val="00C03CBD"/>
    <w:rsid w:val="00C03D62"/>
    <w:rsid w:val="00C03DA7"/>
    <w:rsid w:val="00C03E9A"/>
    <w:rsid w:val="00C03F15"/>
    <w:rsid w:val="00C0409D"/>
    <w:rsid w:val="00C040FB"/>
    <w:rsid w:val="00C04269"/>
    <w:rsid w:val="00C04366"/>
    <w:rsid w:val="00C04378"/>
    <w:rsid w:val="00C045D2"/>
    <w:rsid w:val="00C04607"/>
    <w:rsid w:val="00C046E5"/>
    <w:rsid w:val="00C047B3"/>
    <w:rsid w:val="00C0480C"/>
    <w:rsid w:val="00C04872"/>
    <w:rsid w:val="00C049B2"/>
    <w:rsid w:val="00C049D6"/>
    <w:rsid w:val="00C04A6F"/>
    <w:rsid w:val="00C04AC2"/>
    <w:rsid w:val="00C04C07"/>
    <w:rsid w:val="00C04DEC"/>
    <w:rsid w:val="00C04E6B"/>
    <w:rsid w:val="00C050AF"/>
    <w:rsid w:val="00C050D1"/>
    <w:rsid w:val="00C0517F"/>
    <w:rsid w:val="00C05223"/>
    <w:rsid w:val="00C05468"/>
    <w:rsid w:val="00C05517"/>
    <w:rsid w:val="00C05769"/>
    <w:rsid w:val="00C0583D"/>
    <w:rsid w:val="00C058BE"/>
    <w:rsid w:val="00C05C02"/>
    <w:rsid w:val="00C05C16"/>
    <w:rsid w:val="00C05C9F"/>
    <w:rsid w:val="00C05CB6"/>
    <w:rsid w:val="00C05DC6"/>
    <w:rsid w:val="00C05FE1"/>
    <w:rsid w:val="00C06027"/>
    <w:rsid w:val="00C0630F"/>
    <w:rsid w:val="00C06464"/>
    <w:rsid w:val="00C064BF"/>
    <w:rsid w:val="00C065B9"/>
    <w:rsid w:val="00C066AB"/>
    <w:rsid w:val="00C06875"/>
    <w:rsid w:val="00C06985"/>
    <w:rsid w:val="00C06A37"/>
    <w:rsid w:val="00C06B97"/>
    <w:rsid w:val="00C06EE4"/>
    <w:rsid w:val="00C07318"/>
    <w:rsid w:val="00C0742D"/>
    <w:rsid w:val="00C0779D"/>
    <w:rsid w:val="00C078C5"/>
    <w:rsid w:val="00C07912"/>
    <w:rsid w:val="00C07ACB"/>
    <w:rsid w:val="00C07BCA"/>
    <w:rsid w:val="00C07CD4"/>
    <w:rsid w:val="00C07D54"/>
    <w:rsid w:val="00C07E10"/>
    <w:rsid w:val="00C07F36"/>
    <w:rsid w:val="00C10520"/>
    <w:rsid w:val="00C10685"/>
    <w:rsid w:val="00C10842"/>
    <w:rsid w:val="00C10968"/>
    <w:rsid w:val="00C10B2B"/>
    <w:rsid w:val="00C10D36"/>
    <w:rsid w:val="00C10D3B"/>
    <w:rsid w:val="00C10DCF"/>
    <w:rsid w:val="00C1106D"/>
    <w:rsid w:val="00C111B2"/>
    <w:rsid w:val="00C11345"/>
    <w:rsid w:val="00C1135B"/>
    <w:rsid w:val="00C11389"/>
    <w:rsid w:val="00C11569"/>
    <w:rsid w:val="00C11899"/>
    <w:rsid w:val="00C11A25"/>
    <w:rsid w:val="00C11B27"/>
    <w:rsid w:val="00C11EE6"/>
    <w:rsid w:val="00C11F09"/>
    <w:rsid w:val="00C1216F"/>
    <w:rsid w:val="00C1218F"/>
    <w:rsid w:val="00C12294"/>
    <w:rsid w:val="00C12602"/>
    <w:rsid w:val="00C12708"/>
    <w:rsid w:val="00C12773"/>
    <w:rsid w:val="00C12C2A"/>
    <w:rsid w:val="00C12DF7"/>
    <w:rsid w:val="00C12F7C"/>
    <w:rsid w:val="00C12F87"/>
    <w:rsid w:val="00C12FFA"/>
    <w:rsid w:val="00C131B4"/>
    <w:rsid w:val="00C13321"/>
    <w:rsid w:val="00C13380"/>
    <w:rsid w:val="00C13433"/>
    <w:rsid w:val="00C134A4"/>
    <w:rsid w:val="00C13777"/>
    <w:rsid w:val="00C137CA"/>
    <w:rsid w:val="00C137F0"/>
    <w:rsid w:val="00C1389A"/>
    <w:rsid w:val="00C138D9"/>
    <w:rsid w:val="00C138F8"/>
    <w:rsid w:val="00C139F3"/>
    <w:rsid w:val="00C14062"/>
    <w:rsid w:val="00C140C3"/>
    <w:rsid w:val="00C14159"/>
    <w:rsid w:val="00C14332"/>
    <w:rsid w:val="00C14579"/>
    <w:rsid w:val="00C1480A"/>
    <w:rsid w:val="00C1486C"/>
    <w:rsid w:val="00C14988"/>
    <w:rsid w:val="00C149B4"/>
    <w:rsid w:val="00C149DA"/>
    <w:rsid w:val="00C14A43"/>
    <w:rsid w:val="00C14B23"/>
    <w:rsid w:val="00C14E2C"/>
    <w:rsid w:val="00C14EDA"/>
    <w:rsid w:val="00C15135"/>
    <w:rsid w:val="00C15201"/>
    <w:rsid w:val="00C1526C"/>
    <w:rsid w:val="00C153E4"/>
    <w:rsid w:val="00C153FA"/>
    <w:rsid w:val="00C1549A"/>
    <w:rsid w:val="00C15517"/>
    <w:rsid w:val="00C15796"/>
    <w:rsid w:val="00C1592F"/>
    <w:rsid w:val="00C15B4F"/>
    <w:rsid w:val="00C15C6A"/>
    <w:rsid w:val="00C15D7C"/>
    <w:rsid w:val="00C15ECF"/>
    <w:rsid w:val="00C15FDF"/>
    <w:rsid w:val="00C16070"/>
    <w:rsid w:val="00C162BC"/>
    <w:rsid w:val="00C162DB"/>
    <w:rsid w:val="00C162EC"/>
    <w:rsid w:val="00C165CD"/>
    <w:rsid w:val="00C16660"/>
    <w:rsid w:val="00C16799"/>
    <w:rsid w:val="00C16810"/>
    <w:rsid w:val="00C16A29"/>
    <w:rsid w:val="00C16C56"/>
    <w:rsid w:val="00C16D1D"/>
    <w:rsid w:val="00C16E5C"/>
    <w:rsid w:val="00C1709D"/>
    <w:rsid w:val="00C1728E"/>
    <w:rsid w:val="00C172B7"/>
    <w:rsid w:val="00C17347"/>
    <w:rsid w:val="00C17349"/>
    <w:rsid w:val="00C173E8"/>
    <w:rsid w:val="00C17400"/>
    <w:rsid w:val="00C1748C"/>
    <w:rsid w:val="00C17497"/>
    <w:rsid w:val="00C175B9"/>
    <w:rsid w:val="00C1766B"/>
    <w:rsid w:val="00C176AF"/>
    <w:rsid w:val="00C176F9"/>
    <w:rsid w:val="00C17798"/>
    <w:rsid w:val="00C17840"/>
    <w:rsid w:val="00C1787A"/>
    <w:rsid w:val="00C1790C"/>
    <w:rsid w:val="00C17963"/>
    <w:rsid w:val="00C17AA2"/>
    <w:rsid w:val="00C17B1C"/>
    <w:rsid w:val="00C17B41"/>
    <w:rsid w:val="00C17CDF"/>
    <w:rsid w:val="00C17D17"/>
    <w:rsid w:val="00C17D79"/>
    <w:rsid w:val="00C17DB4"/>
    <w:rsid w:val="00C17DC8"/>
    <w:rsid w:val="00C17F79"/>
    <w:rsid w:val="00C17FE5"/>
    <w:rsid w:val="00C202BB"/>
    <w:rsid w:val="00C20365"/>
    <w:rsid w:val="00C2049F"/>
    <w:rsid w:val="00C206FE"/>
    <w:rsid w:val="00C2072B"/>
    <w:rsid w:val="00C20958"/>
    <w:rsid w:val="00C20960"/>
    <w:rsid w:val="00C20B8C"/>
    <w:rsid w:val="00C20CAD"/>
    <w:rsid w:val="00C20DFF"/>
    <w:rsid w:val="00C20F42"/>
    <w:rsid w:val="00C20F6C"/>
    <w:rsid w:val="00C20FC6"/>
    <w:rsid w:val="00C213EE"/>
    <w:rsid w:val="00C21436"/>
    <w:rsid w:val="00C21690"/>
    <w:rsid w:val="00C2177C"/>
    <w:rsid w:val="00C21965"/>
    <w:rsid w:val="00C21A0D"/>
    <w:rsid w:val="00C21C69"/>
    <w:rsid w:val="00C21D8D"/>
    <w:rsid w:val="00C21ED6"/>
    <w:rsid w:val="00C22097"/>
    <w:rsid w:val="00C222D6"/>
    <w:rsid w:val="00C22583"/>
    <w:rsid w:val="00C226D1"/>
    <w:rsid w:val="00C22D0E"/>
    <w:rsid w:val="00C22EB8"/>
    <w:rsid w:val="00C22F3B"/>
    <w:rsid w:val="00C22F6A"/>
    <w:rsid w:val="00C2304D"/>
    <w:rsid w:val="00C23392"/>
    <w:rsid w:val="00C233E0"/>
    <w:rsid w:val="00C23596"/>
    <w:rsid w:val="00C2398B"/>
    <w:rsid w:val="00C239AC"/>
    <w:rsid w:val="00C2400E"/>
    <w:rsid w:val="00C24124"/>
    <w:rsid w:val="00C24337"/>
    <w:rsid w:val="00C24578"/>
    <w:rsid w:val="00C2458D"/>
    <w:rsid w:val="00C245B3"/>
    <w:rsid w:val="00C24616"/>
    <w:rsid w:val="00C247F4"/>
    <w:rsid w:val="00C248A3"/>
    <w:rsid w:val="00C249D3"/>
    <w:rsid w:val="00C24B0E"/>
    <w:rsid w:val="00C24F47"/>
    <w:rsid w:val="00C24F93"/>
    <w:rsid w:val="00C24FC5"/>
    <w:rsid w:val="00C2500A"/>
    <w:rsid w:val="00C2520E"/>
    <w:rsid w:val="00C253B9"/>
    <w:rsid w:val="00C2570C"/>
    <w:rsid w:val="00C25820"/>
    <w:rsid w:val="00C25876"/>
    <w:rsid w:val="00C2590B"/>
    <w:rsid w:val="00C25EA9"/>
    <w:rsid w:val="00C25EC4"/>
    <w:rsid w:val="00C25EF8"/>
    <w:rsid w:val="00C25F32"/>
    <w:rsid w:val="00C26099"/>
    <w:rsid w:val="00C2609B"/>
    <w:rsid w:val="00C2614F"/>
    <w:rsid w:val="00C263F1"/>
    <w:rsid w:val="00C2645D"/>
    <w:rsid w:val="00C2655F"/>
    <w:rsid w:val="00C265BC"/>
    <w:rsid w:val="00C267FD"/>
    <w:rsid w:val="00C2697B"/>
    <w:rsid w:val="00C26A4B"/>
    <w:rsid w:val="00C26BF4"/>
    <w:rsid w:val="00C26CE3"/>
    <w:rsid w:val="00C26D39"/>
    <w:rsid w:val="00C26D72"/>
    <w:rsid w:val="00C26DAC"/>
    <w:rsid w:val="00C26E38"/>
    <w:rsid w:val="00C26F42"/>
    <w:rsid w:val="00C26FB7"/>
    <w:rsid w:val="00C27237"/>
    <w:rsid w:val="00C272F2"/>
    <w:rsid w:val="00C27385"/>
    <w:rsid w:val="00C27433"/>
    <w:rsid w:val="00C27529"/>
    <w:rsid w:val="00C275D7"/>
    <w:rsid w:val="00C27662"/>
    <w:rsid w:val="00C27679"/>
    <w:rsid w:val="00C2780A"/>
    <w:rsid w:val="00C2780E"/>
    <w:rsid w:val="00C27A35"/>
    <w:rsid w:val="00C27A53"/>
    <w:rsid w:val="00C27A8D"/>
    <w:rsid w:val="00C27BB7"/>
    <w:rsid w:val="00C27C5B"/>
    <w:rsid w:val="00C27F26"/>
    <w:rsid w:val="00C27F7C"/>
    <w:rsid w:val="00C30068"/>
    <w:rsid w:val="00C30069"/>
    <w:rsid w:val="00C3013F"/>
    <w:rsid w:val="00C3027B"/>
    <w:rsid w:val="00C302A1"/>
    <w:rsid w:val="00C302E3"/>
    <w:rsid w:val="00C30466"/>
    <w:rsid w:val="00C305A1"/>
    <w:rsid w:val="00C305C7"/>
    <w:rsid w:val="00C30608"/>
    <w:rsid w:val="00C309EE"/>
    <w:rsid w:val="00C30C39"/>
    <w:rsid w:val="00C30D75"/>
    <w:rsid w:val="00C3105A"/>
    <w:rsid w:val="00C31694"/>
    <w:rsid w:val="00C31737"/>
    <w:rsid w:val="00C31740"/>
    <w:rsid w:val="00C31756"/>
    <w:rsid w:val="00C31760"/>
    <w:rsid w:val="00C31AA8"/>
    <w:rsid w:val="00C31C41"/>
    <w:rsid w:val="00C31DC5"/>
    <w:rsid w:val="00C31DE7"/>
    <w:rsid w:val="00C31ECC"/>
    <w:rsid w:val="00C31FA6"/>
    <w:rsid w:val="00C322C5"/>
    <w:rsid w:val="00C323B8"/>
    <w:rsid w:val="00C32577"/>
    <w:rsid w:val="00C327EE"/>
    <w:rsid w:val="00C3289F"/>
    <w:rsid w:val="00C32994"/>
    <w:rsid w:val="00C32B21"/>
    <w:rsid w:val="00C32C6E"/>
    <w:rsid w:val="00C32C7D"/>
    <w:rsid w:val="00C32DC7"/>
    <w:rsid w:val="00C32F4A"/>
    <w:rsid w:val="00C33001"/>
    <w:rsid w:val="00C33161"/>
    <w:rsid w:val="00C33267"/>
    <w:rsid w:val="00C33400"/>
    <w:rsid w:val="00C3345F"/>
    <w:rsid w:val="00C334EB"/>
    <w:rsid w:val="00C33687"/>
    <w:rsid w:val="00C33763"/>
    <w:rsid w:val="00C337E8"/>
    <w:rsid w:val="00C339BB"/>
    <w:rsid w:val="00C339C7"/>
    <w:rsid w:val="00C33A2E"/>
    <w:rsid w:val="00C33A8A"/>
    <w:rsid w:val="00C33C96"/>
    <w:rsid w:val="00C33F24"/>
    <w:rsid w:val="00C341B3"/>
    <w:rsid w:val="00C34303"/>
    <w:rsid w:val="00C34449"/>
    <w:rsid w:val="00C344CA"/>
    <w:rsid w:val="00C34819"/>
    <w:rsid w:val="00C3481B"/>
    <w:rsid w:val="00C348AD"/>
    <w:rsid w:val="00C349A4"/>
    <w:rsid w:val="00C34A20"/>
    <w:rsid w:val="00C34A65"/>
    <w:rsid w:val="00C34AE1"/>
    <w:rsid w:val="00C34DF4"/>
    <w:rsid w:val="00C35093"/>
    <w:rsid w:val="00C353AC"/>
    <w:rsid w:val="00C35493"/>
    <w:rsid w:val="00C354F6"/>
    <w:rsid w:val="00C35523"/>
    <w:rsid w:val="00C355E6"/>
    <w:rsid w:val="00C35C10"/>
    <w:rsid w:val="00C35CA1"/>
    <w:rsid w:val="00C35E3A"/>
    <w:rsid w:val="00C36189"/>
    <w:rsid w:val="00C362BB"/>
    <w:rsid w:val="00C3636D"/>
    <w:rsid w:val="00C36433"/>
    <w:rsid w:val="00C365EF"/>
    <w:rsid w:val="00C365F1"/>
    <w:rsid w:val="00C366DF"/>
    <w:rsid w:val="00C36773"/>
    <w:rsid w:val="00C3690A"/>
    <w:rsid w:val="00C36AC6"/>
    <w:rsid w:val="00C36AC7"/>
    <w:rsid w:val="00C36B9D"/>
    <w:rsid w:val="00C36C9C"/>
    <w:rsid w:val="00C36CFA"/>
    <w:rsid w:val="00C36EB8"/>
    <w:rsid w:val="00C37244"/>
    <w:rsid w:val="00C373AD"/>
    <w:rsid w:val="00C373F8"/>
    <w:rsid w:val="00C3748B"/>
    <w:rsid w:val="00C374BF"/>
    <w:rsid w:val="00C375C2"/>
    <w:rsid w:val="00C3761E"/>
    <w:rsid w:val="00C37706"/>
    <w:rsid w:val="00C3778F"/>
    <w:rsid w:val="00C378CF"/>
    <w:rsid w:val="00C37A2C"/>
    <w:rsid w:val="00C37BD6"/>
    <w:rsid w:val="00C37DCF"/>
    <w:rsid w:val="00C37E4D"/>
    <w:rsid w:val="00C40082"/>
    <w:rsid w:val="00C40107"/>
    <w:rsid w:val="00C40283"/>
    <w:rsid w:val="00C40405"/>
    <w:rsid w:val="00C404AC"/>
    <w:rsid w:val="00C40827"/>
    <w:rsid w:val="00C40AEF"/>
    <w:rsid w:val="00C40B61"/>
    <w:rsid w:val="00C40BA4"/>
    <w:rsid w:val="00C40C12"/>
    <w:rsid w:val="00C40C30"/>
    <w:rsid w:val="00C410A8"/>
    <w:rsid w:val="00C41304"/>
    <w:rsid w:val="00C41448"/>
    <w:rsid w:val="00C414B9"/>
    <w:rsid w:val="00C41560"/>
    <w:rsid w:val="00C41628"/>
    <w:rsid w:val="00C41663"/>
    <w:rsid w:val="00C4172A"/>
    <w:rsid w:val="00C4185F"/>
    <w:rsid w:val="00C418E2"/>
    <w:rsid w:val="00C41A33"/>
    <w:rsid w:val="00C41AED"/>
    <w:rsid w:val="00C41C66"/>
    <w:rsid w:val="00C41E93"/>
    <w:rsid w:val="00C41F24"/>
    <w:rsid w:val="00C42123"/>
    <w:rsid w:val="00C42548"/>
    <w:rsid w:val="00C42570"/>
    <w:rsid w:val="00C42578"/>
    <w:rsid w:val="00C42699"/>
    <w:rsid w:val="00C42888"/>
    <w:rsid w:val="00C429B0"/>
    <w:rsid w:val="00C42A81"/>
    <w:rsid w:val="00C42B5D"/>
    <w:rsid w:val="00C42B86"/>
    <w:rsid w:val="00C430CC"/>
    <w:rsid w:val="00C430EF"/>
    <w:rsid w:val="00C43422"/>
    <w:rsid w:val="00C4354C"/>
    <w:rsid w:val="00C435CD"/>
    <w:rsid w:val="00C4363E"/>
    <w:rsid w:val="00C4391B"/>
    <w:rsid w:val="00C43946"/>
    <w:rsid w:val="00C43D05"/>
    <w:rsid w:val="00C43E00"/>
    <w:rsid w:val="00C43E63"/>
    <w:rsid w:val="00C43EA6"/>
    <w:rsid w:val="00C43EB9"/>
    <w:rsid w:val="00C440A5"/>
    <w:rsid w:val="00C440BF"/>
    <w:rsid w:val="00C44245"/>
    <w:rsid w:val="00C44751"/>
    <w:rsid w:val="00C448B5"/>
    <w:rsid w:val="00C448C8"/>
    <w:rsid w:val="00C44908"/>
    <w:rsid w:val="00C44A80"/>
    <w:rsid w:val="00C44AA4"/>
    <w:rsid w:val="00C44C24"/>
    <w:rsid w:val="00C44CB1"/>
    <w:rsid w:val="00C44F22"/>
    <w:rsid w:val="00C450B6"/>
    <w:rsid w:val="00C45252"/>
    <w:rsid w:val="00C45617"/>
    <w:rsid w:val="00C456F2"/>
    <w:rsid w:val="00C457C3"/>
    <w:rsid w:val="00C458A8"/>
    <w:rsid w:val="00C4594A"/>
    <w:rsid w:val="00C45EF9"/>
    <w:rsid w:val="00C460FC"/>
    <w:rsid w:val="00C4610E"/>
    <w:rsid w:val="00C4615E"/>
    <w:rsid w:val="00C46724"/>
    <w:rsid w:val="00C4685D"/>
    <w:rsid w:val="00C46A99"/>
    <w:rsid w:val="00C46C13"/>
    <w:rsid w:val="00C46C97"/>
    <w:rsid w:val="00C46CED"/>
    <w:rsid w:val="00C46D30"/>
    <w:rsid w:val="00C46DCA"/>
    <w:rsid w:val="00C46F24"/>
    <w:rsid w:val="00C46F50"/>
    <w:rsid w:val="00C470DB"/>
    <w:rsid w:val="00C470E5"/>
    <w:rsid w:val="00C473FE"/>
    <w:rsid w:val="00C4752A"/>
    <w:rsid w:val="00C47BD6"/>
    <w:rsid w:val="00C47C91"/>
    <w:rsid w:val="00C47D8D"/>
    <w:rsid w:val="00C47E51"/>
    <w:rsid w:val="00C47E82"/>
    <w:rsid w:val="00C47FD4"/>
    <w:rsid w:val="00C50031"/>
    <w:rsid w:val="00C5034D"/>
    <w:rsid w:val="00C50610"/>
    <w:rsid w:val="00C5063A"/>
    <w:rsid w:val="00C506A8"/>
    <w:rsid w:val="00C50779"/>
    <w:rsid w:val="00C5081C"/>
    <w:rsid w:val="00C5094A"/>
    <w:rsid w:val="00C50AB1"/>
    <w:rsid w:val="00C50C02"/>
    <w:rsid w:val="00C50D5A"/>
    <w:rsid w:val="00C50E2E"/>
    <w:rsid w:val="00C50E66"/>
    <w:rsid w:val="00C50FD9"/>
    <w:rsid w:val="00C5104B"/>
    <w:rsid w:val="00C512A1"/>
    <w:rsid w:val="00C51509"/>
    <w:rsid w:val="00C5164B"/>
    <w:rsid w:val="00C5172A"/>
    <w:rsid w:val="00C517E0"/>
    <w:rsid w:val="00C51826"/>
    <w:rsid w:val="00C51936"/>
    <w:rsid w:val="00C519B3"/>
    <w:rsid w:val="00C51B87"/>
    <w:rsid w:val="00C51C75"/>
    <w:rsid w:val="00C51DE1"/>
    <w:rsid w:val="00C51E8E"/>
    <w:rsid w:val="00C51EBC"/>
    <w:rsid w:val="00C52125"/>
    <w:rsid w:val="00C521CB"/>
    <w:rsid w:val="00C52288"/>
    <w:rsid w:val="00C523F0"/>
    <w:rsid w:val="00C528B0"/>
    <w:rsid w:val="00C52BC8"/>
    <w:rsid w:val="00C52BD8"/>
    <w:rsid w:val="00C52C75"/>
    <w:rsid w:val="00C53012"/>
    <w:rsid w:val="00C5315C"/>
    <w:rsid w:val="00C531A8"/>
    <w:rsid w:val="00C53231"/>
    <w:rsid w:val="00C53C16"/>
    <w:rsid w:val="00C53D08"/>
    <w:rsid w:val="00C53E10"/>
    <w:rsid w:val="00C53E72"/>
    <w:rsid w:val="00C5401D"/>
    <w:rsid w:val="00C5433D"/>
    <w:rsid w:val="00C5468F"/>
    <w:rsid w:val="00C54724"/>
    <w:rsid w:val="00C5482D"/>
    <w:rsid w:val="00C54AF2"/>
    <w:rsid w:val="00C54B77"/>
    <w:rsid w:val="00C54C00"/>
    <w:rsid w:val="00C54E66"/>
    <w:rsid w:val="00C54E6C"/>
    <w:rsid w:val="00C55132"/>
    <w:rsid w:val="00C55251"/>
    <w:rsid w:val="00C554B5"/>
    <w:rsid w:val="00C555C0"/>
    <w:rsid w:val="00C5572F"/>
    <w:rsid w:val="00C557EA"/>
    <w:rsid w:val="00C55BF3"/>
    <w:rsid w:val="00C55C65"/>
    <w:rsid w:val="00C55D3C"/>
    <w:rsid w:val="00C55E17"/>
    <w:rsid w:val="00C55E1A"/>
    <w:rsid w:val="00C55E46"/>
    <w:rsid w:val="00C55EC9"/>
    <w:rsid w:val="00C55FFE"/>
    <w:rsid w:val="00C560DF"/>
    <w:rsid w:val="00C56143"/>
    <w:rsid w:val="00C56286"/>
    <w:rsid w:val="00C564DB"/>
    <w:rsid w:val="00C56679"/>
    <w:rsid w:val="00C56A00"/>
    <w:rsid w:val="00C56AEC"/>
    <w:rsid w:val="00C56BE1"/>
    <w:rsid w:val="00C56C4F"/>
    <w:rsid w:val="00C56E8A"/>
    <w:rsid w:val="00C56F5A"/>
    <w:rsid w:val="00C5730B"/>
    <w:rsid w:val="00C573F4"/>
    <w:rsid w:val="00C5755F"/>
    <w:rsid w:val="00C5774C"/>
    <w:rsid w:val="00C57754"/>
    <w:rsid w:val="00C57817"/>
    <w:rsid w:val="00C579EB"/>
    <w:rsid w:val="00C57A70"/>
    <w:rsid w:val="00C57A78"/>
    <w:rsid w:val="00C57AE3"/>
    <w:rsid w:val="00C57E5F"/>
    <w:rsid w:val="00C57FC8"/>
    <w:rsid w:val="00C602E9"/>
    <w:rsid w:val="00C6062A"/>
    <w:rsid w:val="00C6071E"/>
    <w:rsid w:val="00C6076E"/>
    <w:rsid w:val="00C607BD"/>
    <w:rsid w:val="00C6084A"/>
    <w:rsid w:val="00C60A2B"/>
    <w:rsid w:val="00C60CBF"/>
    <w:rsid w:val="00C60DAF"/>
    <w:rsid w:val="00C60FC1"/>
    <w:rsid w:val="00C61051"/>
    <w:rsid w:val="00C61149"/>
    <w:rsid w:val="00C61336"/>
    <w:rsid w:val="00C6145C"/>
    <w:rsid w:val="00C61678"/>
    <w:rsid w:val="00C616B8"/>
    <w:rsid w:val="00C616CD"/>
    <w:rsid w:val="00C617DF"/>
    <w:rsid w:val="00C618A2"/>
    <w:rsid w:val="00C61D69"/>
    <w:rsid w:val="00C61F59"/>
    <w:rsid w:val="00C62090"/>
    <w:rsid w:val="00C620C8"/>
    <w:rsid w:val="00C621D8"/>
    <w:rsid w:val="00C623D3"/>
    <w:rsid w:val="00C624EE"/>
    <w:rsid w:val="00C627FD"/>
    <w:rsid w:val="00C62955"/>
    <w:rsid w:val="00C62B60"/>
    <w:rsid w:val="00C62C3A"/>
    <w:rsid w:val="00C62C4B"/>
    <w:rsid w:val="00C62E25"/>
    <w:rsid w:val="00C62F09"/>
    <w:rsid w:val="00C630D4"/>
    <w:rsid w:val="00C63142"/>
    <w:rsid w:val="00C631B2"/>
    <w:rsid w:val="00C63321"/>
    <w:rsid w:val="00C63671"/>
    <w:rsid w:val="00C638F2"/>
    <w:rsid w:val="00C63AAD"/>
    <w:rsid w:val="00C63BB2"/>
    <w:rsid w:val="00C63C83"/>
    <w:rsid w:val="00C63D3C"/>
    <w:rsid w:val="00C63E81"/>
    <w:rsid w:val="00C63E9E"/>
    <w:rsid w:val="00C63EDF"/>
    <w:rsid w:val="00C64136"/>
    <w:rsid w:val="00C64392"/>
    <w:rsid w:val="00C643A6"/>
    <w:rsid w:val="00C643D4"/>
    <w:rsid w:val="00C64783"/>
    <w:rsid w:val="00C647C6"/>
    <w:rsid w:val="00C647EB"/>
    <w:rsid w:val="00C6486A"/>
    <w:rsid w:val="00C6492B"/>
    <w:rsid w:val="00C649AB"/>
    <w:rsid w:val="00C64A4E"/>
    <w:rsid w:val="00C64A61"/>
    <w:rsid w:val="00C64AAD"/>
    <w:rsid w:val="00C64BD9"/>
    <w:rsid w:val="00C64C0C"/>
    <w:rsid w:val="00C64CB9"/>
    <w:rsid w:val="00C64E9E"/>
    <w:rsid w:val="00C651D5"/>
    <w:rsid w:val="00C652F3"/>
    <w:rsid w:val="00C65394"/>
    <w:rsid w:val="00C653CB"/>
    <w:rsid w:val="00C65512"/>
    <w:rsid w:val="00C65582"/>
    <w:rsid w:val="00C65766"/>
    <w:rsid w:val="00C658B9"/>
    <w:rsid w:val="00C659E2"/>
    <w:rsid w:val="00C65B1A"/>
    <w:rsid w:val="00C65B9A"/>
    <w:rsid w:val="00C65F8D"/>
    <w:rsid w:val="00C662FA"/>
    <w:rsid w:val="00C66439"/>
    <w:rsid w:val="00C66770"/>
    <w:rsid w:val="00C667F6"/>
    <w:rsid w:val="00C66AC6"/>
    <w:rsid w:val="00C66B4A"/>
    <w:rsid w:val="00C66D90"/>
    <w:rsid w:val="00C67086"/>
    <w:rsid w:val="00C670F6"/>
    <w:rsid w:val="00C67111"/>
    <w:rsid w:val="00C6737D"/>
    <w:rsid w:val="00C673B7"/>
    <w:rsid w:val="00C675F2"/>
    <w:rsid w:val="00C676B5"/>
    <w:rsid w:val="00C676F0"/>
    <w:rsid w:val="00C677BA"/>
    <w:rsid w:val="00C677C8"/>
    <w:rsid w:val="00C67977"/>
    <w:rsid w:val="00C67A2B"/>
    <w:rsid w:val="00C67C64"/>
    <w:rsid w:val="00C7005B"/>
    <w:rsid w:val="00C7007D"/>
    <w:rsid w:val="00C702F4"/>
    <w:rsid w:val="00C703FF"/>
    <w:rsid w:val="00C70497"/>
    <w:rsid w:val="00C7052B"/>
    <w:rsid w:val="00C70723"/>
    <w:rsid w:val="00C709A4"/>
    <w:rsid w:val="00C709B3"/>
    <w:rsid w:val="00C70AC2"/>
    <w:rsid w:val="00C70B8E"/>
    <w:rsid w:val="00C70B97"/>
    <w:rsid w:val="00C70CAF"/>
    <w:rsid w:val="00C70CDE"/>
    <w:rsid w:val="00C70EEA"/>
    <w:rsid w:val="00C70F76"/>
    <w:rsid w:val="00C710FE"/>
    <w:rsid w:val="00C714D4"/>
    <w:rsid w:val="00C714E0"/>
    <w:rsid w:val="00C71541"/>
    <w:rsid w:val="00C7154D"/>
    <w:rsid w:val="00C71659"/>
    <w:rsid w:val="00C716B0"/>
    <w:rsid w:val="00C7194A"/>
    <w:rsid w:val="00C719F3"/>
    <w:rsid w:val="00C71A4E"/>
    <w:rsid w:val="00C71A6E"/>
    <w:rsid w:val="00C71B1D"/>
    <w:rsid w:val="00C71FC4"/>
    <w:rsid w:val="00C725CF"/>
    <w:rsid w:val="00C7283B"/>
    <w:rsid w:val="00C7288F"/>
    <w:rsid w:val="00C7296A"/>
    <w:rsid w:val="00C72AC9"/>
    <w:rsid w:val="00C72B74"/>
    <w:rsid w:val="00C72BAE"/>
    <w:rsid w:val="00C72C03"/>
    <w:rsid w:val="00C72C34"/>
    <w:rsid w:val="00C72C3D"/>
    <w:rsid w:val="00C72CDA"/>
    <w:rsid w:val="00C72D77"/>
    <w:rsid w:val="00C72D96"/>
    <w:rsid w:val="00C72E98"/>
    <w:rsid w:val="00C73229"/>
    <w:rsid w:val="00C73493"/>
    <w:rsid w:val="00C737AC"/>
    <w:rsid w:val="00C737B2"/>
    <w:rsid w:val="00C737B8"/>
    <w:rsid w:val="00C73889"/>
    <w:rsid w:val="00C73A77"/>
    <w:rsid w:val="00C73AD7"/>
    <w:rsid w:val="00C73AF3"/>
    <w:rsid w:val="00C73B18"/>
    <w:rsid w:val="00C73BDD"/>
    <w:rsid w:val="00C73C54"/>
    <w:rsid w:val="00C73E61"/>
    <w:rsid w:val="00C73F7A"/>
    <w:rsid w:val="00C74005"/>
    <w:rsid w:val="00C74161"/>
    <w:rsid w:val="00C74225"/>
    <w:rsid w:val="00C74284"/>
    <w:rsid w:val="00C74308"/>
    <w:rsid w:val="00C7432F"/>
    <w:rsid w:val="00C74367"/>
    <w:rsid w:val="00C7437C"/>
    <w:rsid w:val="00C743EE"/>
    <w:rsid w:val="00C7459D"/>
    <w:rsid w:val="00C746F2"/>
    <w:rsid w:val="00C74804"/>
    <w:rsid w:val="00C74A2D"/>
    <w:rsid w:val="00C74C05"/>
    <w:rsid w:val="00C74F17"/>
    <w:rsid w:val="00C750CF"/>
    <w:rsid w:val="00C751F2"/>
    <w:rsid w:val="00C755F6"/>
    <w:rsid w:val="00C755F7"/>
    <w:rsid w:val="00C7568A"/>
    <w:rsid w:val="00C75790"/>
    <w:rsid w:val="00C757E1"/>
    <w:rsid w:val="00C75C05"/>
    <w:rsid w:val="00C75E49"/>
    <w:rsid w:val="00C75EE4"/>
    <w:rsid w:val="00C75F40"/>
    <w:rsid w:val="00C765CC"/>
    <w:rsid w:val="00C76662"/>
    <w:rsid w:val="00C766D1"/>
    <w:rsid w:val="00C76810"/>
    <w:rsid w:val="00C7683A"/>
    <w:rsid w:val="00C76CEB"/>
    <w:rsid w:val="00C77033"/>
    <w:rsid w:val="00C7709B"/>
    <w:rsid w:val="00C77156"/>
    <w:rsid w:val="00C772D0"/>
    <w:rsid w:val="00C7731D"/>
    <w:rsid w:val="00C77435"/>
    <w:rsid w:val="00C77478"/>
    <w:rsid w:val="00C7759C"/>
    <w:rsid w:val="00C777B5"/>
    <w:rsid w:val="00C77954"/>
    <w:rsid w:val="00C77B97"/>
    <w:rsid w:val="00C7C2D1"/>
    <w:rsid w:val="00C801E9"/>
    <w:rsid w:val="00C803E8"/>
    <w:rsid w:val="00C8043D"/>
    <w:rsid w:val="00C80894"/>
    <w:rsid w:val="00C808DF"/>
    <w:rsid w:val="00C80953"/>
    <w:rsid w:val="00C80959"/>
    <w:rsid w:val="00C80C58"/>
    <w:rsid w:val="00C80CA1"/>
    <w:rsid w:val="00C80F0E"/>
    <w:rsid w:val="00C80FE0"/>
    <w:rsid w:val="00C811A0"/>
    <w:rsid w:val="00C81409"/>
    <w:rsid w:val="00C81587"/>
    <w:rsid w:val="00C8159E"/>
    <w:rsid w:val="00C81617"/>
    <w:rsid w:val="00C816AE"/>
    <w:rsid w:val="00C81BDC"/>
    <w:rsid w:val="00C81FBC"/>
    <w:rsid w:val="00C82131"/>
    <w:rsid w:val="00C82141"/>
    <w:rsid w:val="00C8242B"/>
    <w:rsid w:val="00C8243E"/>
    <w:rsid w:val="00C826D3"/>
    <w:rsid w:val="00C82762"/>
    <w:rsid w:val="00C828A0"/>
    <w:rsid w:val="00C82B47"/>
    <w:rsid w:val="00C82CFE"/>
    <w:rsid w:val="00C82D8F"/>
    <w:rsid w:val="00C82E08"/>
    <w:rsid w:val="00C83207"/>
    <w:rsid w:val="00C833AA"/>
    <w:rsid w:val="00C834F8"/>
    <w:rsid w:val="00C83739"/>
    <w:rsid w:val="00C837E5"/>
    <w:rsid w:val="00C8397E"/>
    <w:rsid w:val="00C83AE2"/>
    <w:rsid w:val="00C83CA3"/>
    <w:rsid w:val="00C83D4F"/>
    <w:rsid w:val="00C83E31"/>
    <w:rsid w:val="00C83E4E"/>
    <w:rsid w:val="00C83FC3"/>
    <w:rsid w:val="00C84029"/>
    <w:rsid w:val="00C84101"/>
    <w:rsid w:val="00C842F2"/>
    <w:rsid w:val="00C843B5"/>
    <w:rsid w:val="00C84519"/>
    <w:rsid w:val="00C84683"/>
    <w:rsid w:val="00C84736"/>
    <w:rsid w:val="00C847FA"/>
    <w:rsid w:val="00C84983"/>
    <w:rsid w:val="00C84F2B"/>
    <w:rsid w:val="00C84FB4"/>
    <w:rsid w:val="00C85015"/>
    <w:rsid w:val="00C8529F"/>
    <w:rsid w:val="00C8539C"/>
    <w:rsid w:val="00C85507"/>
    <w:rsid w:val="00C85581"/>
    <w:rsid w:val="00C859AF"/>
    <w:rsid w:val="00C85A99"/>
    <w:rsid w:val="00C85E06"/>
    <w:rsid w:val="00C85E14"/>
    <w:rsid w:val="00C86007"/>
    <w:rsid w:val="00C8602E"/>
    <w:rsid w:val="00C8609A"/>
    <w:rsid w:val="00C863FB"/>
    <w:rsid w:val="00C8647A"/>
    <w:rsid w:val="00C86494"/>
    <w:rsid w:val="00C86516"/>
    <w:rsid w:val="00C86723"/>
    <w:rsid w:val="00C86863"/>
    <w:rsid w:val="00C8691E"/>
    <w:rsid w:val="00C86995"/>
    <w:rsid w:val="00C869AD"/>
    <w:rsid w:val="00C86B6D"/>
    <w:rsid w:val="00C86E3B"/>
    <w:rsid w:val="00C86E5C"/>
    <w:rsid w:val="00C87062"/>
    <w:rsid w:val="00C8720B"/>
    <w:rsid w:val="00C87242"/>
    <w:rsid w:val="00C872D0"/>
    <w:rsid w:val="00C8738B"/>
    <w:rsid w:val="00C8743F"/>
    <w:rsid w:val="00C874A4"/>
    <w:rsid w:val="00C8753F"/>
    <w:rsid w:val="00C875B8"/>
    <w:rsid w:val="00C8777C"/>
    <w:rsid w:val="00C8799B"/>
    <w:rsid w:val="00C879E7"/>
    <w:rsid w:val="00C87AA9"/>
    <w:rsid w:val="00C87B66"/>
    <w:rsid w:val="00C87D64"/>
    <w:rsid w:val="00C87D66"/>
    <w:rsid w:val="00C87EA1"/>
    <w:rsid w:val="00C87F6D"/>
    <w:rsid w:val="00C87FE1"/>
    <w:rsid w:val="00C90012"/>
    <w:rsid w:val="00C901C8"/>
    <w:rsid w:val="00C901D8"/>
    <w:rsid w:val="00C90334"/>
    <w:rsid w:val="00C9033C"/>
    <w:rsid w:val="00C9067B"/>
    <w:rsid w:val="00C906DD"/>
    <w:rsid w:val="00C90762"/>
    <w:rsid w:val="00C90A12"/>
    <w:rsid w:val="00C90D58"/>
    <w:rsid w:val="00C90E35"/>
    <w:rsid w:val="00C90E43"/>
    <w:rsid w:val="00C90E51"/>
    <w:rsid w:val="00C90FDF"/>
    <w:rsid w:val="00C91157"/>
    <w:rsid w:val="00C911C4"/>
    <w:rsid w:val="00C91352"/>
    <w:rsid w:val="00C9149B"/>
    <w:rsid w:val="00C915E3"/>
    <w:rsid w:val="00C91712"/>
    <w:rsid w:val="00C917B8"/>
    <w:rsid w:val="00C91967"/>
    <w:rsid w:val="00C91A42"/>
    <w:rsid w:val="00C920F5"/>
    <w:rsid w:val="00C92174"/>
    <w:rsid w:val="00C92199"/>
    <w:rsid w:val="00C9230E"/>
    <w:rsid w:val="00C9234A"/>
    <w:rsid w:val="00C9258A"/>
    <w:rsid w:val="00C925A4"/>
    <w:rsid w:val="00C92708"/>
    <w:rsid w:val="00C927B7"/>
    <w:rsid w:val="00C92AD4"/>
    <w:rsid w:val="00C92B25"/>
    <w:rsid w:val="00C92C95"/>
    <w:rsid w:val="00C92DA5"/>
    <w:rsid w:val="00C92DF7"/>
    <w:rsid w:val="00C930FF"/>
    <w:rsid w:val="00C932C0"/>
    <w:rsid w:val="00C932FE"/>
    <w:rsid w:val="00C93308"/>
    <w:rsid w:val="00C933F2"/>
    <w:rsid w:val="00C93429"/>
    <w:rsid w:val="00C936C3"/>
    <w:rsid w:val="00C937E7"/>
    <w:rsid w:val="00C93986"/>
    <w:rsid w:val="00C93CC3"/>
    <w:rsid w:val="00C93E3C"/>
    <w:rsid w:val="00C93E5F"/>
    <w:rsid w:val="00C93F94"/>
    <w:rsid w:val="00C93FA9"/>
    <w:rsid w:val="00C94060"/>
    <w:rsid w:val="00C9416B"/>
    <w:rsid w:val="00C94200"/>
    <w:rsid w:val="00C94348"/>
    <w:rsid w:val="00C943ED"/>
    <w:rsid w:val="00C947B1"/>
    <w:rsid w:val="00C94844"/>
    <w:rsid w:val="00C9488E"/>
    <w:rsid w:val="00C94C80"/>
    <w:rsid w:val="00C94D69"/>
    <w:rsid w:val="00C94E37"/>
    <w:rsid w:val="00C951C9"/>
    <w:rsid w:val="00C951EA"/>
    <w:rsid w:val="00C953A6"/>
    <w:rsid w:val="00C953F3"/>
    <w:rsid w:val="00C95529"/>
    <w:rsid w:val="00C955B4"/>
    <w:rsid w:val="00C95602"/>
    <w:rsid w:val="00C95619"/>
    <w:rsid w:val="00C957A7"/>
    <w:rsid w:val="00C957BE"/>
    <w:rsid w:val="00C95887"/>
    <w:rsid w:val="00C959AF"/>
    <w:rsid w:val="00C959FD"/>
    <w:rsid w:val="00C95C35"/>
    <w:rsid w:val="00C95D08"/>
    <w:rsid w:val="00C95D3F"/>
    <w:rsid w:val="00C95DD5"/>
    <w:rsid w:val="00C96273"/>
    <w:rsid w:val="00C962B4"/>
    <w:rsid w:val="00C963BC"/>
    <w:rsid w:val="00C963C8"/>
    <w:rsid w:val="00C9670A"/>
    <w:rsid w:val="00C96717"/>
    <w:rsid w:val="00C96885"/>
    <w:rsid w:val="00C96983"/>
    <w:rsid w:val="00C96A51"/>
    <w:rsid w:val="00C96C0F"/>
    <w:rsid w:val="00C96C70"/>
    <w:rsid w:val="00C96F48"/>
    <w:rsid w:val="00C96FF1"/>
    <w:rsid w:val="00C9709D"/>
    <w:rsid w:val="00C972DC"/>
    <w:rsid w:val="00C97BD3"/>
    <w:rsid w:val="00C97BE5"/>
    <w:rsid w:val="00C97D45"/>
    <w:rsid w:val="00C97F6F"/>
    <w:rsid w:val="00CA056A"/>
    <w:rsid w:val="00CA071C"/>
    <w:rsid w:val="00CA07DD"/>
    <w:rsid w:val="00CA0B12"/>
    <w:rsid w:val="00CA0B14"/>
    <w:rsid w:val="00CA0C90"/>
    <w:rsid w:val="00CA0FFA"/>
    <w:rsid w:val="00CA1065"/>
    <w:rsid w:val="00CA16C1"/>
    <w:rsid w:val="00CA19EF"/>
    <w:rsid w:val="00CA1B2C"/>
    <w:rsid w:val="00CA1BF5"/>
    <w:rsid w:val="00CA1E7E"/>
    <w:rsid w:val="00CA1EC9"/>
    <w:rsid w:val="00CA1FAB"/>
    <w:rsid w:val="00CA21D3"/>
    <w:rsid w:val="00CA220C"/>
    <w:rsid w:val="00CA227A"/>
    <w:rsid w:val="00CA22C1"/>
    <w:rsid w:val="00CA22F8"/>
    <w:rsid w:val="00CA2330"/>
    <w:rsid w:val="00CA249B"/>
    <w:rsid w:val="00CA2556"/>
    <w:rsid w:val="00CA2A5B"/>
    <w:rsid w:val="00CA2AF1"/>
    <w:rsid w:val="00CA2B32"/>
    <w:rsid w:val="00CA2B75"/>
    <w:rsid w:val="00CA2E68"/>
    <w:rsid w:val="00CA30AF"/>
    <w:rsid w:val="00CA3201"/>
    <w:rsid w:val="00CA334B"/>
    <w:rsid w:val="00CA3730"/>
    <w:rsid w:val="00CA39DF"/>
    <w:rsid w:val="00CA3AC7"/>
    <w:rsid w:val="00CA3B83"/>
    <w:rsid w:val="00CA3B86"/>
    <w:rsid w:val="00CA3C96"/>
    <w:rsid w:val="00CA3CE0"/>
    <w:rsid w:val="00CA3ED1"/>
    <w:rsid w:val="00CA3F89"/>
    <w:rsid w:val="00CA40B1"/>
    <w:rsid w:val="00CA40DF"/>
    <w:rsid w:val="00CA40F5"/>
    <w:rsid w:val="00CA42BB"/>
    <w:rsid w:val="00CA433B"/>
    <w:rsid w:val="00CA46E7"/>
    <w:rsid w:val="00CA49F8"/>
    <w:rsid w:val="00CA4B34"/>
    <w:rsid w:val="00CA4BC3"/>
    <w:rsid w:val="00CA504F"/>
    <w:rsid w:val="00CA50D9"/>
    <w:rsid w:val="00CA5285"/>
    <w:rsid w:val="00CA5589"/>
    <w:rsid w:val="00CA558D"/>
    <w:rsid w:val="00CA5755"/>
    <w:rsid w:val="00CA5795"/>
    <w:rsid w:val="00CA5897"/>
    <w:rsid w:val="00CA591D"/>
    <w:rsid w:val="00CA5991"/>
    <w:rsid w:val="00CA5BB4"/>
    <w:rsid w:val="00CA5C48"/>
    <w:rsid w:val="00CA5E3C"/>
    <w:rsid w:val="00CA5F5A"/>
    <w:rsid w:val="00CA6089"/>
    <w:rsid w:val="00CA6161"/>
    <w:rsid w:val="00CA6328"/>
    <w:rsid w:val="00CA6644"/>
    <w:rsid w:val="00CA66DD"/>
    <w:rsid w:val="00CA6782"/>
    <w:rsid w:val="00CA679F"/>
    <w:rsid w:val="00CA683C"/>
    <w:rsid w:val="00CA68CA"/>
    <w:rsid w:val="00CA69A4"/>
    <w:rsid w:val="00CA6BDF"/>
    <w:rsid w:val="00CA6C29"/>
    <w:rsid w:val="00CA6D49"/>
    <w:rsid w:val="00CA6D5C"/>
    <w:rsid w:val="00CA6E33"/>
    <w:rsid w:val="00CA7106"/>
    <w:rsid w:val="00CA720D"/>
    <w:rsid w:val="00CA72ED"/>
    <w:rsid w:val="00CA74E0"/>
    <w:rsid w:val="00CA7542"/>
    <w:rsid w:val="00CA7613"/>
    <w:rsid w:val="00CA77D8"/>
    <w:rsid w:val="00CA7A62"/>
    <w:rsid w:val="00CA7B28"/>
    <w:rsid w:val="00CA7B39"/>
    <w:rsid w:val="00CA7CF5"/>
    <w:rsid w:val="00CA7DAB"/>
    <w:rsid w:val="00CB0038"/>
    <w:rsid w:val="00CB007D"/>
    <w:rsid w:val="00CB017B"/>
    <w:rsid w:val="00CB02AE"/>
    <w:rsid w:val="00CB06C9"/>
    <w:rsid w:val="00CB070C"/>
    <w:rsid w:val="00CB0828"/>
    <w:rsid w:val="00CB0855"/>
    <w:rsid w:val="00CB08AB"/>
    <w:rsid w:val="00CB0917"/>
    <w:rsid w:val="00CB0D8E"/>
    <w:rsid w:val="00CB0DE0"/>
    <w:rsid w:val="00CB0FC1"/>
    <w:rsid w:val="00CB1027"/>
    <w:rsid w:val="00CB1049"/>
    <w:rsid w:val="00CB10E6"/>
    <w:rsid w:val="00CB10FD"/>
    <w:rsid w:val="00CB1151"/>
    <w:rsid w:val="00CB1226"/>
    <w:rsid w:val="00CB12E7"/>
    <w:rsid w:val="00CB1847"/>
    <w:rsid w:val="00CB1854"/>
    <w:rsid w:val="00CB1880"/>
    <w:rsid w:val="00CB1986"/>
    <w:rsid w:val="00CB1C4F"/>
    <w:rsid w:val="00CB1D94"/>
    <w:rsid w:val="00CB1EBE"/>
    <w:rsid w:val="00CB1F2D"/>
    <w:rsid w:val="00CB20FE"/>
    <w:rsid w:val="00CB2200"/>
    <w:rsid w:val="00CB2301"/>
    <w:rsid w:val="00CB231D"/>
    <w:rsid w:val="00CB2343"/>
    <w:rsid w:val="00CB247C"/>
    <w:rsid w:val="00CB2561"/>
    <w:rsid w:val="00CB263A"/>
    <w:rsid w:val="00CB270F"/>
    <w:rsid w:val="00CB2D47"/>
    <w:rsid w:val="00CB2F04"/>
    <w:rsid w:val="00CB2F0A"/>
    <w:rsid w:val="00CB2F15"/>
    <w:rsid w:val="00CB304C"/>
    <w:rsid w:val="00CB3075"/>
    <w:rsid w:val="00CB3585"/>
    <w:rsid w:val="00CB3706"/>
    <w:rsid w:val="00CB384A"/>
    <w:rsid w:val="00CB3C53"/>
    <w:rsid w:val="00CB3D54"/>
    <w:rsid w:val="00CB3F87"/>
    <w:rsid w:val="00CB400E"/>
    <w:rsid w:val="00CB4079"/>
    <w:rsid w:val="00CB40AC"/>
    <w:rsid w:val="00CB40E3"/>
    <w:rsid w:val="00CB42AD"/>
    <w:rsid w:val="00CB4578"/>
    <w:rsid w:val="00CB460E"/>
    <w:rsid w:val="00CB4679"/>
    <w:rsid w:val="00CB4760"/>
    <w:rsid w:val="00CB4A5A"/>
    <w:rsid w:val="00CB4C28"/>
    <w:rsid w:val="00CB4D8F"/>
    <w:rsid w:val="00CB4FF4"/>
    <w:rsid w:val="00CB5133"/>
    <w:rsid w:val="00CB5178"/>
    <w:rsid w:val="00CB5283"/>
    <w:rsid w:val="00CB553E"/>
    <w:rsid w:val="00CB56F5"/>
    <w:rsid w:val="00CB570E"/>
    <w:rsid w:val="00CB5750"/>
    <w:rsid w:val="00CB5945"/>
    <w:rsid w:val="00CB595E"/>
    <w:rsid w:val="00CB5AB9"/>
    <w:rsid w:val="00CB5BDD"/>
    <w:rsid w:val="00CB5C44"/>
    <w:rsid w:val="00CB5E77"/>
    <w:rsid w:val="00CB5E80"/>
    <w:rsid w:val="00CB5F13"/>
    <w:rsid w:val="00CB62D9"/>
    <w:rsid w:val="00CB62DC"/>
    <w:rsid w:val="00CB62FD"/>
    <w:rsid w:val="00CB6650"/>
    <w:rsid w:val="00CB6816"/>
    <w:rsid w:val="00CB6870"/>
    <w:rsid w:val="00CB6B80"/>
    <w:rsid w:val="00CB6C3A"/>
    <w:rsid w:val="00CB6C4E"/>
    <w:rsid w:val="00CB6C9D"/>
    <w:rsid w:val="00CB6E35"/>
    <w:rsid w:val="00CB704B"/>
    <w:rsid w:val="00CB70BE"/>
    <w:rsid w:val="00CB713A"/>
    <w:rsid w:val="00CB73EA"/>
    <w:rsid w:val="00CB7423"/>
    <w:rsid w:val="00CB75D6"/>
    <w:rsid w:val="00CB780B"/>
    <w:rsid w:val="00CB793A"/>
    <w:rsid w:val="00CB794B"/>
    <w:rsid w:val="00CB7A65"/>
    <w:rsid w:val="00CB7D5C"/>
    <w:rsid w:val="00CB7E22"/>
    <w:rsid w:val="00CC0170"/>
    <w:rsid w:val="00CC02F2"/>
    <w:rsid w:val="00CC0472"/>
    <w:rsid w:val="00CC084E"/>
    <w:rsid w:val="00CC0972"/>
    <w:rsid w:val="00CC099F"/>
    <w:rsid w:val="00CC0B70"/>
    <w:rsid w:val="00CC0D21"/>
    <w:rsid w:val="00CC0DD2"/>
    <w:rsid w:val="00CC0E7C"/>
    <w:rsid w:val="00CC0ED2"/>
    <w:rsid w:val="00CC0FD0"/>
    <w:rsid w:val="00CC10D4"/>
    <w:rsid w:val="00CC121C"/>
    <w:rsid w:val="00CC12D0"/>
    <w:rsid w:val="00CC140C"/>
    <w:rsid w:val="00CC14A5"/>
    <w:rsid w:val="00CC159A"/>
    <w:rsid w:val="00CC165C"/>
    <w:rsid w:val="00CC1B26"/>
    <w:rsid w:val="00CC1B8D"/>
    <w:rsid w:val="00CC1DCC"/>
    <w:rsid w:val="00CC1F80"/>
    <w:rsid w:val="00CC2021"/>
    <w:rsid w:val="00CC20E0"/>
    <w:rsid w:val="00CC2156"/>
    <w:rsid w:val="00CC2646"/>
    <w:rsid w:val="00CC26BF"/>
    <w:rsid w:val="00CC26D4"/>
    <w:rsid w:val="00CC282D"/>
    <w:rsid w:val="00CC2B92"/>
    <w:rsid w:val="00CC2BEA"/>
    <w:rsid w:val="00CC2C10"/>
    <w:rsid w:val="00CC2C53"/>
    <w:rsid w:val="00CC2D8A"/>
    <w:rsid w:val="00CC2E24"/>
    <w:rsid w:val="00CC2F4B"/>
    <w:rsid w:val="00CC3409"/>
    <w:rsid w:val="00CC3778"/>
    <w:rsid w:val="00CC39EA"/>
    <w:rsid w:val="00CC3A36"/>
    <w:rsid w:val="00CC3B5A"/>
    <w:rsid w:val="00CC3B8C"/>
    <w:rsid w:val="00CC3BBD"/>
    <w:rsid w:val="00CC405F"/>
    <w:rsid w:val="00CC41AE"/>
    <w:rsid w:val="00CC4574"/>
    <w:rsid w:val="00CC4726"/>
    <w:rsid w:val="00CC4755"/>
    <w:rsid w:val="00CC49B6"/>
    <w:rsid w:val="00CC4B55"/>
    <w:rsid w:val="00CC4B9E"/>
    <w:rsid w:val="00CC4BCF"/>
    <w:rsid w:val="00CC4F07"/>
    <w:rsid w:val="00CC52F4"/>
    <w:rsid w:val="00CC5316"/>
    <w:rsid w:val="00CC545D"/>
    <w:rsid w:val="00CC54B2"/>
    <w:rsid w:val="00CC54C2"/>
    <w:rsid w:val="00CC5525"/>
    <w:rsid w:val="00CC5633"/>
    <w:rsid w:val="00CC5638"/>
    <w:rsid w:val="00CC5671"/>
    <w:rsid w:val="00CC57C6"/>
    <w:rsid w:val="00CC59B5"/>
    <w:rsid w:val="00CC5A2F"/>
    <w:rsid w:val="00CC5C79"/>
    <w:rsid w:val="00CC5EB6"/>
    <w:rsid w:val="00CC5F10"/>
    <w:rsid w:val="00CC6054"/>
    <w:rsid w:val="00CC6142"/>
    <w:rsid w:val="00CC6734"/>
    <w:rsid w:val="00CC6A21"/>
    <w:rsid w:val="00CC6A6C"/>
    <w:rsid w:val="00CC6A9F"/>
    <w:rsid w:val="00CC6AF8"/>
    <w:rsid w:val="00CC6D06"/>
    <w:rsid w:val="00CC6E08"/>
    <w:rsid w:val="00CC6E5D"/>
    <w:rsid w:val="00CC6F2F"/>
    <w:rsid w:val="00CC6FCA"/>
    <w:rsid w:val="00CC70A2"/>
    <w:rsid w:val="00CC734A"/>
    <w:rsid w:val="00CC7444"/>
    <w:rsid w:val="00CC7578"/>
    <w:rsid w:val="00CC772B"/>
    <w:rsid w:val="00CC7736"/>
    <w:rsid w:val="00CC7770"/>
    <w:rsid w:val="00CC77C3"/>
    <w:rsid w:val="00CC78C2"/>
    <w:rsid w:val="00CC79B1"/>
    <w:rsid w:val="00CC7ACA"/>
    <w:rsid w:val="00CC7CC6"/>
    <w:rsid w:val="00CC7EE3"/>
    <w:rsid w:val="00CC7FCE"/>
    <w:rsid w:val="00CD00CF"/>
    <w:rsid w:val="00CD00E7"/>
    <w:rsid w:val="00CD01C8"/>
    <w:rsid w:val="00CD02E2"/>
    <w:rsid w:val="00CD05ED"/>
    <w:rsid w:val="00CD06DD"/>
    <w:rsid w:val="00CD083E"/>
    <w:rsid w:val="00CD092C"/>
    <w:rsid w:val="00CD0A1A"/>
    <w:rsid w:val="00CD0D80"/>
    <w:rsid w:val="00CD0DE4"/>
    <w:rsid w:val="00CD10C0"/>
    <w:rsid w:val="00CD10FC"/>
    <w:rsid w:val="00CD144A"/>
    <w:rsid w:val="00CD1602"/>
    <w:rsid w:val="00CD18BA"/>
    <w:rsid w:val="00CD1992"/>
    <w:rsid w:val="00CD1CE5"/>
    <w:rsid w:val="00CD1F52"/>
    <w:rsid w:val="00CD1FE1"/>
    <w:rsid w:val="00CD1FF4"/>
    <w:rsid w:val="00CD2152"/>
    <w:rsid w:val="00CD22B8"/>
    <w:rsid w:val="00CD2459"/>
    <w:rsid w:val="00CD26A9"/>
    <w:rsid w:val="00CD26FA"/>
    <w:rsid w:val="00CD27E5"/>
    <w:rsid w:val="00CD295B"/>
    <w:rsid w:val="00CD29D0"/>
    <w:rsid w:val="00CD2AC5"/>
    <w:rsid w:val="00CD2B62"/>
    <w:rsid w:val="00CD2BF8"/>
    <w:rsid w:val="00CD2CE0"/>
    <w:rsid w:val="00CD2DE2"/>
    <w:rsid w:val="00CD306C"/>
    <w:rsid w:val="00CD30C8"/>
    <w:rsid w:val="00CD30F2"/>
    <w:rsid w:val="00CD3146"/>
    <w:rsid w:val="00CD3165"/>
    <w:rsid w:val="00CD3276"/>
    <w:rsid w:val="00CD32B1"/>
    <w:rsid w:val="00CD32E1"/>
    <w:rsid w:val="00CD3329"/>
    <w:rsid w:val="00CD35C0"/>
    <w:rsid w:val="00CD36EF"/>
    <w:rsid w:val="00CD37BB"/>
    <w:rsid w:val="00CD3943"/>
    <w:rsid w:val="00CD3A9D"/>
    <w:rsid w:val="00CD3AD1"/>
    <w:rsid w:val="00CD3AF6"/>
    <w:rsid w:val="00CD3B9C"/>
    <w:rsid w:val="00CD3D9A"/>
    <w:rsid w:val="00CD3E79"/>
    <w:rsid w:val="00CD3E94"/>
    <w:rsid w:val="00CD3F83"/>
    <w:rsid w:val="00CD446D"/>
    <w:rsid w:val="00CD4749"/>
    <w:rsid w:val="00CD4960"/>
    <w:rsid w:val="00CD4A18"/>
    <w:rsid w:val="00CD4A80"/>
    <w:rsid w:val="00CD4BCA"/>
    <w:rsid w:val="00CD4BEE"/>
    <w:rsid w:val="00CD4D2F"/>
    <w:rsid w:val="00CD538F"/>
    <w:rsid w:val="00CD548B"/>
    <w:rsid w:val="00CD55C0"/>
    <w:rsid w:val="00CD5627"/>
    <w:rsid w:val="00CD57B2"/>
    <w:rsid w:val="00CD5863"/>
    <w:rsid w:val="00CD58C9"/>
    <w:rsid w:val="00CD5BA0"/>
    <w:rsid w:val="00CD5BF1"/>
    <w:rsid w:val="00CD5C8F"/>
    <w:rsid w:val="00CD5DDD"/>
    <w:rsid w:val="00CD5F6F"/>
    <w:rsid w:val="00CD61C2"/>
    <w:rsid w:val="00CD6258"/>
    <w:rsid w:val="00CD62AB"/>
    <w:rsid w:val="00CD62F2"/>
    <w:rsid w:val="00CD63D7"/>
    <w:rsid w:val="00CD6538"/>
    <w:rsid w:val="00CD6539"/>
    <w:rsid w:val="00CD65DC"/>
    <w:rsid w:val="00CD6607"/>
    <w:rsid w:val="00CD69BB"/>
    <w:rsid w:val="00CD6A30"/>
    <w:rsid w:val="00CD6D09"/>
    <w:rsid w:val="00CD6DD9"/>
    <w:rsid w:val="00CD6F23"/>
    <w:rsid w:val="00CD6F95"/>
    <w:rsid w:val="00CD7000"/>
    <w:rsid w:val="00CD7099"/>
    <w:rsid w:val="00CD70B1"/>
    <w:rsid w:val="00CD70E7"/>
    <w:rsid w:val="00CD7266"/>
    <w:rsid w:val="00CD76AD"/>
    <w:rsid w:val="00CD76BE"/>
    <w:rsid w:val="00CD774C"/>
    <w:rsid w:val="00CD7781"/>
    <w:rsid w:val="00CD7801"/>
    <w:rsid w:val="00CD7954"/>
    <w:rsid w:val="00CD7C8F"/>
    <w:rsid w:val="00CD7CF6"/>
    <w:rsid w:val="00CD7D01"/>
    <w:rsid w:val="00CD7E51"/>
    <w:rsid w:val="00CD7ED1"/>
    <w:rsid w:val="00CD7F1F"/>
    <w:rsid w:val="00CE0381"/>
    <w:rsid w:val="00CE0483"/>
    <w:rsid w:val="00CE0671"/>
    <w:rsid w:val="00CE068F"/>
    <w:rsid w:val="00CE0747"/>
    <w:rsid w:val="00CE0882"/>
    <w:rsid w:val="00CE09BA"/>
    <w:rsid w:val="00CE09E0"/>
    <w:rsid w:val="00CE0ACD"/>
    <w:rsid w:val="00CE0AF8"/>
    <w:rsid w:val="00CE0B30"/>
    <w:rsid w:val="00CE0B4E"/>
    <w:rsid w:val="00CE0B8E"/>
    <w:rsid w:val="00CE0C94"/>
    <w:rsid w:val="00CE0D13"/>
    <w:rsid w:val="00CE0FE7"/>
    <w:rsid w:val="00CE1173"/>
    <w:rsid w:val="00CE1344"/>
    <w:rsid w:val="00CE150D"/>
    <w:rsid w:val="00CE156E"/>
    <w:rsid w:val="00CE17E2"/>
    <w:rsid w:val="00CE19CD"/>
    <w:rsid w:val="00CE1B4A"/>
    <w:rsid w:val="00CE1B85"/>
    <w:rsid w:val="00CE1BBD"/>
    <w:rsid w:val="00CE1BE6"/>
    <w:rsid w:val="00CE1C31"/>
    <w:rsid w:val="00CE1E5C"/>
    <w:rsid w:val="00CE1EA8"/>
    <w:rsid w:val="00CE1ED6"/>
    <w:rsid w:val="00CE1F21"/>
    <w:rsid w:val="00CE205A"/>
    <w:rsid w:val="00CE20F4"/>
    <w:rsid w:val="00CE2157"/>
    <w:rsid w:val="00CE21AC"/>
    <w:rsid w:val="00CE24BA"/>
    <w:rsid w:val="00CE2575"/>
    <w:rsid w:val="00CE2615"/>
    <w:rsid w:val="00CE2BB8"/>
    <w:rsid w:val="00CE2D02"/>
    <w:rsid w:val="00CE2E06"/>
    <w:rsid w:val="00CE2E7F"/>
    <w:rsid w:val="00CE2F1E"/>
    <w:rsid w:val="00CE306C"/>
    <w:rsid w:val="00CE354F"/>
    <w:rsid w:val="00CE39A6"/>
    <w:rsid w:val="00CE39F8"/>
    <w:rsid w:val="00CE3AAC"/>
    <w:rsid w:val="00CE3B9D"/>
    <w:rsid w:val="00CE3DFD"/>
    <w:rsid w:val="00CE3EFE"/>
    <w:rsid w:val="00CE3FBD"/>
    <w:rsid w:val="00CE416C"/>
    <w:rsid w:val="00CE4345"/>
    <w:rsid w:val="00CE4357"/>
    <w:rsid w:val="00CE43A6"/>
    <w:rsid w:val="00CE4408"/>
    <w:rsid w:val="00CE44CC"/>
    <w:rsid w:val="00CE485D"/>
    <w:rsid w:val="00CE48D6"/>
    <w:rsid w:val="00CE4A3C"/>
    <w:rsid w:val="00CE4B5D"/>
    <w:rsid w:val="00CE4C6C"/>
    <w:rsid w:val="00CE4D69"/>
    <w:rsid w:val="00CE4DC6"/>
    <w:rsid w:val="00CE4F89"/>
    <w:rsid w:val="00CE50AA"/>
    <w:rsid w:val="00CE5264"/>
    <w:rsid w:val="00CE52C1"/>
    <w:rsid w:val="00CE5868"/>
    <w:rsid w:val="00CE59CD"/>
    <w:rsid w:val="00CE5AE2"/>
    <w:rsid w:val="00CE5B10"/>
    <w:rsid w:val="00CE5B39"/>
    <w:rsid w:val="00CE5B9D"/>
    <w:rsid w:val="00CE5DF3"/>
    <w:rsid w:val="00CE5F7D"/>
    <w:rsid w:val="00CE5FC0"/>
    <w:rsid w:val="00CE5FD9"/>
    <w:rsid w:val="00CE5FE9"/>
    <w:rsid w:val="00CE621E"/>
    <w:rsid w:val="00CE63A7"/>
    <w:rsid w:val="00CE641F"/>
    <w:rsid w:val="00CE6548"/>
    <w:rsid w:val="00CE6655"/>
    <w:rsid w:val="00CE6716"/>
    <w:rsid w:val="00CE681B"/>
    <w:rsid w:val="00CE6912"/>
    <w:rsid w:val="00CE69E7"/>
    <w:rsid w:val="00CE6A23"/>
    <w:rsid w:val="00CE6A2F"/>
    <w:rsid w:val="00CE6AE2"/>
    <w:rsid w:val="00CE6D57"/>
    <w:rsid w:val="00CE6FAA"/>
    <w:rsid w:val="00CE7114"/>
    <w:rsid w:val="00CE723E"/>
    <w:rsid w:val="00CE7381"/>
    <w:rsid w:val="00CE73D9"/>
    <w:rsid w:val="00CE7606"/>
    <w:rsid w:val="00CE76E8"/>
    <w:rsid w:val="00CE7751"/>
    <w:rsid w:val="00CE7A27"/>
    <w:rsid w:val="00CE7D95"/>
    <w:rsid w:val="00CE7E3C"/>
    <w:rsid w:val="00CE7F45"/>
    <w:rsid w:val="00CF0023"/>
    <w:rsid w:val="00CF006C"/>
    <w:rsid w:val="00CF01D5"/>
    <w:rsid w:val="00CF032F"/>
    <w:rsid w:val="00CF0354"/>
    <w:rsid w:val="00CF0710"/>
    <w:rsid w:val="00CF0A2B"/>
    <w:rsid w:val="00CF0BD9"/>
    <w:rsid w:val="00CF0C08"/>
    <w:rsid w:val="00CF0C71"/>
    <w:rsid w:val="00CF0D4F"/>
    <w:rsid w:val="00CF0DD6"/>
    <w:rsid w:val="00CF100F"/>
    <w:rsid w:val="00CF14AC"/>
    <w:rsid w:val="00CF1621"/>
    <w:rsid w:val="00CF1833"/>
    <w:rsid w:val="00CF1842"/>
    <w:rsid w:val="00CF191D"/>
    <w:rsid w:val="00CF192B"/>
    <w:rsid w:val="00CF19DE"/>
    <w:rsid w:val="00CF1D69"/>
    <w:rsid w:val="00CF1D9D"/>
    <w:rsid w:val="00CF1DC6"/>
    <w:rsid w:val="00CF1E04"/>
    <w:rsid w:val="00CF1EFB"/>
    <w:rsid w:val="00CF201F"/>
    <w:rsid w:val="00CF20D9"/>
    <w:rsid w:val="00CF21C3"/>
    <w:rsid w:val="00CF2499"/>
    <w:rsid w:val="00CF2CA5"/>
    <w:rsid w:val="00CF3007"/>
    <w:rsid w:val="00CF3020"/>
    <w:rsid w:val="00CF30D9"/>
    <w:rsid w:val="00CF3156"/>
    <w:rsid w:val="00CF31EE"/>
    <w:rsid w:val="00CF322E"/>
    <w:rsid w:val="00CF339B"/>
    <w:rsid w:val="00CF346F"/>
    <w:rsid w:val="00CF3479"/>
    <w:rsid w:val="00CF34F8"/>
    <w:rsid w:val="00CF3837"/>
    <w:rsid w:val="00CF383F"/>
    <w:rsid w:val="00CF3B42"/>
    <w:rsid w:val="00CF3D63"/>
    <w:rsid w:val="00CF3E14"/>
    <w:rsid w:val="00CF4175"/>
    <w:rsid w:val="00CF41FC"/>
    <w:rsid w:val="00CF43C0"/>
    <w:rsid w:val="00CF44DC"/>
    <w:rsid w:val="00CF4645"/>
    <w:rsid w:val="00CF46AA"/>
    <w:rsid w:val="00CF46DB"/>
    <w:rsid w:val="00CF4816"/>
    <w:rsid w:val="00CF481C"/>
    <w:rsid w:val="00CF4AEC"/>
    <w:rsid w:val="00CF4D45"/>
    <w:rsid w:val="00CF4EFF"/>
    <w:rsid w:val="00CF4F09"/>
    <w:rsid w:val="00CF4F13"/>
    <w:rsid w:val="00CF4F4C"/>
    <w:rsid w:val="00CF4FDF"/>
    <w:rsid w:val="00CF506F"/>
    <w:rsid w:val="00CF5101"/>
    <w:rsid w:val="00CF527F"/>
    <w:rsid w:val="00CF529D"/>
    <w:rsid w:val="00CF52B5"/>
    <w:rsid w:val="00CF5373"/>
    <w:rsid w:val="00CF5378"/>
    <w:rsid w:val="00CF5391"/>
    <w:rsid w:val="00CF547F"/>
    <w:rsid w:val="00CF583E"/>
    <w:rsid w:val="00CF58F2"/>
    <w:rsid w:val="00CF58FE"/>
    <w:rsid w:val="00CF5C02"/>
    <w:rsid w:val="00CF5E66"/>
    <w:rsid w:val="00CF5F17"/>
    <w:rsid w:val="00CF6022"/>
    <w:rsid w:val="00CF6033"/>
    <w:rsid w:val="00CF611B"/>
    <w:rsid w:val="00CF6163"/>
    <w:rsid w:val="00CF62A8"/>
    <w:rsid w:val="00CF62B7"/>
    <w:rsid w:val="00CF6777"/>
    <w:rsid w:val="00CF6997"/>
    <w:rsid w:val="00CF6A42"/>
    <w:rsid w:val="00CF6A86"/>
    <w:rsid w:val="00CF6AD4"/>
    <w:rsid w:val="00CF6C2F"/>
    <w:rsid w:val="00CF6EFA"/>
    <w:rsid w:val="00CF6F41"/>
    <w:rsid w:val="00CF70CE"/>
    <w:rsid w:val="00CF724E"/>
    <w:rsid w:val="00CF72B7"/>
    <w:rsid w:val="00CF740F"/>
    <w:rsid w:val="00CF7563"/>
    <w:rsid w:val="00CF7633"/>
    <w:rsid w:val="00CF768D"/>
    <w:rsid w:val="00CF76A3"/>
    <w:rsid w:val="00CF7807"/>
    <w:rsid w:val="00CF7948"/>
    <w:rsid w:val="00CF7A63"/>
    <w:rsid w:val="00CF7DBF"/>
    <w:rsid w:val="00D002DE"/>
    <w:rsid w:val="00D002EC"/>
    <w:rsid w:val="00D00300"/>
    <w:rsid w:val="00D00306"/>
    <w:rsid w:val="00D00346"/>
    <w:rsid w:val="00D0058B"/>
    <w:rsid w:val="00D00730"/>
    <w:rsid w:val="00D0077A"/>
    <w:rsid w:val="00D00795"/>
    <w:rsid w:val="00D0087B"/>
    <w:rsid w:val="00D009B9"/>
    <w:rsid w:val="00D00A10"/>
    <w:rsid w:val="00D00AD0"/>
    <w:rsid w:val="00D00B6D"/>
    <w:rsid w:val="00D00E1F"/>
    <w:rsid w:val="00D0114E"/>
    <w:rsid w:val="00D01399"/>
    <w:rsid w:val="00D01504"/>
    <w:rsid w:val="00D01740"/>
    <w:rsid w:val="00D01946"/>
    <w:rsid w:val="00D01A03"/>
    <w:rsid w:val="00D01A4E"/>
    <w:rsid w:val="00D01B63"/>
    <w:rsid w:val="00D01C33"/>
    <w:rsid w:val="00D01D1D"/>
    <w:rsid w:val="00D01DC2"/>
    <w:rsid w:val="00D01DCF"/>
    <w:rsid w:val="00D01E09"/>
    <w:rsid w:val="00D01FEC"/>
    <w:rsid w:val="00D0206E"/>
    <w:rsid w:val="00D0212C"/>
    <w:rsid w:val="00D02283"/>
    <w:rsid w:val="00D02298"/>
    <w:rsid w:val="00D0253B"/>
    <w:rsid w:val="00D02614"/>
    <w:rsid w:val="00D02869"/>
    <w:rsid w:val="00D02957"/>
    <w:rsid w:val="00D02B56"/>
    <w:rsid w:val="00D02BE4"/>
    <w:rsid w:val="00D02C63"/>
    <w:rsid w:val="00D02CC0"/>
    <w:rsid w:val="00D02CCF"/>
    <w:rsid w:val="00D02CF6"/>
    <w:rsid w:val="00D02D95"/>
    <w:rsid w:val="00D02DCD"/>
    <w:rsid w:val="00D02E1D"/>
    <w:rsid w:val="00D02E5B"/>
    <w:rsid w:val="00D02E8A"/>
    <w:rsid w:val="00D0300F"/>
    <w:rsid w:val="00D03058"/>
    <w:rsid w:val="00D030DA"/>
    <w:rsid w:val="00D033F3"/>
    <w:rsid w:val="00D03512"/>
    <w:rsid w:val="00D037A5"/>
    <w:rsid w:val="00D037B0"/>
    <w:rsid w:val="00D03854"/>
    <w:rsid w:val="00D03CE4"/>
    <w:rsid w:val="00D03D1F"/>
    <w:rsid w:val="00D03D2C"/>
    <w:rsid w:val="00D03D9D"/>
    <w:rsid w:val="00D03FC6"/>
    <w:rsid w:val="00D04112"/>
    <w:rsid w:val="00D04113"/>
    <w:rsid w:val="00D04305"/>
    <w:rsid w:val="00D044B6"/>
    <w:rsid w:val="00D04818"/>
    <w:rsid w:val="00D0492D"/>
    <w:rsid w:val="00D0493E"/>
    <w:rsid w:val="00D049BD"/>
    <w:rsid w:val="00D04ADB"/>
    <w:rsid w:val="00D04B52"/>
    <w:rsid w:val="00D04BB1"/>
    <w:rsid w:val="00D04BDE"/>
    <w:rsid w:val="00D0507C"/>
    <w:rsid w:val="00D05108"/>
    <w:rsid w:val="00D05169"/>
    <w:rsid w:val="00D05290"/>
    <w:rsid w:val="00D053F2"/>
    <w:rsid w:val="00D05524"/>
    <w:rsid w:val="00D05548"/>
    <w:rsid w:val="00D0563D"/>
    <w:rsid w:val="00D05972"/>
    <w:rsid w:val="00D05B55"/>
    <w:rsid w:val="00D05BB6"/>
    <w:rsid w:val="00D05C43"/>
    <w:rsid w:val="00D05DA0"/>
    <w:rsid w:val="00D05E9F"/>
    <w:rsid w:val="00D05F9D"/>
    <w:rsid w:val="00D060B3"/>
    <w:rsid w:val="00D061FF"/>
    <w:rsid w:val="00D062C9"/>
    <w:rsid w:val="00D062E4"/>
    <w:rsid w:val="00D064F8"/>
    <w:rsid w:val="00D06648"/>
    <w:rsid w:val="00D066E0"/>
    <w:rsid w:val="00D06726"/>
    <w:rsid w:val="00D06788"/>
    <w:rsid w:val="00D06A19"/>
    <w:rsid w:val="00D06A4D"/>
    <w:rsid w:val="00D06AAE"/>
    <w:rsid w:val="00D06C26"/>
    <w:rsid w:val="00D0703A"/>
    <w:rsid w:val="00D0711D"/>
    <w:rsid w:val="00D072C0"/>
    <w:rsid w:val="00D074DC"/>
    <w:rsid w:val="00D0760F"/>
    <w:rsid w:val="00D07633"/>
    <w:rsid w:val="00D07687"/>
    <w:rsid w:val="00D077FB"/>
    <w:rsid w:val="00D079A5"/>
    <w:rsid w:val="00D07B3D"/>
    <w:rsid w:val="00D07B73"/>
    <w:rsid w:val="00D07E47"/>
    <w:rsid w:val="00D07E71"/>
    <w:rsid w:val="00D10252"/>
    <w:rsid w:val="00D10A70"/>
    <w:rsid w:val="00D10A9F"/>
    <w:rsid w:val="00D10B6A"/>
    <w:rsid w:val="00D10CCF"/>
    <w:rsid w:val="00D10CD3"/>
    <w:rsid w:val="00D10ED1"/>
    <w:rsid w:val="00D1123E"/>
    <w:rsid w:val="00D11429"/>
    <w:rsid w:val="00D11532"/>
    <w:rsid w:val="00D1157D"/>
    <w:rsid w:val="00D1169F"/>
    <w:rsid w:val="00D1185D"/>
    <w:rsid w:val="00D11A6A"/>
    <w:rsid w:val="00D11D3F"/>
    <w:rsid w:val="00D11E44"/>
    <w:rsid w:val="00D11EB7"/>
    <w:rsid w:val="00D11ED7"/>
    <w:rsid w:val="00D1209C"/>
    <w:rsid w:val="00D1224F"/>
    <w:rsid w:val="00D12257"/>
    <w:rsid w:val="00D12279"/>
    <w:rsid w:val="00D12304"/>
    <w:rsid w:val="00D12395"/>
    <w:rsid w:val="00D12655"/>
    <w:rsid w:val="00D12772"/>
    <w:rsid w:val="00D12955"/>
    <w:rsid w:val="00D12CA3"/>
    <w:rsid w:val="00D12FE2"/>
    <w:rsid w:val="00D13072"/>
    <w:rsid w:val="00D13148"/>
    <w:rsid w:val="00D131CB"/>
    <w:rsid w:val="00D1345A"/>
    <w:rsid w:val="00D13468"/>
    <w:rsid w:val="00D13553"/>
    <w:rsid w:val="00D135A4"/>
    <w:rsid w:val="00D135AC"/>
    <w:rsid w:val="00D135EC"/>
    <w:rsid w:val="00D137CE"/>
    <w:rsid w:val="00D13804"/>
    <w:rsid w:val="00D13867"/>
    <w:rsid w:val="00D1386D"/>
    <w:rsid w:val="00D13885"/>
    <w:rsid w:val="00D13A12"/>
    <w:rsid w:val="00D13AD0"/>
    <w:rsid w:val="00D13B54"/>
    <w:rsid w:val="00D13BC5"/>
    <w:rsid w:val="00D13CBA"/>
    <w:rsid w:val="00D14044"/>
    <w:rsid w:val="00D140D8"/>
    <w:rsid w:val="00D14227"/>
    <w:rsid w:val="00D142BA"/>
    <w:rsid w:val="00D14310"/>
    <w:rsid w:val="00D14986"/>
    <w:rsid w:val="00D14B66"/>
    <w:rsid w:val="00D14BA8"/>
    <w:rsid w:val="00D14C42"/>
    <w:rsid w:val="00D14D7F"/>
    <w:rsid w:val="00D14EBC"/>
    <w:rsid w:val="00D1518A"/>
    <w:rsid w:val="00D154A2"/>
    <w:rsid w:val="00D155F3"/>
    <w:rsid w:val="00D15798"/>
    <w:rsid w:val="00D1584C"/>
    <w:rsid w:val="00D1595A"/>
    <w:rsid w:val="00D15A9D"/>
    <w:rsid w:val="00D15AB5"/>
    <w:rsid w:val="00D15C27"/>
    <w:rsid w:val="00D15DA7"/>
    <w:rsid w:val="00D15E06"/>
    <w:rsid w:val="00D15F13"/>
    <w:rsid w:val="00D15F86"/>
    <w:rsid w:val="00D15FFC"/>
    <w:rsid w:val="00D1605C"/>
    <w:rsid w:val="00D161BC"/>
    <w:rsid w:val="00D16257"/>
    <w:rsid w:val="00D1631B"/>
    <w:rsid w:val="00D1648D"/>
    <w:rsid w:val="00D164B9"/>
    <w:rsid w:val="00D164CF"/>
    <w:rsid w:val="00D1676D"/>
    <w:rsid w:val="00D1688F"/>
    <w:rsid w:val="00D16951"/>
    <w:rsid w:val="00D169AF"/>
    <w:rsid w:val="00D16AFC"/>
    <w:rsid w:val="00D16B95"/>
    <w:rsid w:val="00D16C04"/>
    <w:rsid w:val="00D16C07"/>
    <w:rsid w:val="00D16FA5"/>
    <w:rsid w:val="00D17104"/>
    <w:rsid w:val="00D17138"/>
    <w:rsid w:val="00D17349"/>
    <w:rsid w:val="00D175FF"/>
    <w:rsid w:val="00D17783"/>
    <w:rsid w:val="00D177AB"/>
    <w:rsid w:val="00D17818"/>
    <w:rsid w:val="00D178B9"/>
    <w:rsid w:val="00D17AD5"/>
    <w:rsid w:val="00D17CEB"/>
    <w:rsid w:val="00D17D1F"/>
    <w:rsid w:val="00D2005D"/>
    <w:rsid w:val="00D20153"/>
    <w:rsid w:val="00D2058E"/>
    <w:rsid w:val="00D20671"/>
    <w:rsid w:val="00D20C17"/>
    <w:rsid w:val="00D20C2E"/>
    <w:rsid w:val="00D20CB3"/>
    <w:rsid w:val="00D20DD3"/>
    <w:rsid w:val="00D211E7"/>
    <w:rsid w:val="00D21278"/>
    <w:rsid w:val="00D21335"/>
    <w:rsid w:val="00D213ED"/>
    <w:rsid w:val="00D214FC"/>
    <w:rsid w:val="00D21508"/>
    <w:rsid w:val="00D21596"/>
    <w:rsid w:val="00D215DE"/>
    <w:rsid w:val="00D2162B"/>
    <w:rsid w:val="00D21666"/>
    <w:rsid w:val="00D216AB"/>
    <w:rsid w:val="00D217DA"/>
    <w:rsid w:val="00D217ED"/>
    <w:rsid w:val="00D21969"/>
    <w:rsid w:val="00D21A75"/>
    <w:rsid w:val="00D21CC1"/>
    <w:rsid w:val="00D21CD4"/>
    <w:rsid w:val="00D21CEB"/>
    <w:rsid w:val="00D21E26"/>
    <w:rsid w:val="00D22013"/>
    <w:rsid w:val="00D22071"/>
    <w:rsid w:val="00D2215C"/>
    <w:rsid w:val="00D2222A"/>
    <w:rsid w:val="00D2239C"/>
    <w:rsid w:val="00D22725"/>
    <w:rsid w:val="00D227DC"/>
    <w:rsid w:val="00D22986"/>
    <w:rsid w:val="00D229F3"/>
    <w:rsid w:val="00D22A33"/>
    <w:rsid w:val="00D22B62"/>
    <w:rsid w:val="00D22BD3"/>
    <w:rsid w:val="00D22C65"/>
    <w:rsid w:val="00D22D18"/>
    <w:rsid w:val="00D22D70"/>
    <w:rsid w:val="00D22E4F"/>
    <w:rsid w:val="00D22EF0"/>
    <w:rsid w:val="00D23014"/>
    <w:rsid w:val="00D2321D"/>
    <w:rsid w:val="00D2329D"/>
    <w:rsid w:val="00D23569"/>
    <w:rsid w:val="00D23761"/>
    <w:rsid w:val="00D23787"/>
    <w:rsid w:val="00D237A9"/>
    <w:rsid w:val="00D237DD"/>
    <w:rsid w:val="00D23834"/>
    <w:rsid w:val="00D23957"/>
    <w:rsid w:val="00D23B2E"/>
    <w:rsid w:val="00D23B45"/>
    <w:rsid w:val="00D23BCB"/>
    <w:rsid w:val="00D23C4B"/>
    <w:rsid w:val="00D23F1D"/>
    <w:rsid w:val="00D23FC9"/>
    <w:rsid w:val="00D23FD3"/>
    <w:rsid w:val="00D2427A"/>
    <w:rsid w:val="00D243B0"/>
    <w:rsid w:val="00D243C1"/>
    <w:rsid w:val="00D243CD"/>
    <w:rsid w:val="00D24423"/>
    <w:rsid w:val="00D2450D"/>
    <w:rsid w:val="00D245E8"/>
    <w:rsid w:val="00D24848"/>
    <w:rsid w:val="00D24E22"/>
    <w:rsid w:val="00D24F9E"/>
    <w:rsid w:val="00D25028"/>
    <w:rsid w:val="00D25497"/>
    <w:rsid w:val="00D255A5"/>
    <w:rsid w:val="00D256A3"/>
    <w:rsid w:val="00D256B7"/>
    <w:rsid w:val="00D256BA"/>
    <w:rsid w:val="00D256CB"/>
    <w:rsid w:val="00D2576E"/>
    <w:rsid w:val="00D2579E"/>
    <w:rsid w:val="00D25B60"/>
    <w:rsid w:val="00D25E2C"/>
    <w:rsid w:val="00D25EF3"/>
    <w:rsid w:val="00D25F0F"/>
    <w:rsid w:val="00D25F1D"/>
    <w:rsid w:val="00D26166"/>
    <w:rsid w:val="00D2641C"/>
    <w:rsid w:val="00D2650D"/>
    <w:rsid w:val="00D26889"/>
    <w:rsid w:val="00D26BB7"/>
    <w:rsid w:val="00D26BB9"/>
    <w:rsid w:val="00D26D40"/>
    <w:rsid w:val="00D26DE1"/>
    <w:rsid w:val="00D26E25"/>
    <w:rsid w:val="00D26E53"/>
    <w:rsid w:val="00D26F8D"/>
    <w:rsid w:val="00D27004"/>
    <w:rsid w:val="00D272EE"/>
    <w:rsid w:val="00D2735A"/>
    <w:rsid w:val="00D2775F"/>
    <w:rsid w:val="00D2776A"/>
    <w:rsid w:val="00D27880"/>
    <w:rsid w:val="00D27912"/>
    <w:rsid w:val="00D2793F"/>
    <w:rsid w:val="00D27A1D"/>
    <w:rsid w:val="00D27B1C"/>
    <w:rsid w:val="00D27C78"/>
    <w:rsid w:val="00D27CA8"/>
    <w:rsid w:val="00D27D31"/>
    <w:rsid w:val="00D30295"/>
    <w:rsid w:val="00D304EB"/>
    <w:rsid w:val="00D306A0"/>
    <w:rsid w:val="00D306AB"/>
    <w:rsid w:val="00D3076B"/>
    <w:rsid w:val="00D30902"/>
    <w:rsid w:val="00D30967"/>
    <w:rsid w:val="00D3099A"/>
    <w:rsid w:val="00D30B15"/>
    <w:rsid w:val="00D30CD4"/>
    <w:rsid w:val="00D30EAD"/>
    <w:rsid w:val="00D30EC8"/>
    <w:rsid w:val="00D30ED9"/>
    <w:rsid w:val="00D3120F"/>
    <w:rsid w:val="00D31652"/>
    <w:rsid w:val="00D31793"/>
    <w:rsid w:val="00D3186B"/>
    <w:rsid w:val="00D31992"/>
    <w:rsid w:val="00D31BA4"/>
    <w:rsid w:val="00D31D1C"/>
    <w:rsid w:val="00D31F70"/>
    <w:rsid w:val="00D31F72"/>
    <w:rsid w:val="00D3208A"/>
    <w:rsid w:val="00D3218D"/>
    <w:rsid w:val="00D3223D"/>
    <w:rsid w:val="00D322B4"/>
    <w:rsid w:val="00D322CB"/>
    <w:rsid w:val="00D322DE"/>
    <w:rsid w:val="00D32450"/>
    <w:rsid w:val="00D32548"/>
    <w:rsid w:val="00D3295B"/>
    <w:rsid w:val="00D32A8A"/>
    <w:rsid w:val="00D32CD9"/>
    <w:rsid w:val="00D331BF"/>
    <w:rsid w:val="00D33219"/>
    <w:rsid w:val="00D33389"/>
    <w:rsid w:val="00D333B0"/>
    <w:rsid w:val="00D333F7"/>
    <w:rsid w:val="00D33449"/>
    <w:rsid w:val="00D33BE1"/>
    <w:rsid w:val="00D33F0C"/>
    <w:rsid w:val="00D33FC4"/>
    <w:rsid w:val="00D34410"/>
    <w:rsid w:val="00D34426"/>
    <w:rsid w:val="00D3442F"/>
    <w:rsid w:val="00D344C3"/>
    <w:rsid w:val="00D34567"/>
    <w:rsid w:val="00D345BA"/>
    <w:rsid w:val="00D345D9"/>
    <w:rsid w:val="00D3463A"/>
    <w:rsid w:val="00D346E5"/>
    <w:rsid w:val="00D34775"/>
    <w:rsid w:val="00D34841"/>
    <w:rsid w:val="00D3489B"/>
    <w:rsid w:val="00D34A53"/>
    <w:rsid w:val="00D34D2B"/>
    <w:rsid w:val="00D34D48"/>
    <w:rsid w:val="00D34EB5"/>
    <w:rsid w:val="00D35052"/>
    <w:rsid w:val="00D350DA"/>
    <w:rsid w:val="00D35171"/>
    <w:rsid w:val="00D353D1"/>
    <w:rsid w:val="00D35503"/>
    <w:rsid w:val="00D356A5"/>
    <w:rsid w:val="00D3580C"/>
    <w:rsid w:val="00D35814"/>
    <w:rsid w:val="00D35BC8"/>
    <w:rsid w:val="00D35C24"/>
    <w:rsid w:val="00D35F21"/>
    <w:rsid w:val="00D35F2C"/>
    <w:rsid w:val="00D35F8C"/>
    <w:rsid w:val="00D3604E"/>
    <w:rsid w:val="00D3622C"/>
    <w:rsid w:val="00D362E7"/>
    <w:rsid w:val="00D3669C"/>
    <w:rsid w:val="00D367A6"/>
    <w:rsid w:val="00D3685C"/>
    <w:rsid w:val="00D36BBE"/>
    <w:rsid w:val="00D373AF"/>
    <w:rsid w:val="00D3764B"/>
    <w:rsid w:val="00D376D7"/>
    <w:rsid w:val="00D37767"/>
    <w:rsid w:val="00D377D2"/>
    <w:rsid w:val="00D37859"/>
    <w:rsid w:val="00D37C0B"/>
    <w:rsid w:val="00D37CC3"/>
    <w:rsid w:val="00D37CED"/>
    <w:rsid w:val="00D37D13"/>
    <w:rsid w:val="00D37E2D"/>
    <w:rsid w:val="00D40446"/>
    <w:rsid w:val="00D407E4"/>
    <w:rsid w:val="00D40945"/>
    <w:rsid w:val="00D409EB"/>
    <w:rsid w:val="00D40A74"/>
    <w:rsid w:val="00D40AD8"/>
    <w:rsid w:val="00D40D70"/>
    <w:rsid w:val="00D40FCD"/>
    <w:rsid w:val="00D410ED"/>
    <w:rsid w:val="00D41142"/>
    <w:rsid w:val="00D41191"/>
    <w:rsid w:val="00D413CF"/>
    <w:rsid w:val="00D414D5"/>
    <w:rsid w:val="00D41565"/>
    <w:rsid w:val="00D417EB"/>
    <w:rsid w:val="00D4184C"/>
    <w:rsid w:val="00D41973"/>
    <w:rsid w:val="00D41ABC"/>
    <w:rsid w:val="00D41B99"/>
    <w:rsid w:val="00D41E29"/>
    <w:rsid w:val="00D420D9"/>
    <w:rsid w:val="00D42254"/>
    <w:rsid w:val="00D424F8"/>
    <w:rsid w:val="00D42530"/>
    <w:rsid w:val="00D42598"/>
    <w:rsid w:val="00D42846"/>
    <w:rsid w:val="00D428EC"/>
    <w:rsid w:val="00D42A66"/>
    <w:rsid w:val="00D42B1F"/>
    <w:rsid w:val="00D42C21"/>
    <w:rsid w:val="00D42E57"/>
    <w:rsid w:val="00D42E8D"/>
    <w:rsid w:val="00D42EE1"/>
    <w:rsid w:val="00D43099"/>
    <w:rsid w:val="00D430BE"/>
    <w:rsid w:val="00D431D1"/>
    <w:rsid w:val="00D43298"/>
    <w:rsid w:val="00D432D9"/>
    <w:rsid w:val="00D43359"/>
    <w:rsid w:val="00D4365C"/>
    <w:rsid w:val="00D43742"/>
    <w:rsid w:val="00D437A2"/>
    <w:rsid w:val="00D437EF"/>
    <w:rsid w:val="00D43868"/>
    <w:rsid w:val="00D43C22"/>
    <w:rsid w:val="00D43C6B"/>
    <w:rsid w:val="00D43D10"/>
    <w:rsid w:val="00D4408F"/>
    <w:rsid w:val="00D4413B"/>
    <w:rsid w:val="00D44492"/>
    <w:rsid w:val="00D444EE"/>
    <w:rsid w:val="00D446D8"/>
    <w:rsid w:val="00D44768"/>
    <w:rsid w:val="00D4483C"/>
    <w:rsid w:val="00D448A4"/>
    <w:rsid w:val="00D44903"/>
    <w:rsid w:val="00D44CB4"/>
    <w:rsid w:val="00D44CF0"/>
    <w:rsid w:val="00D44DD2"/>
    <w:rsid w:val="00D44DD5"/>
    <w:rsid w:val="00D44DF3"/>
    <w:rsid w:val="00D44E4E"/>
    <w:rsid w:val="00D44E50"/>
    <w:rsid w:val="00D453C1"/>
    <w:rsid w:val="00D4565D"/>
    <w:rsid w:val="00D45D98"/>
    <w:rsid w:val="00D461ED"/>
    <w:rsid w:val="00D4626A"/>
    <w:rsid w:val="00D46274"/>
    <w:rsid w:val="00D46275"/>
    <w:rsid w:val="00D462F8"/>
    <w:rsid w:val="00D463AC"/>
    <w:rsid w:val="00D46473"/>
    <w:rsid w:val="00D46568"/>
    <w:rsid w:val="00D46656"/>
    <w:rsid w:val="00D466AE"/>
    <w:rsid w:val="00D46810"/>
    <w:rsid w:val="00D46A47"/>
    <w:rsid w:val="00D46B5B"/>
    <w:rsid w:val="00D46BED"/>
    <w:rsid w:val="00D46C2A"/>
    <w:rsid w:val="00D46D29"/>
    <w:rsid w:val="00D46D5C"/>
    <w:rsid w:val="00D47061"/>
    <w:rsid w:val="00D4710B"/>
    <w:rsid w:val="00D471DE"/>
    <w:rsid w:val="00D4720E"/>
    <w:rsid w:val="00D47294"/>
    <w:rsid w:val="00D47595"/>
    <w:rsid w:val="00D47714"/>
    <w:rsid w:val="00D477E0"/>
    <w:rsid w:val="00D47876"/>
    <w:rsid w:val="00D479A2"/>
    <w:rsid w:val="00D47B29"/>
    <w:rsid w:val="00D47C23"/>
    <w:rsid w:val="00D47D49"/>
    <w:rsid w:val="00D5034A"/>
    <w:rsid w:val="00D503FD"/>
    <w:rsid w:val="00D506FB"/>
    <w:rsid w:val="00D506FC"/>
    <w:rsid w:val="00D507B7"/>
    <w:rsid w:val="00D507FC"/>
    <w:rsid w:val="00D50913"/>
    <w:rsid w:val="00D50B61"/>
    <w:rsid w:val="00D50CAD"/>
    <w:rsid w:val="00D50CBE"/>
    <w:rsid w:val="00D50D33"/>
    <w:rsid w:val="00D50ECB"/>
    <w:rsid w:val="00D51130"/>
    <w:rsid w:val="00D512C7"/>
    <w:rsid w:val="00D514C0"/>
    <w:rsid w:val="00D51733"/>
    <w:rsid w:val="00D5184A"/>
    <w:rsid w:val="00D519F9"/>
    <w:rsid w:val="00D51A98"/>
    <w:rsid w:val="00D51BCD"/>
    <w:rsid w:val="00D51E2C"/>
    <w:rsid w:val="00D51FE4"/>
    <w:rsid w:val="00D5207C"/>
    <w:rsid w:val="00D5237E"/>
    <w:rsid w:val="00D52575"/>
    <w:rsid w:val="00D52A28"/>
    <w:rsid w:val="00D52A8D"/>
    <w:rsid w:val="00D52B8E"/>
    <w:rsid w:val="00D52BEC"/>
    <w:rsid w:val="00D52C62"/>
    <w:rsid w:val="00D52CE6"/>
    <w:rsid w:val="00D52E49"/>
    <w:rsid w:val="00D52FF8"/>
    <w:rsid w:val="00D53027"/>
    <w:rsid w:val="00D5304E"/>
    <w:rsid w:val="00D531B1"/>
    <w:rsid w:val="00D53398"/>
    <w:rsid w:val="00D53512"/>
    <w:rsid w:val="00D53690"/>
    <w:rsid w:val="00D53775"/>
    <w:rsid w:val="00D53AAE"/>
    <w:rsid w:val="00D53B35"/>
    <w:rsid w:val="00D53B6C"/>
    <w:rsid w:val="00D53BD6"/>
    <w:rsid w:val="00D53E1F"/>
    <w:rsid w:val="00D5449A"/>
    <w:rsid w:val="00D546D8"/>
    <w:rsid w:val="00D5484F"/>
    <w:rsid w:val="00D54850"/>
    <w:rsid w:val="00D548EF"/>
    <w:rsid w:val="00D54919"/>
    <w:rsid w:val="00D54927"/>
    <w:rsid w:val="00D54CCA"/>
    <w:rsid w:val="00D55048"/>
    <w:rsid w:val="00D55050"/>
    <w:rsid w:val="00D5508D"/>
    <w:rsid w:val="00D554A0"/>
    <w:rsid w:val="00D554AE"/>
    <w:rsid w:val="00D55688"/>
    <w:rsid w:val="00D558AB"/>
    <w:rsid w:val="00D558BF"/>
    <w:rsid w:val="00D55B2E"/>
    <w:rsid w:val="00D55C34"/>
    <w:rsid w:val="00D55C90"/>
    <w:rsid w:val="00D55F4D"/>
    <w:rsid w:val="00D560E5"/>
    <w:rsid w:val="00D5632F"/>
    <w:rsid w:val="00D564C7"/>
    <w:rsid w:val="00D5673F"/>
    <w:rsid w:val="00D56777"/>
    <w:rsid w:val="00D567BC"/>
    <w:rsid w:val="00D568CB"/>
    <w:rsid w:val="00D56CA2"/>
    <w:rsid w:val="00D56CE5"/>
    <w:rsid w:val="00D56FDC"/>
    <w:rsid w:val="00D570AD"/>
    <w:rsid w:val="00D57252"/>
    <w:rsid w:val="00D57690"/>
    <w:rsid w:val="00D576BE"/>
    <w:rsid w:val="00D5772F"/>
    <w:rsid w:val="00D57A0A"/>
    <w:rsid w:val="00D57BAB"/>
    <w:rsid w:val="00D57D71"/>
    <w:rsid w:val="00D57D78"/>
    <w:rsid w:val="00D57DDF"/>
    <w:rsid w:val="00D57E0B"/>
    <w:rsid w:val="00D601CB"/>
    <w:rsid w:val="00D601D0"/>
    <w:rsid w:val="00D602AA"/>
    <w:rsid w:val="00D60682"/>
    <w:rsid w:val="00D607F5"/>
    <w:rsid w:val="00D60CAD"/>
    <w:rsid w:val="00D60FB9"/>
    <w:rsid w:val="00D61100"/>
    <w:rsid w:val="00D611DE"/>
    <w:rsid w:val="00D61895"/>
    <w:rsid w:val="00D619AA"/>
    <w:rsid w:val="00D619CC"/>
    <w:rsid w:val="00D61AB7"/>
    <w:rsid w:val="00D61DDA"/>
    <w:rsid w:val="00D61EE4"/>
    <w:rsid w:val="00D61FAE"/>
    <w:rsid w:val="00D62036"/>
    <w:rsid w:val="00D62136"/>
    <w:rsid w:val="00D6228E"/>
    <w:rsid w:val="00D62433"/>
    <w:rsid w:val="00D6253D"/>
    <w:rsid w:val="00D6253F"/>
    <w:rsid w:val="00D62578"/>
    <w:rsid w:val="00D625E1"/>
    <w:rsid w:val="00D625F4"/>
    <w:rsid w:val="00D62921"/>
    <w:rsid w:val="00D62E1D"/>
    <w:rsid w:val="00D6363C"/>
    <w:rsid w:val="00D63667"/>
    <w:rsid w:val="00D637BC"/>
    <w:rsid w:val="00D6384C"/>
    <w:rsid w:val="00D638AE"/>
    <w:rsid w:val="00D6390E"/>
    <w:rsid w:val="00D639FF"/>
    <w:rsid w:val="00D63DA1"/>
    <w:rsid w:val="00D63E32"/>
    <w:rsid w:val="00D63EDE"/>
    <w:rsid w:val="00D63F14"/>
    <w:rsid w:val="00D640A9"/>
    <w:rsid w:val="00D641A2"/>
    <w:rsid w:val="00D643BE"/>
    <w:rsid w:val="00D644B7"/>
    <w:rsid w:val="00D6453F"/>
    <w:rsid w:val="00D645A6"/>
    <w:rsid w:val="00D646D8"/>
    <w:rsid w:val="00D64707"/>
    <w:rsid w:val="00D6494C"/>
    <w:rsid w:val="00D64984"/>
    <w:rsid w:val="00D649C2"/>
    <w:rsid w:val="00D64ADC"/>
    <w:rsid w:val="00D64ADD"/>
    <w:rsid w:val="00D6508D"/>
    <w:rsid w:val="00D650E0"/>
    <w:rsid w:val="00D65142"/>
    <w:rsid w:val="00D6537B"/>
    <w:rsid w:val="00D65380"/>
    <w:rsid w:val="00D6539D"/>
    <w:rsid w:val="00D655AB"/>
    <w:rsid w:val="00D656E0"/>
    <w:rsid w:val="00D657A7"/>
    <w:rsid w:val="00D6583B"/>
    <w:rsid w:val="00D65A32"/>
    <w:rsid w:val="00D65BC1"/>
    <w:rsid w:val="00D660B0"/>
    <w:rsid w:val="00D660C8"/>
    <w:rsid w:val="00D66260"/>
    <w:rsid w:val="00D66352"/>
    <w:rsid w:val="00D6636E"/>
    <w:rsid w:val="00D663A4"/>
    <w:rsid w:val="00D66463"/>
    <w:rsid w:val="00D664F5"/>
    <w:rsid w:val="00D6652B"/>
    <w:rsid w:val="00D66682"/>
    <w:rsid w:val="00D66778"/>
    <w:rsid w:val="00D6680B"/>
    <w:rsid w:val="00D66C7C"/>
    <w:rsid w:val="00D66ED6"/>
    <w:rsid w:val="00D670F0"/>
    <w:rsid w:val="00D6717C"/>
    <w:rsid w:val="00D6722E"/>
    <w:rsid w:val="00D672CB"/>
    <w:rsid w:val="00D6764A"/>
    <w:rsid w:val="00D677AA"/>
    <w:rsid w:val="00D67908"/>
    <w:rsid w:val="00D67AAC"/>
    <w:rsid w:val="00D67CB2"/>
    <w:rsid w:val="00D67E8F"/>
    <w:rsid w:val="00D7039A"/>
    <w:rsid w:val="00D703ED"/>
    <w:rsid w:val="00D70518"/>
    <w:rsid w:val="00D7087A"/>
    <w:rsid w:val="00D70A1E"/>
    <w:rsid w:val="00D70A59"/>
    <w:rsid w:val="00D70D4A"/>
    <w:rsid w:val="00D71267"/>
    <w:rsid w:val="00D7129B"/>
    <w:rsid w:val="00D716C2"/>
    <w:rsid w:val="00D716EC"/>
    <w:rsid w:val="00D71B04"/>
    <w:rsid w:val="00D71D72"/>
    <w:rsid w:val="00D71E37"/>
    <w:rsid w:val="00D71EF1"/>
    <w:rsid w:val="00D71F30"/>
    <w:rsid w:val="00D71F5B"/>
    <w:rsid w:val="00D72188"/>
    <w:rsid w:val="00D72551"/>
    <w:rsid w:val="00D725F5"/>
    <w:rsid w:val="00D72604"/>
    <w:rsid w:val="00D7293C"/>
    <w:rsid w:val="00D72B7E"/>
    <w:rsid w:val="00D72DAB"/>
    <w:rsid w:val="00D730B9"/>
    <w:rsid w:val="00D733A3"/>
    <w:rsid w:val="00D7363C"/>
    <w:rsid w:val="00D7380C"/>
    <w:rsid w:val="00D739F2"/>
    <w:rsid w:val="00D73A16"/>
    <w:rsid w:val="00D73D7E"/>
    <w:rsid w:val="00D73F8B"/>
    <w:rsid w:val="00D74063"/>
    <w:rsid w:val="00D7413E"/>
    <w:rsid w:val="00D741BC"/>
    <w:rsid w:val="00D741D2"/>
    <w:rsid w:val="00D74352"/>
    <w:rsid w:val="00D7444D"/>
    <w:rsid w:val="00D7465F"/>
    <w:rsid w:val="00D747EE"/>
    <w:rsid w:val="00D74ACA"/>
    <w:rsid w:val="00D74C29"/>
    <w:rsid w:val="00D74CE8"/>
    <w:rsid w:val="00D74D3D"/>
    <w:rsid w:val="00D74D72"/>
    <w:rsid w:val="00D74E9A"/>
    <w:rsid w:val="00D74F86"/>
    <w:rsid w:val="00D7513B"/>
    <w:rsid w:val="00D75158"/>
    <w:rsid w:val="00D75171"/>
    <w:rsid w:val="00D751E6"/>
    <w:rsid w:val="00D75234"/>
    <w:rsid w:val="00D75285"/>
    <w:rsid w:val="00D75386"/>
    <w:rsid w:val="00D75502"/>
    <w:rsid w:val="00D75897"/>
    <w:rsid w:val="00D75FC8"/>
    <w:rsid w:val="00D7632F"/>
    <w:rsid w:val="00D763BE"/>
    <w:rsid w:val="00D764FF"/>
    <w:rsid w:val="00D76505"/>
    <w:rsid w:val="00D76691"/>
    <w:rsid w:val="00D76824"/>
    <w:rsid w:val="00D76892"/>
    <w:rsid w:val="00D768D3"/>
    <w:rsid w:val="00D7692B"/>
    <w:rsid w:val="00D7698A"/>
    <w:rsid w:val="00D76ADF"/>
    <w:rsid w:val="00D76B76"/>
    <w:rsid w:val="00D76D91"/>
    <w:rsid w:val="00D76E6A"/>
    <w:rsid w:val="00D76E94"/>
    <w:rsid w:val="00D770F3"/>
    <w:rsid w:val="00D77147"/>
    <w:rsid w:val="00D7737F"/>
    <w:rsid w:val="00D773A3"/>
    <w:rsid w:val="00D7752C"/>
    <w:rsid w:val="00D77692"/>
    <w:rsid w:val="00D7781C"/>
    <w:rsid w:val="00D779EB"/>
    <w:rsid w:val="00D77C8C"/>
    <w:rsid w:val="00D77D61"/>
    <w:rsid w:val="00D77DDD"/>
    <w:rsid w:val="00D80186"/>
    <w:rsid w:val="00D802A0"/>
    <w:rsid w:val="00D803B3"/>
    <w:rsid w:val="00D803E7"/>
    <w:rsid w:val="00D80467"/>
    <w:rsid w:val="00D8056C"/>
    <w:rsid w:val="00D80652"/>
    <w:rsid w:val="00D8065E"/>
    <w:rsid w:val="00D806B9"/>
    <w:rsid w:val="00D807B6"/>
    <w:rsid w:val="00D80839"/>
    <w:rsid w:val="00D80919"/>
    <w:rsid w:val="00D80938"/>
    <w:rsid w:val="00D80AAE"/>
    <w:rsid w:val="00D80BF8"/>
    <w:rsid w:val="00D80BF9"/>
    <w:rsid w:val="00D80C7E"/>
    <w:rsid w:val="00D80D31"/>
    <w:rsid w:val="00D80DE6"/>
    <w:rsid w:val="00D81157"/>
    <w:rsid w:val="00D811E6"/>
    <w:rsid w:val="00D81241"/>
    <w:rsid w:val="00D813B1"/>
    <w:rsid w:val="00D813D4"/>
    <w:rsid w:val="00D814CD"/>
    <w:rsid w:val="00D814E9"/>
    <w:rsid w:val="00D815CB"/>
    <w:rsid w:val="00D81662"/>
    <w:rsid w:val="00D81800"/>
    <w:rsid w:val="00D8185A"/>
    <w:rsid w:val="00D818F8"/>
    <w:rsid w:val="00D819F6"/>
    <w:rsid w:val="00D81ABD"/>
    <w:rsid w:val="00D820F1"/>
    <w:rsid w:val="00D8221E"/>
    <w:rsid w:val="00D82233"/>
    <w:rsid w:val="00D822A6"/>
    <w:rsid w:val="00D825D0"/>
    <w:rsid w:val="00D82C6E"/>
    <w:rsid w:val="00D82D1C"/>
    <w:rsid w:val="00D82D39"/>
    <w:rsid w:val="00D82F45"/>
    <w:rsid w:val="00D83022"/>
    <w:rsid w:val="00D830FB"/>
    <w:rsid w:val="00D83134"/>
    <w:rsid w:val="00D83419"/>
    <w:rsid w:val="00D83545"/>
    <w:rsid w:val="00D8356E"/>
    <w:rsid w:val="00D837C0"/>
    <w:rsid w:val="00D8382E"/>
    <w:rsid w:val="00D8387E"/>
    <w:rsid w:val="00D838D3"/>
    <w:rsid w:val="00D83A75"/>
    <w:rsid w:val="00D83BC2"/>
    <w:rsid w:val="00D83C87"/>
    <w:rsid w:val="00D83CA8"/>
    <w:rsid w:val="00D83EAD"/>
    <w:rsid w:val="00D83FA2"/>
    <w:rsid w:val="00D84185"/>
    <w:rsid w:val="00D8441A"/>
    <w:rsid w:val="00D8448A"/>
    <w:rsid w:val="00D844AB"/>
    <w:rsid w:val="00D845B8"/>
    <w:rsid w:val="00D84696"/>
    <w:rsid w:val="00D847D3"/>
    <w:rsid w:val="00D847FF"/>
    <w:rsid w:val="00D84975"/>
    <w:rsid w:val="00D84B8E"/>
    <w:rsid w:val="00D84BD1"/>
    <w:rsid w:val="00D84E90"/>
    <w:rsid w:val="00D84FF7"/>
    <w:rsid w:val="00D85196"/>
    <w:rsid w:val="00D851EB"/>
    <w:rsid w:val="00D85228"/>
    <w:rsid w:val="00D8533B"/>
    <w:rsid w:val="00D8536C"/>
    <w:rsid w:val="00D85516"/>
    <w:rsid w:val="00D85576"/>
    <w:rsid w:val="00D8574E"/>
    <w:rsid w:val="00D85A09"/>
    <w:rsid w:val="00D85B09"/>
    <w:rsid w:val="00D85B88"/>
    <w:rsid w:val="00D85D01"/>
    <w:rsid w:val="00D85E92"/>
    <w:rsid w:val="00D85FE5"/>
    <w:rsid w:val="00D86142"/>
    <w:rsid w:val="00D86414"/>
    <w:rsid w:val="00D86759"/>
    <w:rsid w:val="00D867B2"/>
    <w:rsid w:val="00D869C6"/>
    <w:rsid w:val="00D86B37"/>
    <w:rsid w:val="00D86ECC"/>
    <w:rsid w:val="00D87061"/>
    <w:rsid w:val="00D870B7"/>
    <w:rsid w:val="00D873D7"/>
    <w:rsid w:val="00D87A16"/>
    <w:rsid w:val="00D87AB0"/>
    <w:rsid w:val="00D87BD3"/>
    <w:rsid w:val="00D87D84"/>
    <w:rsid w:val="00D87E90"/>
    <w:rsid w:val="00D87FB6"/>
    <w:rsid w:val="00D90780"/>
    <w:rsid w:val="00D9096C"/>
    <w:rsid w:val="00D90A2E"/>
    <w:rsid w:val="00D90ADB"/>
    <w:rsid w:val="00D90B5E"/>
    <w:rsid w:val="00D90F6B"/>
    <w:rsid w:val="00D91159"/>
    <w:rsid w:val="00D9115E"/>
    <w:rsid w:val="00D911FC"/>
    <w:rsid w:val="00D9137E"/>
    <w:rsid w:val="00D9145B"/>
    <w:rsid w:val="00D916C0"/>
    <w:rsid w:val="00D916C5"/>
    <w:rsid w:val="00D916E9"/>
    <w:rsid w:val="00D916EF"/>
    <w:rsid w:val="00D91916"/>
    <w:rsid w:val="00D91A37"/>
    <w:rsid w:val="00D91C86"/>
    <w:rsid w:val="00D91CF5"/>
    <w:rsid w:val="00D91D02"/>
    <w:rsid w:val="00D91E1D"/>
    <w:rsid w:val="00D91E78"/>
    <w:rsid w:val="00D91EA3"/>
    <w:rsid w:val="00D91F54"/>
    <w:rsid w:val="00D921CF"/>
    <w:rsid w:val="00D92234"/>
    <w:rsid w:val="00D924A9"/>
    <w:rsid w:val="00D92597"/>
    <w:rsid w:val="00D925DF"/>
    <w:rsid w:val="00D92630"/>
    <w:rsid w:val="00D926E1"/>
    <w:rsid w:val="00D927A1"/>
    <w:rsid w:val="00D927F5"/>
    <w:rsid w:val="00D92C8A"/>
    <w:rsid w:val="00D92D06"/>
    <w:rsid w:val="00D92E6B"/>
    <w:rsid w:val="00D92EFC"/>
    <w:rsid w:val="00D92F1D"/>
    <w:rsid w:val="00D9305D"/>
    <w:rsid w:val="00D93605"/>
    <w:rsid w:val="00D93927"/>
    <w:rsid w:val="00D939C2"/>
    <w:rsid w:val="00D93AEB"/>
    <w:rsid w:val="00D93B20"/>
    <w:rsid w:val="00D93C10"/>
    <w:rsid w:val="00D93D74"/>
    <w:rsid w:val="00D93D79"/>
    <w:rsid w:val="00D93DDD"/>
    <w:rsid w:val="00D94067"/>
    <w:rsid w:val="00D9444F"/>
    <w:rsid w:val="00D94560"/>
    <w:rsid w:val="00D94589"/>
    <w:rsid w:val="00D94618"/>
    <w:rsid w:val="00D946A6"/>
    <w:rsid w:val="00D9470C"/>
    <w:rsid w:val="00D94795"/>
    <w:rsid w:val="00D947B4"/>
    <w:rsid w:val="00D949D5"/>
    <w:rsid w:val="00D94AD3"/>
    <w:rsid w:val="00D94B21"/>
    <w:rsid w:val="00D94D48"/>
    <w:rsid w:val="00D94D81"/>
    <w:rsid w:val="00D94E49"/>
    <w:rsid w:val="00D94E98"/>
    <w:rsid w:val="00D9520F"/>
    <w:rsid w:val="00D9523E"/>
    <w:rsid w:val="00D952D9"/>
    <w:rsid w:val="00D95335"/>
    <w:rsid w:val="00D953F4"/>
    <w:rsid w:val="00D95454"/>
    <w:rsid w:val="00D954CE"/>
    <w:rsid w:val="00D954F1"/>
    <w:rsid w:val="00D955A6"/>
    <w:rsid w:val="00D955B6"/>
    <w:rsid w:val="00D9561A"/>
    <w:rsid w:val="00D957B3"/>
    <w:rsid w:val="00D9584C"/>
    <w:rsid w:val="00D95880"/>
    <w:rsid w:val="00D95997"/>
    <w:rsid w:val="00D95A24"/>
    <w:rsid w:val="00D95BF2"/>
    <w:rsid w:val="00D95D8D"/>
    <w:rsid w:val="00D95EA5"/>
    <w:rsid w:val="00D95EF6"/>
    <w:rsid w:val="00D95FBE"/>
    <w:rsid w:val="00D95FD8"/>
    <w:rsid w:val="00D96059"/>
    <w:rsid w:val="00D9626A"/>
    <w:rsid w:val="00D9637A"/>
    <w:rsid w:val="00D96557"/>
    <w:rsid w:val="00D9655C"/>
    <w:rsid w:val="00D96685"/>
    <w:rsid w:val="00D96718"/>
    <w:rsid w:val="00D9673F"/>
    <w:rsid w:val="00D9683B"/>
    <w:rsid w:val="00D968B8"/>
    <w:rsid w:val="00D9694E"/>
    <w:rsid w:val="00D96A38"/>
    <w:rsid w:val="00D96AB3"/>
    <w:rsid w:val="00D96B18"/>
    <w:rsid w:val="00D96B71"/>
    <w:rsid w:val="00D96C18"/>
    <w:rsid w:val="00D96C3A"/>
    <w:rsid w:val="00D96CB7"/>
    <w:rsid w:val="00D96EDB"/>
    <w:rsid w:val="00D96F91"/>
    <w:rsid w:val="00D96F94"/>
    <w:rsid w:val="00D97091"/>
    <w:rsid w:val="00D97128"/>
    <w:rsid w:val="00D9714B"/>
    <w:rsid w:val="00D9722E"/>
    <w:rsid w:val="00D97359"/>
    <w:rsid w:val="00D9747C"/>
    <w:rsid w:val="00D97561"/>
    <w:rsid w:val="00D97597"/>
    <w:rsid w:val="00D976E9"/>
    <w:rsid w:val="00D97719"/>
    <w:rsid w:val="00D977AF"/>
    <w:rsid w:val="00D9780C"/>
    <w:rsid w:val="00D9780E"/>
    <w:rsid w:val="00D97971"/>
    <w:rsid w:val="00D97BBC"/>
    <w:rsid w:val="00D97CA2"/>
    <w:rsid w:val="00D97CB1"/>
    <w:rsid w:val="00D97E6D"/>
    <w:rsid w:val="00D97F67"/>
    <w:rsid w:val="00D97F8B"/>
    <w:rsid w:val="00D97FDB"/>
    <w:rsid w:val="00DA017B"/>
    <w:rsid w:val="00DA01E0"/>
    <w:rsid w:val="00DA035A"/>
    <w:rsid w:val="00DA0443"/>
    <w:rsid w:val="00DA0665"/>
    <w:rsid w:val="00DA0696"/>
    <w:rsid w:val="00DA0912"/>
    <w:rsid w:val="00DA099F"/>
    <w:rsid w:val="00DA0AC9"/>
    <w:rsid w:val="00DA0C39"/>
    <w:rsid w:val="00DA0C58"/>
    <w:rsid w:val="00DA0D55"/>
    <w:rsid w:val="00DA0D58"/>
    <w:rsid w:val="00DA0DA1"/>
    <w:rsid w:val="00DA0F9C"/>
    <w:rsid w:val="00DA107C"/>
    <w:rsid w:val="00DA10EE"/>
    <w:rsid w:val="00DA110F"/>
    <w:rsid w:val="00DA1224"/>
    <w:rsid w:val="00DA1460"/>
    <w:rsid w:val="00DA14C4"/>
    <w:rsid w:val="00DA1510"/>
    <w:rsid w:val="00DA1565"/>
    <w:rsid w:val="00DA1578"/>
    <w:rsid w:val="00DA168B"/>
    <w:rsid w:val="00DA192C"/>
    <w:rsid w:val="00DA1965"/>
    <w:rsid w:val="00DA1968"/>
    <w:rsid w:val="00DA1DAB"/>
    <w:rsid w:val="00DA1E5B"/>
    <w:rsid w:val="00DA204C"/>
    <w:rsid w:val="00DA22DF"/>
    <w:rsid w:val="00DA24FB"/>
    <w:rsid w:val="00DA267F"/>
    <w:rsid w:val="00DA2701"/>
    <w:rsid w:val="00DA2736"/>
    <w:rsid w:val="00DA2790"/>
    <w:rsid w:val="00DA2801"/>
    <w:rsid w:val="00DA2B76"/>
    <w:rsid w:val="00DA2C1C"/>
    <w:rsid w:val="00DA2DC9"/>
    <w:rsid w:val="00DA2DE0"/>
    <w:rsid w:val="00DA2EBF"/>
    <w:rsid w:val="00DA3054"/>
    <w:rsid w:val="00DA3241"/>
    <w:rsid w:val="00DA3248"/>
    <w:rsid w:val="00DA32D0"/>
    <w:rsid w:val="00DA334B"/>
    <w:rsid w:val="00DA334C"/>
    <w:rsid w:val="00DA3432"/>
    <w:rsid w:val="00DA34F6"/>
    <w:rsid w:val="00DA35B4"/>
    <w:rsid w:val="00DA3797"/>
    <w:rsid w:val="00DA38D3"/>
    <w:rsid w:val="00DA3929"/>
    <w:rsid w:val="00DA3963"/>
    <w:rsid w:val="00DA39B9"/>
    <w:rsid w:val="00DA3E2D"/>
    <w:rsid w:val="00DA3F77"/>
    <w:rsid w:val="00DA4138"/>
    <w:rsid w:val="00DA4512"/>
    <w:rsid w:val="00DA4609"/>
    <w:rsid w:val="00DA4683"/>
    <w:rsid w:val="00DA46E5"/>
    <w:rsid w:val="00DA4757"/>
    <w:rsid w:val="00DA476C"/>
    <w:rsid w:val="00DA4822"/>
    <w:rsid w:val="00DA49C3"/>
    <w:rsid w:val="00DA4A1B"/>
    <w:rsid w:val="00DA4C8B"/>
    <w:rsid w:val="00DA4CDD"/>
    <w:rsid w:val="00DA4FF7"/>
    <w:rsid w:val="00DA5132"/>
    <w:rsid w:val="00DA52BA"/>
    <w:rsid w:val="00DA54AD"/>
    <w:rsid w:val="00DA56C9"/>
    <w:rsid w:val="00DA5841"/>
    <w:rsid w:val="00DA589A"/>
    <w:rsid w:val="00DA59EE"/>
    <w:rsid w:val="00DA59F4"/>
    <w:rsid w:val="00DA5AEC"/>
    <w:rsid w:val="00DA5B87"/>
    <w:rsid w:val="00DA5C06"/>
    <w:rsid w:val="00DA5CFD"/>
    <w:rsid w:val="00DA5D5C"/>
    <w:rsid w:val="00DA6432"/>
    <w:rsid w:val="00DA6473"/>
    <w:rsid w:val="00DA6573"/>
    <w:rsid w:val="00DA6629"/>
    <w:rsid w:val="00DA6B41"/>
    <w:rsid w:val="00DA6E1C"/>
    <w:rsid w:val="00DA6FE5"/>
    <w:rsid w:val="00DA7135"/>
    <w:rsid w:val="00DA715F"/>
    <w:rsid w:val="00DA71A0"/>
    <w:rsid w:val="00DA71EF"/>
    <w:rsid w:val="00DA72F3"/>
    <w:rsid w:val="00DA73D5"/>
    <w:rsid w:val="00DA766A"/>
    <w:rsid w:val="00DA782F"/>
    <w:rsid w:val="00DA7BBA"/>
    <w:rsid w:val="00DA7BF8"/>
    <w:rsid w:val="00DA7C65"/>
    <w:rsid w:val="00DA7E2C"/>
    <w:rsid w:val="00DA7F6E"/>
    <w:rsid w:val="00DA7F77"/>
    <w:rsid w:val="00DA7F8F"/>
    <w:rsid w:val="00DB0079"/>
    <w:rsid w:val="00DB01C4"/>
    <w:rsid w:val="00DB01E9"/>
    <w:rsid w:val="00DB02F7"/>
    <w:rsid w:val="00DB0449"/>
    <w:rsid w:val="00DB0672"/>
    <w:rsid w:val="00DB06CA"/>
    <w:rsid w:val="00DB09A6"/>
    <w:rsid w:val="00DB09D9"/>
    <w:rsid w:val="00DB0AD2"/>
    <w:rsid w:val="00DB0ADA"/>
    <w:rsid w:val="00DB0AE7"/>
    <w:rsid w:val="00DB0C0B"/>
    <w:rsid w:val="00DB0D9E"/>
    <w:rsid w:val="00DB0E3F"/>
    <w:rsid w:val="00DB0EEF"/>
    <w:rsid w:val="00DB0FF3"/>
    <w:rsid w:val="00DB0FFD"/>
    <w:rsid w:val="00DB11B3"/>
    <w:rsid w:val="00DB1241"/>
    <w:rsid w:val="00DB125A"/>
    <w:rsid w:val="00DB12E5"/>
    <w:rsid w:val="00DB12F9"/>
    <w:rsid w:val="00DB14B4"/>
    <w:rsid w:val="00DB1555"/>
    <w:rsid w:val="00DB1601"/>
    <w:rsid w:val="00DB176C"/>
    <w:rsid w:val="00DB17C8"/>
    <w:rsid w:val="00DB1A56"/>
    <w:rsid w:val="00DB1BF2"/>
    <w:rsid w:val="00DB1C77"/>
    <w:rsid w:val="00DB1D77"/>
    <w:rsid w:val="00DB2325"/>
    <w:rsid w:val="00DB24F8"/>
    <w:rsid w:val="00DB25B6"/>
    <w:rsid w:val="00DB26E5"/>
    <w:rsid w:val="00DB290B"/>
    <w:rsid w:val="00DB2A3E"/>
    <w:rsid w:val="00DB2ACE"/>
    <w:rsid w:val="00DB2BBD"/>
    <w:rsid w:val="00DB2CB0"/>
    <w:rsid w:val="00DB2E81"/>
    <w:rsid w:val="00DB2EDD"/>
    <w:rsid w:val="00DB339F"/>
    <w:rsid w:val="00DB37F6"/>
    <w:rsid w:val="00DB3B22"/>
    <w:rsid w:val="00DB3B66"/>
    <w:rsid w:val="00DB3D1C"/>
    <w:rsid w:val="00DB3DDE"/>
    <w:rsid w:val="00DB3E4B"/>
    <w:rsid w:val="00DB403B"/>
    <w:rsid w:val="00DB40E9"/>
    <w:rsid w:val="00DB425F"/>
    <w:rsid w:val="00DB4384"/>
    <w:rsid w:val="00DB483E"/>
    <w:rsid w:val="00DB4A7D"/>
    <w:rsid w:val="00DB4C69"/>
    <w:rsid w:val="00DB4DFF"/>
    <w:rsid w:val="00DB4E1B"/>
    <w:rsid w:val="00DB4E30"/>
    <w:rsid w:val="00DB4E92"/>
    <w:rsid w:val="00DB4F67"/>
    <w:rsid w:val="00DB5046"/>
    <w:rsid w:val="00DB506A"/>
    <w:rsid w:val="00DB5112"/>
    <w:rsid w:val="00DB52E7"/>
    <w:rsid w:val="00DB53CE"/>
    <w:rsid w:val="00DB5666"/>
    <w:rsid w:val="00DB589C"/>
    <w:rsid w:val="00DB597E"/>
    <w:rsid w:val="00DB5C34"/>
    <w:rsid w:val="00DB5C3E"/>
    <w:rsid w:val="00DB6048"/>
    <w:rsid w:val="00DB6081"/>
    <w:rsid w:val="00DB612E"/>
    <w:rsid w:val="00DB631A"/>
    <w:rsid w:val="00DB6321"/>
    <w:rsid w:val="00DB64D5"/>
    <w:rsid w:val="00DB6691"/>
    <w:rsid w:val="00DB6832"/>
    <w:rsid w:val="00DB6A07"/>
    <w:rsid w:val="00DB6A0C"/>
    <w:rsid w:val="00DB6A79"/>
    <w:rsid w:val="00DB6B7E"/>
    <w:rsid w:val="00DB6B8A"/>
    <w:rsid w:val="00DB6D5B"/>
    <w:rsid w:val="00DB6DE0"/>
    <w:rsid w:val="00DB6DF3"/>
    <w:rsid w:val="00DB700E"/>
    <w:rsid w:val="00DB701C"/>
    <w:rsid w:val="00DB707F"/>
    <w:rsid w:val="00DB70FA"/>
    <w:rsid w:val="00DB7241"/>
    <w:rsid w:val="00DB72DE"/>
    <w:rsid w:val="00DB7396"/>
    <w:rsid w:val="00DB753F"/>
    <w:rsid w:val="00DB75EA"/>
    <w:rsid w:val="00DB7610"/>
    <w:rsid w:val="00DB7902"/>
    <w:rsid w:val="00DB7ADE"/>
    <w:rsid w:val="00DB7C8F"/>
    <w:rsid w:val="00DB7D03"/>
    <w:rsid w:val="00DB7D08"/>
    <w:rsid w:val="00DB7D25"/>
    <w:rsid w:val="00DB7E9B"/>
    <w:rsid w:val="00DC00C3"/>
    <w:rsid w:val="00DC022A"/>
    <w:rsid w:val="00DC0267"/>
    <w:rsid w:val="00DC0501"/>
    <w:rsid w:val="00DC0809"/>
    <w:rsid w:val="00DC095E"/>
    <w:rsid w:val="00DC09D7"/>
    <w:rsid w:val="00DC0A37"/>
    <w:rsid w:val="00DC0B62"/>
    <w:rsid w:val="00DC0D08"/>
    <w:rsid w:val="00DC0E30"/>
    <w:rsid w:val="00DC0EF1"/>
    <w:rsid w:val="00DC0F97"/>
    <w:rsid w:val="00DC0FB1"/>
    <w:rsid w:val="00DC1242"/>
    <w:rsid w:val="00DC1556"/>
    <w:rsid w:val="00DC1798"/>
    <w:rsid w:val="00DC189F"/>
    <w:rsid w:val="00DC1915"/>
    <w:rsid w:val="00DC193E"/>
    <w:rsid w:val="00DC1B5C"/>
    <w:rsid w:val="00DC1EC2"/>
    <w:rsid w:val="00DC1FC1"/>
    <w:rsid w:val="00DC2153"/>
    <w:rsid w:val="00DC21CF"/>
    <w:rsid w:val="00DC22BA"/>
    <w:rsid w:val="00DC22D1"/>
    <w:rsid w:val="00DC2590"/>
    <w:rsid w:val="00DC27E0"/>
    <w:rsid w:val="00DC284A"/>
    <w:rsid w:val="00DC2911"/>
    <w:rsid w:val="00DC2A39"/>
    <w:rsid w:val="00DC2A63"/>
    <w:rsid w:val="00DC2CEC"/>
    <w:rsid w:val="00DC2D3A"/>
    <w:rsid w:val="00DC2DAE"/>
    <w:rsid w:val="00DC2DF5"/>
    <w:rsid w:val="00DC3390"/>
    <w:rsid w:val="00DC33D8"/>
    <w:rsid w:val="00DC3483"/>
    <w:rsid w:val="00DC3716"/>
    <w:rsid w:val="00DC3749"/>
    <w:rsid w:val="00DC3793"/>
    <w:rsid w:val="00DC3907"/>
    <w:rsid w:val="00DC395E"/>
    <w:rsid w:val="00DC3A5A"/>
    <w:rsid w:val="00DC3AD9"/>
    <w:rsid w:val="00DC3C49"/>
    <w:rsid w:val="00DC3D94"/>
    <w:rsid w:val="00DC41F3"/>
    <w:rsid w:val="00DC43EC"/>
    <w:rsid w:val="00DC4425"/>
    <w:rsid w:val="00DC444B"/>
    <w:rsid w:val="00DC44FB"/>
    <w:rsid w:val="00DC45B4"/>
    <w:rsid w:val="00DC4966"/>
    <w:rsid w:val="00DC4A8C"/>
    <w:rsid w:val="00DC4AD7"/>
    <w:rsid w:val="00DC4AFC"/>
    <w:rsid w:val="00DC507B"/>
    <w:rsid w:val="00DC524F"/>
    <w:rsid w:val="00DC52CC"/>
    <w:rsid w:val="00DC540E"/>
    <w:rsid w:val="00DC545B"/>
    <w:rsid w:val="00DC5480"/>
    <w:rsid w:val="00DC54A8"/>
    <w:rsid w:val="00DC57B5"/>
    <w:rsid w:val="00DC5A90"/>
    <w:rsid w:val="00DC5B24"/>
    <w:rsid w:val="00DC5B94"/>
    <w:rsid w:val="00DC5BC9"/>
    <w:rsid w:val="00DC6004"/>
    <w:rsid w:val="00DC60FB"/>
    <w:rsid w:val="00DC61AE"/>
    <w:rsid w:val="00DC61CE"/>
    <w:rsid w:val="00DC6410"/>
    <w:rsid w:val="00DC6427"/>
    <w:rsid w:val="00DC64F9"/>
    <w:rsid w:val="00DC654B"/>
    <w:rsid w:val="00DC663B"/>
    <w:rsid w:val="00DC66F2"/>
    <w:rsid w:val="00DC6769"/>
    <w:rsid w:val="00DC682A"/>
    <w:rsid w:val="00DC69B1"/>
    <w:rsid w:val="00DC6A4E"/>
    <w:rsid w:val="00DC6B52"/>
    <w:rsid w:val="00DC6B63"/>
    <w:rsid w:val="00DC6BE1"/>
    <w:rsid w:val="00DC6FFC"/>
    <w:rsid w:val="00DC7040"/>
    <w:rsid w:val="00DC7128"/>
    <w:rsid w:val="00DC71CF"/>
    <w:rsid w:val="00DC762C"/>
    <w:rsid w:val="00DC7799"/>
    <w:rsid w:val="00DC798E"/>
    <w:rsid w:val="00DC7A6C"/>
    <w:rsid w:val="00DC7BAB"/>
    <w:rsid w:val="00DC7D96"/>
    <w:rsid w:val="00DC7EB5"/>
    <w:rsid w:val="00DD0020"/>
    <w:rsid w:val="00DD0107"/>
    <w:rsid w:val="00DD0430"/>
    <w:rsid w:val="00DD044B"/>
    <w:rsid w:val="00DD045E"/>
    <w:rsid w:val="00DD0500"/>
    <w:rsid w:val="00DD0607"/>
    <w:rsid w:val="00DD063A"/>
    <w:rsid w:val="00DD0969"/>
    <w:rsid w:val="00DD0FD6"/>
    <w:rsid w:val="00DD0FFE"/>
    <w:rsid w:val="00DD1225"/>
    <w:rsid w:val="00DD12CD"/>
    <w:rsid w:val="00DD140B"/>
    <w:rsid w:val="00DD16DB"/>
    <w:rsid w:val="00DD1787"/>
    <w:rsid w:val="00DD1924"/>
    <w:rsid w:val="00DD19F5"/>
    <w:rsid w:val="00DD1C89"/>
    <w:rsid w:val="00DD1E6D"/>
    <w:rsid w:val="00DD1F27"/>
    <w:rsid w:val="00DD2111"/>
    <w:rsid w:val="00DD2225"/>
    <w:rsid w:val="00DD237A"/>
    <w:rsid w:val="00DD268B"/>
    <w:rsid w:val="00DD277F"/>
    <w:rsid w:val="00DD29B2"/>
    <w:rsid w:val="00DD2AD1"/>
    <w:rsid w:val="00DD2BFB"/>
    <w:rsid w:val="00DD2C03"/>
    <w:rsid w:val="00DD2C2C"/>
    <w:rsid w:val="00DD2C71"/>
    <w:rsid w:val="00DD2D9F"/>
    <w:rsid w:val="00DD303A"/>
    <w:rsid w:val="00DD3136"/>
    <w:rsid w:val="00DD3143"/>
    <w:rsid w:val="00DD335B"/>
    <w:rsid w:val="00DD347A"/>
    <w:rsid w:val="00DD3684"/>
    <w:rsid w:val="00DD36A8"/>
    <w:rsid w:val="00DD378B"/>
    <w:rsid w:val="00DD3814"/>
    <w:rsid w:val="00DD39E2"/>
    <w:rsid w:val="00DD3A59"/>
    <w:rsid w:val="00DD3C0E"/>
    <w:rsid w:val="00DD3CA8"/>
    <w:rsid w:val="00DD3CCC"/>
    <w:rsid w:val="00DD3D20"/>
    <w:rsid w:val="00DD3F63"/>
    <w:rsid w:val="00DD4330"/>
    <w:rsid w:val="00DD4382"/>
    <w:rsid w:val="00DD43BD"/>
    <w:rsid w:val="00DD47B0"/>
    <w:rsid w:val="00DD48EE"/>
    <w:rsid w:val="00DD49F4"/>
    <w:rsid w:val="00DD4A5C"/>
    <w:rsid w:val="00DD4AC1"/>
    <w:rsid w:val="00DD4B0E"/>
    <w:rsid w:val="00DD4EEC"/>
    <w:rsid w:val="00DD4F17"/>
    <w:rsid w:val="00DD4FF6"/>
    <w:rsid w:val="00DD5086"/>
    <w:rsid w:val="00DD54B5"/>
    <w:rsid w:val="00DD556C"/>
    <w:rsid w:val="00DD55C7"/>
    <w:rsid w:val="00DD5643"/>
    <w:rsid w:val="00DD590E"/>
    <w:rsid w:val="00DD5966"/>
    <w:rsid w:val="00DD5ACF"/>
    <w:rsid w:val="00DD5D52"/>
    <w:rsid w:val="00DD5E3C"/>
    <w:rsid w:val="00DD5EE2"/>
    <w:rsid w:val="00DD5EE5"/>
    <w:rsid w:val="00DD6061"/>
    <w:rsid w:val="00DD6100"/>
    <w:rsid w:val="00DD624E"/>
    <w:rsid w:val="00DD62D1"/>
    <w:rsid w:val="00DD65AD"/>
    <w:rsid w:val="00DD66DC"/>
    <w:rsid w:val="00DD6849"/>
    <w:rsid w:val="00DD6A3C"/>
    <w:rsid w:val="00DD6A46"/>
    <w:rsid w:val="00DD6B6E"/>
    <w:rsid w:val="00DD6C8F"/>
    <w:rsid w:val="00DD6E56"/>
    <w:rsid w:val="00DD6F82"/>
    <w:rsid w:val="00DD71A0"/>
    <w:rsid w:val="00DD726C"/>
    <w:rsid w:val="00DD7311"/>
    <w:rsid w:val="00DD73E3"/>
    <w:rsid w:val="00DD74BB"/>
    <w:rsid w:val="00DD75DB"/>
    <w:rsid w:val="00DD772B"/>
    <w:rsid w:val="00DD773B"/>
    <w:rsid w:val="00DD788B"/>
    <w:rsid w:val="00DD78D4"/>
    <w:rsid w:val="00DD791E"/>
    <w:rsid w:val="00DD7A4A"/>
    <w:rsid w:val="00DD7D99"/>
    <w:rsid w:val="00DD7E1C"/>
    <w:rsid w:val="00DD7E1D"/>
    <w:rsid w:val="00DD7FCB"/>
    <w:rsid w:val="00DE00A7"/>
    <w:rsid w:val="00DE02D0"/>
    <w:rsid w:val="00DE04F4"/>
    <w:rsid w:val="00DE06DD"/>
    <w:rsid w:val="00DE06E6"/>
    <w:rsid w:val="00DE07B7"/>
    <w:rsid w:val="00DE08CC"/>
    <w:rsid w:val="00DE092B"/>
    <w:rsid w:val="00DE0931"/>
    <w:rsid w:val="00DE0B70"/>
    <w:rsid w:val="00DE0CA4"/>
    <w:rsid w:val="00DE0D95"/>
    <w:rsid w:val="00DE0E87"/>
    <w:rsid w:val="00DE0EAC"/>
    <w:rsid w:val="00DE0EF6"/>
    <w:rsid w:val="00DE0F3F"/>
    <w:rsid w:val="00DE11A2"/>
    <w:rsid w:val="00DE123D"/>
    <w:rsid w:val="00DE128D"/>
    <w:rsid w:val="00DE1891"/>
    <w:rsid w:val="00DE189A"/>
    <w:rsid w:val="00DE1B4E"/>
    <w:rsid w:val="00DE1B99"/>
    <w:rsid w:val="00DE1C2C"/>
    <w:rsid w:val="00DE1C9B"/>
    <w:rsid w:val="00DE1CB6"/>
    <w:rsid w:val="00DE21DC"/>
    <w:rsid w:val="00DE22A4"/>
    <w:rsid w:val="00DE24A4"/>
    <w:rsid w:val="00DE2ACB"/>
    <w:rsid w:val="00DE2B0F"/>
    <w:rsid w:val="00DE2BFC"/>
    <w:rsid w:val="00DE2D85"/>
    <w:rsid w:val="00DE2FCF"/>
    <w:rsid w:val="00DE2FE5"/>
    <w:rsid w:val="00DE32C8"/>
    <w:rsid w:val="00DE3303"/>
    <w:rsid w:val="00DE3403"/>
    <w:rsid w:val="00DE343A"/>
    <w:rsid w:val="00DE3457"/>
    <w:rsid w:val="00DE3522"/>
    <w:rsid w:val="00DE38D2"/>
    <w:rsid w:val="00DE3A93"/>
    <w:rsid w:val="00DE3C95"/>
    <w:rsid w:val="00DE3E27"/>
    <w:rsid w:val="00DE3EBF"/>
    <w:rsid w:val="00DE3FFC"/>
    <w:rsid w:val="00DE4008"/>
    <w:rsid w:val="00DE4070"/>
    <w:rsid w:val="00DE4100"/>
    <w:rsid w:val="00DE4151"/>
    <w:rsid w:val="00DE41D4"/>
    <w:rsid w:val="00DE4499"/>
    <w:rsid w:val="00DE44AA"/>
    <w:rsid w:val="00DE44C8"/>
    <w:rsid w:val="00DE4544"/>
    <w:rsid w:val="00DE4581"/>
    <w:rsid w:val="00DE4763"/>
    <w:rsid w:val="00DE47BF"/>
    <w:rsid w:val="00DE497A"/>
    <w:rsid w:val="00DE4A59"/>
    <w:rsid w:val="00DE4CE4"/>
    <w:rsid w:val="00DE4DE2"/>
    <w:rsid w:val="00DE4E8B"/>
    <w:rsid w:val="00DE4FA3"/>
    <w:rsid w:val="00DE5044"/>
    <w:rsid w:val="00DE5283"/>
    <w:rsid w:val="00DE550A"/>
    <w:rsid w:val="00DE580B"/>
    <w:rsid w:val="00DE590F"/>
    <w:rsid w:val="00DE5AEB"/>
    <w:rsid w:val="00DE5CB5"/>
    <w:rsid w:val="00DE5EA6"/>
    <w:rsid w:val="00DE5EAD"/>
    <w:rsid w:val="00DE5EAF"/>
    <w:rsid w:val="00DE5F4D"/>
    <w:rsid w:val="00DE5FDC"/>
    <w:rsid w:val="00DE608B"/>
    <w:rsid w:val="00DE6192"/>
    <w:rsid w:val="00DE6439"/>
    <w:rsid w:val="00DE645C"/>
    <w:rsid w:val="00DE646F"/>
    <w:rsid w:val="00DE657F"/>
    <w:rsid w:val="00DE6654"/>
    <w:rsid w:val="00DE67C2"/>
    <w:rsid w:val="00DE6A15"/>
    <w:rsid w:val="00DE6CAF"/>
    <w:rsid w:val="00DE7090"/>
    <w:rsid w:val="00DE714E"/>
    <w:rsid w:val="00DE72A7"/>
    <w:rsid w:val="00DE7346"/>
    <w:rsid w:val="00DE74CF"/>
    <w:rsid w:val="00DE773D"/>
    <w:rsid w:val="00DE786D"/>
    <w:rsid w:val="00DE786E"/>
    <w:rsid w:val="00DE78C4"/>
    <w:rsid w:val="00DE78D9"/>
    <w:rsid w:val="00DE798D"/>
    <w:rsid w:val="00DE79FB"/>
    <w:rsid w:val="00DE7A01"/>
    <w:rsid w:val="00DE7A4F"/>
    <w:rsid w:val="00DE7AD0"/>
    <w:rsid w:val="00DE7B9B"/>
    <w:rsid w:val="00DE7BC2"/>
    <w:rsid w:val="00DE7E26"/>
    <w:rsid w:val="00DF000C"/>
    <w:rsid w:val="00DF00DB"/>
    <w:rsid w:val="00DF0137"/>
    <w:rsid w:val="00DF0208"/>
    <w:rsid w:val="00DF02AA"/>
    <w:rsid w:val="00DF0371"/>
    <w:rsid w:val="00DF0478"/>
    <w:rsid w:val="00DF05D0"/>
    <w:rsid w:val="00DF0663"/>
    <w:rsid w:val="00DF0781"/>
    <w:rsid w:val="00DF084F"/>
    <w:rsid w:val="00DF0897"/>
    <w:rsid w:val="00DF0A0D"/>
    <w:rsid w:val="00DF0A50"/>
    <w:rsid w:val="00DF0B10"/>
    <w:rsid w:val="00DF0BEE"/>
    <w:rsid w:val="00DF0C2C"/>
    <w:rsid w:val="00DF0CDF"/>
    <w:rsid w:val="00DF0CE3"/>
    <w:rsid w:val="00DF0D53"/>
    <w:rsid w:val="00DF0E79"/>
    <w:rsid w:val="00DF0EE1"/>
    <w:rsid w:val="00DF0EE6"/>
    <w:rsid w:val="00DF1015"/>
    <w:rsid w:val="00DF13AE"/>
    <w:rsid w:val="00DF1596"/>
    <w:rsid w:val="00DF18D9"/>
    <w:rsid w:val="00DF1931"/>
    <w:rsid w:val="00DF1A0E"/>
    <w:rsid w:val="00DF1A2C"/>
    <w:rsid w:val="00DF1A57"/>
    <w:rsid w:val="00DF1C1C"/>
    <w:rsid w:val="00DF1CC7"/>
    <w:rsid w:val="00DF1D35"/>
    <w:rsid w:val="00DF1DC5"/>
    <w:rsid w:val="00DF1E95"/>
    <w:rsid w:val="00DF1EC7"/>
    <w:rsid w:val="00DF200F"/>
    <w:rsid w:val="00DF201D"/>
    <w:rsid w:val="00DF2202"/>
    <w:rsid w:val="00DF2308"/>
    <w:rsid w:val="00DF233F"/>
    <w:rsid w:val="00DF23B3"/>
    <w:rsid w:val="00DF23BC"/>
    <w:rsid w:val="00DF23FB"/>
    <w:rsid w:val="00DF2486"/>
    <w:rsid w:val="00DF2491"/>
    <w:rsid w:val="00DF24D2"/>
    <w:rsid w:val="00DF2537"/>
    <w:rsid w:val="00DF2654"/>
    <w:rsid w:val="00DF2749"/>
    <w:rsid w:val="00DF2B66"/>
    <w:rsid w:val="00DF2D7D"/>
    <w:rsid w:val="00DF2DF6"/>
    <w:rsid w:val="00DF301A"/>
    <w:rsid w:val="00DF30EF"/>
    <w:rsid w:val="00DF313A"/>
    <w:rsid w:val="00DF32F4"/>
    <w:rsid w:val="00DF33C0"/>
    <w:rsid w:val="00DF3470"/>
    <w:rsid w:val="00DF3533"/>
    <w:rsid w:val="00DF3787"/>
    <w:rsid w:val="00DF3796"/>
    <w:rsid w:val="00DF3836"/>
    <w:rsid w:val="00DF383F"/>
    <w:rsid w:val="00DF39BB"/>
    <w:rsid w:val="00DF39C3"/>
    <w:rsid w:val="00DF3AE5"/>
    <w:rsid w:val="00DF3CCC"/>
    <w:rsid w:val="00DF3DD0"/>
    <w:rsid w:val="00DF4051"/>
    <w:rsid w:val="00DF4334"/>
    <w:rsid w:val="00DF44D8"/>
    <w:rsid w:val="00DF44DE"/>
    <w:rsid w:val="00DF4520"/>
    <w:rsid w:val="00DF45FA"/>
    <w:rsid w:val="00DF463B"/>
    <w:rsid w:val="00DF47CB"/>
    <w:rsid w:val="00DF4959"/>
    <w:rsid w:val="00DF495D"/>
    <w:rsid w:val="00DF4B32"/>
    <w:rsid w:val="00DF4E1D"/>
    <w:rsid w:val="00DF4F52"/>
    <w:rsid w:val="00DF4FB1"/>
    <w:rsid w:val="00DF501F"/>
    <w:rsid w:val="00DF50A3"/>
    <w:rsid w:val="00DF5191"/>
    <w:rsid w:val="00DF5486"/>
    <w:rsid w:val="00DF54B5"/>
    <w:rsid w:val="00DF5890"/>
    <w:rsid w:val="00DF5913"/>
    <w:rsid w:val="00DF59AD"/>
    <w:rsid w:val="00DF5A4C"/>
    <w:rsid w:val="00DF5ADA"/>
    <w:rsid w:val="00DF5B58"/>
    <w:rsid w:val="00DF5B6C"/>
    <w:rsid w:val="00DF5BF4"/>
    <w:rsid w:val="00DF5C5C"/>
    <w:rsid w:val="00DF5D8D"/>
    <w:rsid w:val="00DF5D95"/>
    <w:rsid w:val="00DF621E"/>
    <w:rsid w:val="00DF6346"/>
    <w:rsid w:val="00DF6397"/>
    <w:rsid w:val="00DF6421"/>
    <w:rsid w:val="00DF6481"/>
    <w:rsid w:val="00DF6582"/>
    <w:rsid w:val="00DF66C9"/>
    <w:rsid w:val="00DF6797"/>
    <w:rsid w:val="00DF67B7"/>
    <w:rsid w:val="00DF6933"/>
    <w:rsid w:val="00DF6AF9"/>
    <w:rsid w:val="00DF6B16"/>
    <w:rsid w:val="00DF6BAD"/>
    <w:rsid w:val="00DF6D2C"/>
    <w:rsid w:val="00DF6D3F"/>
    <w:rsid w:val="00DF6E41"/>
    <w:rsid w:val="00DF6FB1"/>
    <w:rsid w:val="00DF6FB9"/>
    <w:rsid w:val="00DF7424"/>
    <w:rsid w:val="00DF7632"/>
    <w:rsid w:val="00DF7681"/>
    <w:rsid w:val="00DF773E"/>
    <w:rsid w:val="00DF7838"/>
    <w:rsid w:val="00DF7873"/>
    <w:rsid w:val="00DF79F1"/>
    <w:rsid w:val="00DF7BAD"/>
    <w:rsid w:val="00DF7BD4"/>
    <w:rsid w:val="00DF7C52"/>
    <w:rsid w:val="00DF7E23"/>
    <w:rsid w:val="00DF7F89"/>
    <w:rsid w:val="00E00188"/>
    <w:rsid w:val="00E002CC"/>
    <w:rsid w:val="00E006C9"/>
    <w:rsid w:val="00E006E6"/>
    <w:rsid w:val="00E007B4"/>
    <w:rsid w:val="00E008D0"/>
    <w:rsid w:val="00E009CB"/>
    <w:rsid w:val="00E00A8A"/>
    <w:rsid w:val="00E00C00"/>
    <w:rsid w:val="00E00C51"/>
    <w:rsid w:val="00E00CFA"/>
    <w:rsid w:val="00E00CFF"/>
    <w:rsid w:val="00E00D33"/>
    <w:rsid w:val="00E00D3E"/>
    <w:rsid w:val="00E00D6C"/>
    <w:rsid w:val="00E00ED9"/>
    <w:rsid w:val="00E00F69"/>
    <w:rsid w:val="00E00F74"/>
    <w:rsid w:val="00E01374"/>
    <w:rsid w:val="00E0156B"/>
    <w:rsid w:val="00E01575"/>
    <w:rsid w:val="00E01588"/>
    <w:rsid w:val="00E0174A"/>
    <w:rsid w:val="00E017CA"/>
    <w:rsid w:val="00E017F8"/>
    <w:rsid w:val="00E019D3"/>
    <w:rsid w:val="00E01C6C"/>
    <w:rsid w:val="00E01C83"/>
    <w:rsid w:val="00E01C9C"/>
    <w:rsid w:val="00E01CF9"/>
    <w:rsid w:val="00E01DE0"/>
    <w:rsid w:val="00E01EEC"/>
    <w:rsid w:val="00E0212E"/>
    <w:rsid w:val="00E02271"/>
    <w:rsid w:val="00E027CB"/>
    <w:rsid w:val="00E027CF"/>
    <w:rsid w:val="00E0282A"/>
    <w:rsid w:val="00E02AE6"/>
    <w:rsid w:val="00E02CD4"/>
    <w:rsid w:val="00E02E7D"/>
    <w:rsid w:val="00E0311C"/>
    <w:rsid w:val="00E031A6"/>
    <w:rsid w:val="00E0334E"/>
    <w:rsid w:val="00E033FF"/>
    <w:rsid w:val="00E0396F"/>
    <w:rsid w:val="00E039AF"/>
    <w:rsid w:val="00E03BD8"/>
    <w:rsid w:val="00E03D51"/>
    <w:rsid w:val="00E03F57"/>
    <w:rsid w:val="00E0401E"/>
    <w:rsid w:val="00E040A3"/>
    <w:rsid w:val="00E04355"/>
    <w:rsid w:val="00E044B2"/>
    <w:rsid w:val="00E04543"/>
    <w:rsid w:val="00E04552"/>
    <w:rsid w:val="00E049AB"/>
    <w:rsid w:val="00E049FD"/>
    <w:rsid w:val="00E04C36"/>
    <w:rsid w:val="00E04E14"/>
    <w:rsid w:val="00E04E86"/>
    <w:rsid w:val="00E05036"/>
    <w:rsid w:val="00E05055"/>
    <w:rsid w:val="00E05181"/>
    <w:rsid w:val="00E051B2"/>
    <w:rsid w:val="00E05291"/>
    <w:rsid w:val="00E052B5"/>
    <w:rsid w:val="00E052E2"/>
    <w:rsid w:val="00E05305"/>
    <w:rsid w:val="00E05397"/>
    <w:rsid w:val="00E053DD"/>
    <w:rsid w:val="00E05525"/>
    <w:rsid w:val="00E056A5"/>
    <w:rsid w:val="00E05815"/>
    <w:rsid w:val="00E0586F"/>
    <w:rsid w:val="00E05CB2"/>
    <w:rsid w:val="00E05D27"/>
    <w:rsid w:val="00E05DB0"/>
    <w:rsid w:val="00E05DC4"/>
    <w:rsid w:val="00E05E4E"/>
    <w:rsid w:val="00E0609E"/>
    <w:rsid w:val="00E0618E"/>
    <w:rsid w:val="00E06373"/>
    <w:rsid w:val="00E063EF"/>
    <w:rsid w:val="00E06649"/>
    <w:rsid w:val="00E0692A"/>
    <w:rsid w:val="00E069B2"/>
    <w:rsid w:val="00E06A21"/>
    <w:rsid w:val="00E06A34"/>
    <w:rsid w:val="00E06BFB"/>
    <w:rsid w:val="00E06F07"/>
    <w:rsid w:val="00E06F53"/>
    <w:rsid w:val="00E06FC5"/>
    <w:rsid w:val="00E0737A"/>
    <w:rsid w:val="00E07490"/>
    <w:rsid w:val="00E07545"/>
    <w:rsid w:val="00E076BA"/>
    <w:rsid w:val="00E0779B"/>
    <w:rsid w:val="00E077CC"/>
    <w:rsid w:val="00E079AF"/>
    <w:rsid w:val="00E07C8C"/>
    <w:rsid w:val="00E07CF9"/>
    <w:rsid w:val="00E07D9F"/>
    <w:rsid w:val="00E07E20"/>
    <w:rsid w:val="00E07E63"/>
    <w:rsid w:val="00E07F4A"/>
    <w:rsid w:val="00E10070"/>
    <w:rsid w:val="00E102E7"/>
    <w:rsid w:val="00E1031E"/>
    <w:rsid w:val="00E1033D"/>
    <w:rsid w:val="00E104B6"/>
    <w:rsid w:val="00E10626"/>
    <w:rsid w:val="00E107D6"/>
    <w:rsid w:val="00E107DB"/>
    <w:rsid w:val="00E108C7"/>
    <w:rsid w:val="00E10939"/>
    <w:rsid w:val="00E109C0"/>
    <w:rsid w:val="00E10A31"/>
    <w:rsid w:val="00E10BA9"/>
    <w:rsid w:val="00E10DA2"/>
    <w:rsid w:val="00E1120C"/>
    <w:rsid w:val="00E11253"/>
    <w:rsid w:val="00E11320"/>
    <w:rsid w:val="00E11416"/>
    <w:rsid w:val="00E11662"/>
    <w:rsid w:val="00E11695"/>
    <w:rsid w:val="00E116AA"/>
    <w:rsid w:val="00E1176E"/>
    <w:rsid w:val="00E117A7"/>
    <w:rsid w:val="00E11891"/>
    <w:rsid w:val="00E11C56"/>
    <w:rsid w:val="00E11CC1"/>
    <w:rsid w:val="00E11CD4"/>
    <w:rsid w:val="00E11DDF"/>
    <w:rsid w:val="00E11DF8"/>
    <w:rsid w:val="00E11F47"/>
    <w:rsid w:val="00E120DB"/>
    <w:rsid w:val="00E122B3"/>
    <w:rsid w:val="00E12585"/>
    <w:rsid w:val="00E125DF"/>
    <w:rsid w:val="00E1262A"/>
    <w:rsid w:val="00E12716"/>
    <w:rsid w:val="00E1276F"/>
    <w:rsid w:val="00E12775"/>
    <w:rsid w:val="00E12875"/>
    <w:rsid w:val="00E12886"/>
    <w:rsid w:val="00E12937"/>
    <w:rsid w:val="00E12B29"/>
    <w:rsid w:val="00E12CB3"/>
    <w:rsid w:val="00E12E99"/>
    <w:rsid w:val="00E12ECB"/>
    <w:rsid w:val="00E12FE7"/>
    <w:rsid w:val="00E1309C"/>
    <w:rsid w:val="00E13296"/>
    <w:rsid w:val="00E1338D"/>
    <w:rsid w:val="00E133A3"/>
    <w:rsid w:val="00E133A9"/>
    <w:rsid w:val="00E13405"/>
    <w:rsid w:val="00E1374B"/>
    <w:rsid w:val="00E13784"/>
    <w:rsid w:val="00E1382A"/>
    <w:rsid w:val="00E138D9"/>
    <w:rsid w:val="00E13928"/>
    <w:rsid w:val="00E13A68"/>
    <w:rsid w:val="00E13AD9"/>
    <w:rsid w:val="00E13BC8"/>
    <w:rsid w:val="00E13D12"/>
    <w:rsid w:val="00E13D36"/>
    <w:rsid w:val="00E13D6F"/>
    <w:rsid w:val="00E13DC8"/>
    <w:rsid w:val="00E13E43"/>
    <w:rsid w:val="00E13F4C"/>
    <w:rsid w:val="00E14076"/>
    <w:rsid w:val="00E14078"/>
    <w:rsid w:val="00E141A6"/>
    <w:rsid w:val="00E14572"/>
    <w:rsid w:val="00E14653"/>
    <w:rsid w:val="00E147EA"/>
    <w:rsid w:val="00E14983"/>
    <w:rsid w:val="00E14D49"/>
    <w:rsid w:val="00E14DFD"/>
    <w:rsid w:val="00E14E35"/>
    <w:rsid w:val="00E14F71"/>
    <w:rsid w:val="00E14FCA"/>
    <w:rsid w:val="00E15143"/>
    <w:rsid w:val="00E15331"/>
    <w:rsid w:val="00E1538A"/>
    <w:rsid w:val="00E15812"/>
    <w:rsid w:val="00E158E5"/>
    <w:rsid w:val="00E159D5"/>
    <w:rsid w:val="00E15A95"/>
    <w:rsid w:val="00E15B3D"/>
    <w:rsid w:val="00E15BCF"/>
    <w:rsid w:val="00E15DFE"/>
    <w:rsid w:val="00E15E0E"/>
    <w:rsid w:val="00E161D1"/>
    <w:rsid w:val="00E1634A"/>
    <w:rsid w:val="00E164F4"/>
    <w:rsid w:val="00E166AB"/>
    <w:rsid w:val="00E16733"/>
    <w:rsid w:val="00E1680A"/>
    <w:rsid w:val="00E16847"/>
    <w:rsid w:val="00E1692F"/>
    <w:rsid w:val="00E16D80"/>
    <w:rsid w:val="00E16D96"/>
    <w:rsid w:val="00E1712D"/>
    <w:rsid w:val="00E17339"/>
    <w:rsid w:val="00E17370"/>
    <w:rsid w:val="00E17542"/>
    <w:rsid w:val="00E17644"/>
    <w:rsid w:val="00E176F7"/>
    <w:rsid w:val="00E1775E"/>
    <w:rsid w:val="00E177BC"/>
    <w:rsid w:val="00E178DA"/>
    <w:rsid w:val="00E17914"/>
    <w:rsid w:val="00E17E87"/>
    <w:rsid w:val="00E17F03"/>
    <w:rsid w:val="00E17F07"/>
    <w:rsid w:val="00E200C3"/>
    <w:rsid w:val="00E20257"/>
    <w:rsid w:val="00E203D2"/>
    <w:rsid w:val="00E2064B"/>
    <w:rsid w:val="00E20745"/>
    <w:rsid w:val="00E207E6"/>
    <w:rsid w:val="00E209B5"/>
    <w:rsid w:val="00E20A15"/>
    <w:rsid w:val="00E20B50"/>
    <w:rsid w:val="00E20B90"/>
    <w:rsid w:val="00E20BD8"/>
    <w:rsid w:val="00E20BE5"/>
    <w:rsid w:val="00E20D90"/>
    <w:rsid w:val="00E20E50"/>
    <w:rsid w:val="00E20F62"/>
    <w:rsid w:val="00E20FAC"/>
    <w:rsid w:val="00E2125A"/>
    <w:rsid w:val="00E21469"/>
    <w:rsid w:val="00E214E3"/>
    <w:rsid w:val="00E21A2C"/>
    <w:rsid w:val="00E21BF2"/>
    <w:rsid w:val="00E21D38"/>
    <w:rsid w:val="00E21E21"/>
    <w:rsid w:val="00E21E66"/>
    <w:rsid w:val="00E21E9D"/>
    <w:rsid w:val="00E22005"/>
    <w:rsid w:val="00E22037"/>
    <w:rsid w:val="00E220A5"/>
    <w:rsid w:val="00E2214F"/>
    <w:rsid w:val="00E22195"/>
    <w:rsid w:val="00E2243B"/>
    <w:rsid w:val="00E2248A"/>
    <w:rsid w:val="00E225B7"/>
    <w:rsid w:val="00E225EB"/>
    <w:rsid w:val="00E226A1"/>
    <w:rsid w:val="00E226F4"/>
    <w:rsid w:val="00E2274F"/>
    <w:rsid w:val="00E227CE"/>
    <w:rsid w:val="00E22866"/>
    <w:rsid w:val="00E22B6D"/>
    <w:rsid w:val="00E22F66"/>
    <w:rsid w:val="00E230C1"/>
    <w:rsid w:val="00E230CB"/>
    <w:rsid w:val="00E231F5"/>
    <w:rsid w:val="00E23300"/>
    <w:rsid w:val="00E23497"/>
    <w:rsid w:val="00E234FB"/>
    <w:rsid w:val="00E2352F"/>
    <w:rsid w:val="00E23686"/>
    <w:rsid w:val="00E237DA"/>
    <w:rsid w:val="00E23944"/>
    <w:rsid w:val="00E23AF1"/>
    <w:rsid w:val="00E23B71"/>
    <w:rsid w:val="00E23BA5"/>
    <w:rsid w:val="00E23C0B"/>
    <w:rsid w:val="00E23C23"/>
    <w:rsid w:val="00E23C84"/>
    <w:rsid w:val="00E23D5A"/>
    <w:rsid w:val="00E23DB4"/>
    <w:rsid w:val="00E23DF1"/>
    <w:rsid w:val="00E23EDB"/>
    <w:rsid w:val="00E23EE4"/>
    <w:rsid w:val="00E23F32"/>
    <w:rsid w:val="00E23FC2"/>
    <w:rsid w:val="00E23FE0"/>
    <w:rsid w:val="00E241F3"/>
    <w:rsid w:val="00E24210"/>
    <w:rsid w:val="00E24394"/>
    <w:rsid w:val="00E24450"/>
    <w:rsid w:val="00E2451A"/>
    <w:rsid w:val="00E24594"/>
    <w:rsid w:val="00E247CD"/>
    <w:rsid w:val="00E2481C"/>
    <w:rsid w:val="00E24976"/>
    <w:rsid w:val="00E24CF0"/>
    <w:rsid w:val="00E24DB0"/>
    <w:rsid w:val="00E2501E"/>
    <w:rsid w:val="00E25150"/>
    <w:rsid w:val="00E252CF"/>
    <w:rsid w:val="00E25488"/>
    <w:rsid w:val="00E254C4"/>
    <w:rsid w:val="00E2565A"/>
    <w:rsid w:val="00E25662"/>
    <w:rsid w:val="00E25677"/>
    <w:rsid w:val="00E258C6"/>
    <w:rsid w:val="00E25A24"/>
    <w:rsid w:val="00E25B75"/>
    <w:rsid w:val="00E25B9C"/>
    <w:rsid w:val="00E25C6D"/>
    <w:rsid w:val="00E25C94"/>
    <w:rsid w:val="00E25E85"/>
    <w:rsid w:val="00E25F05"/>
    <w:rsid w:val="00E26215"/>
    <w:rsid w:val="00E2625E"/>
    <w:rsid w:val="00E2627C"/>
    <w:rsid w:val="00E26381"/>
    <w:rsid w:val="00E26427"/>
    <w:rsid w:val="00E26428"/>
    <w:rsid w:val="00E26617"/>
    <w:rsid w:val="00E2661D"/>
    <w:rsid w:val="00E26859"/>
    <w:rsid w:val="00E26A00"/>
    <w:rsid w:val="00E26B7D"/>
    <w:rsid w:val="00E270CF"/>
    <w:rsid w:val="00E27261"/>
    <w:rsid w:val="00E27351"/>
    <w:rsid w:val="00E275F7"/>
    <w:rsid w:val="00E276F0"/>
    <w:rsid w:val="00E27923"/>
    <w:rsid w:val="00E27925"/>
    <w:rsid w:val="00E279B9"/>
    <w:rsid w:val="00E27A94"/>
    <w:rsid w:val="00E27BE3"/>
    <w:rsid w:val="00E27E20"/>
    <w:rsid w:val="00E27F22"/>
    <w:rsid w:val="00E3003D"/>
    <w:rsid w:val="00E30296"/>
    <w:rsid w:val="00E30405"/>
    <w:rsid w:val="00E30537"/>
    <w:rsid w:val="00E30541"/>
    <w:rsid w:val="00E306DC"/>
    <w:rsid w:val="00E3080E"/>
    <w:rsid w:val="00E30A4A"/>
    <w:rsid w:val="00E30B6A"/>
    <w:rsid w:val="00E30CD6"/>
    <w:rsid w:val="00E30DFC"/>
    <w:rsid w:val="00E30EC3"/>
    <w:rsid w:val="00E30F04"/>
    <w:rsid w:val="00E30F24"/>
    <w:rsid w:val="00E3104D"/>
    <w:rsid w:val="00E31082"/>
    <w:rsid w:val="00E3151C"/>
    <w:rsid w:val="00E316D8"/>
    <w:rsid w:val="00E31764"/>
    <w:rsid w:val="00E31770"/>
    <w:rsid w:val="00E3177D"/>
    <w:rsid w:val="00E317A5"/>
    <w:rsid w:val="00E31872"/>
    <w:rsid w:val="00E318D3"/>
    <w:rsid w:val="00E31C41"/>
    <w:rsid w:val="00E31D60"/>
    <w:rsid w:val="00E31DCB"/>
    <w:rsid w:val="00E31DF6"/>
    <w:rsid w:val="00E31F77"/>
    <w:rsid w:val="00E320EE"/>
    <w:rsid w:val="00E3221C"/>
    <w:rsid w:val="00E32331"/>
    <w:rsid w:val="00E32430"/>
    <w:rsid w:val="00E324C7"/>
    <w:rsid w:val="00E325A1"/>
    <w:rsid w:val="00E32640"/>
    <w:rsid w:val="00E32716"/>
    <w:rsid w:val="00E3297C"/>
    <w:rsid w:val="00E32BC6"/>
    <w:rsid w:val="00E32C89"/>
    <w:rsid w:val="00E32E84"/>
    <w:rsid w:val="00E32FBE"/>
    <w:rsid w:val="00E32FF3"/>
    <w:rsid w:val="00E331AA"/>
    <w:rsid w:val="00E33566"/>
    <w:rsid w:val="00E33593"/>
    <w:rsid w:val="00E336FB"/>
    <w:rsid w:val="00E33735"/>
    <w:rsid w:val="00E33740"/>
    <w:rsid w:val="00E337FA"/>
    <w:rsid w:val="00E33C5F"/>
    <w:rsid w:val="00E33C71"/>
    <w:rsid w:val="00E33E6A"/>
    <w:rsid w:val="00E33EF7"/>
    <w:rsid w:val="00E340BD"/>
    <w:rsid w:val="00E34168"/>
    <w:rsid w:val="00E341FB"/>
    <w:rsid w:val="00E3457B"/>
    <w:rsid w:val="00E3494C"/>
    <w:rsid w:val="00E34C1C"/>
    <w:rsid w:val="00E35138"/>
    <w:rsid w:val="00E351C3"/>
    <w:rsid w:val="00E35210"/>
    <w:rsid w:val="00E3526C"/>
    <w:rsid w:val="00E353DF"/>
    <w:rsid w:val="00E35423"/>
    <w:rsid w:val="00E354FD"/>
    <w:rsid w:val="00E35620"/>
    <w:rsid w:val="00E35864"/>
    <w:rsid w:val="00E3588F"/>
    <w:rsid w:val="00E35BAD"/>
    <w:rsid w:val="00E35C98"/>
    <w:rsid w:val="00E35DDD"/>
    <w:rsid w:val="00E3609C"/>
    <w:rsid w:val="00E36130"/>
    <w:rsid w:val="00E3643F"/>
    <w:rsid w:val="00E364BE"/>
    <w:rsid w:val="00E364CC"/>
    <w:rsid w:val="00E3666D"/>
    <w:rsid w:val="00E36882"/>
    <w:rsid w:val="00E36885"/>
    <w:rsid w:val="00E3688F"/>
    <w:rsid w:val="00E36965"/>
    <w:rsid w:val="00E36A79"/>
    <w:rsid w:val="00E36AA0"/>
    <w:rsid w:val="00E36B1C"/>
    <w:rsid w:val="00E36C40"/>
    <w:rsid w:val="00E36CFA"/>
    <w:rsid w:val="00E36D11"/>
    <w:rsid w:val="00E36D31"/>
    <w:rsid w:val="00E36DB6"/>
    <w:rsid w:val="00E3727C"/>
    <w:rsid w:val="00E372DD"/>
    <w:rsid w:val="00E37361"/>
    <w:rsid w:val="00E37397"/>
    <w:rsid w:val="00E37435"/>
    <w:rsid w:val="00E37821"/>
    <w:rsid w:val="00E37CC5"/>
    <w:rsid w:val="00E37D35"/>
    <w:rsid w:val="00E37E0F"/>
    <w:rsid w:val="00E37E3B"/>
    <w:rsid w:val="00E37F2F"/>
    <w:rsid w:val="00E40054"/>
    <w:rsid w:val="00E4035D"/>
    <w:rsid w:val="00E4035E"/>
    <w:rsid w:val="00E40452"/>
    <w:rsid w:val="00E40750"/>
    <w:rsid w:val="00E407C1"/>
    <w:rsid w:val="00E408F8"/>
    <w:rsid w:val="00E40B0B"/>
    <w:rsid w:val="00E40B36"/>
    <w:rsid w:val="00E40BD9"/>
    <w:rsid w:val="00E40D02"/>
    <w:rsid w:val="00E40DE5"/>
    <w:rsid w:val="00E40F1C"/>
    <w:rsid w:val="00E40F22"/>
    <w:rsid w:val="00E40F2F"/>
    <w:rsid w:val="00E40FF8"/>
    <w:rsid w:val="00E411AB"/>
    <w:rsid w:val="00E4138C"/>
    <w:rsid w:val="00E41514"/>
    <w:rsid w:val="00E41993"/>
    <w:rsid w:val="00E41AC1"/>
    <w:rsid w:val="00E41B06"/>
    <w:rsid w:val="00E41B40"/>
    <w:rsid w:val="00E41C8F"/>
    <w:rsid w:val="00E41E6B"/>
    <w:rsid w:val="00E41FAD"/>
    <w:rsid w:val="00E41FDA"/>
    <w:rsid w:val="00E42009"/>
    <w:rsid w:val="00E42108"/>
    <w:rsid w:val="00E425CC"/>
    <w:rsid w:val="00E4282D"/>
    <w:rsid w:val="00E42BEC"/>
    <w:rsid w:val="00E42DAC"/>
    <w:rsid w:val="00E42E00"/>
    <w:rsid w:val="00E42E49"/>
    <w:rsid w:val="00E42EB2"/>
    <w:rsid w:val="00E43094"/>
    <w:rsid w:val="00E431CA"/>
    <w:rsid w:val="00E434E5"/>
    <w:rsid w:val="00E43625"/>
    <w:rsid w:val="00E437A5"/>
    <w:rsid w:val="00E4386D"/>
    <w:rsid w:val="00E43CC1"/>
    <w:rsid w:val="00E43F3D"/>
    <w:rsid w:val="00E44001"/>
    <w:rsid w:val="00E44144"/>
    <w:rsid w:val="00E44586"/>
    <w:rsid w:val="00E44661"/>
    <w:rsid w:val="00E4477A"/>
    <w:rsid w:val="00E44897"/>
    <w:rsid w:val="00E44949"/>
    <w:rsid w:val="00E44A47"/>
    <w:rsid w:val="00E44C7D"/>
    <w:rsid w:val="00E44D6B"/>
    <w:rsid w:val="00E44D87"/>
    <w:rsid w:val="00E44DA6"/>
    <w:rsid w:val="00E44EA6"/>
    <w:rsid w:val="00E44EEA"/>
    <w:rsid w:val="00E44F49"/>
    <w:rsid w:val="00E4505F"/>
    <w:rsid w:val="00E455A1"/>
    <w:rsid w:val="00E45866"/>
    <w:rsid w:val="00E45A9E"/>
    <w:rsid w:val="00E45C51"/>
    <w:rsid w:val="00E45CF9"/>
    <w:rsid w:val="00E45DC8"/>
    <w:rsid w:val="00E45DDA"/>
    <w:rsid w:val="00E45E57"/>
    <w:rsid w:val="00E45F9B"/>
    <w:rsid w:val="00E45FB1"/>
    <w:rsid w:val="00E45FD5"/>
    <w:rsid w:val="00E46119"/>
    <w:rsid w:val="00E46290"/>
    <w:rsid w:val="00E4635A"/>
    <w:rsid w:val="00E46626"/>
    <w:rsid w:val="00E46643"/>
    <w:rsid w:val="00E46746"/>
    <w:rsid w:val="00E4675C"/>
    <w:rsid w:val="00E46A0C"/>
    <w:rsid w:val="00E46A8C"/>
    <w:rsid w:val="00E46B12"/>
    <w:rsid w:val="00E46C56"/>
    <w:rsid w:val="00E46C9A"/>
    <w:rsid w:val="00E46CA6"/>
    <w:rsid w:val="00E47037"/>
    <w:rsid w:val="00E470F3"/>
    <w:rsid w:val="00E471AA"/>
    <w:rsid w:val="00E4737F"/>
    <w:rsid w:val="00E474BD"/>
    <w:rsid w:val="00E475A0"/>
    <w:rsid w:val="00E478CE"/>
    <w:rsid w:val="00E47A17"/>
    <w:rsid w:val="00E47A95"/>
    <w:rsid w:val="00E47B69"/>
    <w:rsid w:val="00E47B6E"/>
    <w:rsid w:val="00E47C7F"/>
    <w:rsid w:val="00E47EA5"/>
    <w:rsid w:val="00E47EE3"/>
    <w:rsid w:val="00E47FA5"/>
    <w:rsid w:val="00E47FC1"/>
    <w:rsid w:val="00E501F1"/>
    <w:rsid w:val="00E50254"/>
    <w:rsid w:val="00E50426"/>
    <w:rsid w:val="00E50557"/>
    <w:rsid w:val="00E506B9"/>
    <w:rsid w:val="00E506F8"/>
    <w:rsid w:val="00E50848"/>
    <w:rsid w:val="00E509D8"/>
    <w:rsid w:val="00E50AB0"/>
    <w:rsid w:val="00E50C6A"/>
    <w:rsid w:val="00E50E71"/>
    <w:rsid w:val="00E50FA6"/>
    <w:rsid w:val="00E5120E"/>
    <w:rsid w:val="00E5129B"/>
    <w:rsid w:val="00E514E3"/>
    <w:rsid w:val="00E517EE"/>
    <w:rsid w:val="00E51B04"/>
    <w:rsid w:val="00E51CB2"/>
    <w:rsid w:val="00E51DC2"/>
    <w:rsid w:val="00E51F4B"/>
    <w:rsid w:val="00E52006"/>
    <w:rsid w:val="00E5205F"/>
    <w:rsid w:val="00E520F7"/>
    <w:rsid w:val="00E52303"/>
    <w:rsid w:val="00E5234E"/>
    <w:rsid w:val="00E5239F"/>
    <w:rsid w:val="00E523DA"/>
    <w:rsid w:val="00E52654"/>
    <w:rsid w:val="00E526CE"/>
    <w:rsid w:val="00E527A4"/>
    <w:rsid w:val="00E52CCA"/>
    <w:rsid w:val="00E52D0C"/>
    <w:rsid w:val="00E52D4A"/>
    <w:rsid w:val="00E52E79"/>
    <w:rsid w:val="00E52EBE"/>
    <w:rsid w:val="00E53289"/>
    <w:rsid w:val="00E5332C"/>
    <w:rsid w:val="00E533FC"/>
    <w:rsid w:val="00E53A8B"/>
    <w:rsid w:val="00E53AB0"/>
    <w:rsid w:val="00E53B5A"/>
    <w:rsid w:val="00E53B8D"/>
    <w:rsid w:val="00E53BCD"/>
    <w:rsid w:val="00E53FE5"/>
    <w:rsid w:val="00E5409A"/>
    <w:rsid w:val="00E54104"/>
    <w:rsid w:val="00E541DA"/>
    <w:rsid w:val="00E54463"/>
    <w:rsid w:val="00E5486C"/>
    <w:rsid w:val="00E54B0A"/>
    <w:rsid w:val="00E54C33"/>
    <w:rsid w:val="00E54D85"/>
    <w:rsid w:val="00E54DD9"/>
    <w:rsid w:val="00E54E0B"/>
    <w:rsid w:val="00E54FE1"/>
    <w:rsid w:val="00E55023"/>
    <w:rsid w:val="00E5506C"/>
    <w:rsid w:val="00E5543F"/>
    <w:rsid w:val="00E55981"/>
    <w:rsid w:val="00E55F34"/>
    <w:rsid w:val="00E5603F"/>
    <w:rsid w:val="00E5614A"/>
    <w:rsid w:val="00E5621C"/>
    <w:rsid w:val="00E56229"/>
    <w:rsid w:val="00E562BA"/>
    <w:rsid w:val="00E5637B"/>
    <w:rsid w:val="00E564B2"/>
    <w:rsid w:val="00E56538"/>
    <w:rsid w:val="00E56851"/>
    <w:rsid w:val="00E56A85"/>
    <w:rsid w:val="00E56B3D"/>
    <w:rsid w:val="00E56B40"/>
    <w:rsid w:val="00E56B81"/>
    <w:rsid w:val="00E56C6E"/>
    <w:rsid w:val="00E56CBA"/>
    <w:rsid w:val="00E56DBB"/>
    <w:rsid w:val="00E56DD3"/>
    <w:rsid w:val="00E56EA4"/>
    <w:rsid w:val="00E57031"/>
    <w:rsid w:val="00E570B7"/>
    <w:rsid w:val="00E57138"/>
    <w:rsid w:val="00E571ED"/>
    <w:rsid w:val="00E5744A"/>
    <w:rsid w:val="00E57499"/>
    <w:rsid w:val="00E57579"/>
    <w:rsid w:val="00E57618"/>
    <w:rsid w:val="00E578E2"/>
    <w:rsid w:val="00E57A57"/>
    <w:rsid w:val="00E57B79"/>
    <w:rsid w:val="00E57EFA"/>
    <w:rsid w:val="00E57F46"/>
    <w:rsid w:val="00E60148"/>
    <w:rsid w:val="00E60211"/>
    <w:rsid w:val="00E6027B"/>
    <w:rsid w:val="00E6034C"/>
    <w:rsid w:val="00E60563"/>
    <w:rsid w:val="00E606BF"/>
    <w:rsid w:val="00E6070E"/>
    <w:rsid w:val="00E60A54"/>
    <w:rsid w:val="00E60DA7"/>
    <w:rsid w:val="00E60EEA"/>
    <w:rsid w:val="00E60F37"/>
    <w:rsid w:val="00E614CC"/>
    <w:rsid w:val="00E6153D"/>
    <w:rsid w:val="00E61587"/>
    <w:rsid w:val="00E61653"/>
    <w:rsid w:val="00E616DE"/>
    <w:rsid w:val="00E6178F"/>
    <w:rsid w:val="00E61881"/>
    <w:rsid w:val="00E61A85"/>
    <w:rsid w:val="00E61ACA"/>
    <w:rsid w:val="00E61AEC"/>
    <w:rsid w:val="00E61BEE"/>
    <w:rsid w:val="00E61C29"/>
    <w:rsid w:val="00E61D4F"/>
    <w:rsid w:val="00E61DD5"/>
    <w:rsid w:val="00E61E86"/>
    <w:rsid w:val="00E61FB4"/>
    <w:rsid w:val="00E62010"/>
    <w:rsid w:val="00E62111"/>
    <w:rsid w:val="00E622CB"/>
    <w:rsid w:val="00E622F6"/>
    <w:rsid w:val="00E62336"/>
    <w:rsid w:val="00E6237E"/>
    <w:rsid w:val="00E625DC"/>
    <w:rsid w:val="00E62624"/>
    <w:rsid w:val="00E626D3"/>
    <w:rsid w:val="00E62A89"/>
    <w:rsid w:val="00E62EA2"/>
    <w:rsid w:val="00E62F73"/>
    <w:rsid w:val="00E62FF7"/>
    <w:rsid w:val="00E630B7"/>
    <w:rsid w:val="00E630DC"/>
    <w:rsid w:val="00E6321E"/>
    <w:rsid w:val="00E63271"/>
    <w:rsid w:val="00E634AE"/>
    <w:rsid w:val="00E636A3"/>
    <w:rsid w:val="00E63708"/>
    <w:rsid w:val="00E6383C"/>
    <w:rsid w:val="00E63AB6"/>
    <w:rsid w:val="00E63BC5"/>
    <w:rsid w:val="00E63C39"/>
    <w:rsid w:val="00E63D14"/>
    <w:rsid w:val="00E63E87"/>
    <w:rsid w:val="00E63E8E"/>
    <w:rsid w:val="00E64015"/>
    <w:rsid w:val="00E6405E"/>
    <w:rsid w:val="00E640AF"/>
    <w:rsid w:val="00E6423C"/>
    <w:rsid w:val="00E644E0"/>
    <w:rsid w:val="00E646A1"/>
    <w:rsid w:val="00E64913"/>
    <w:rsid w:val="00E64928"/>
    <w:rsid w:val="00E64A11"/>
    <w:rsid w:val="00E64A58"/>
    <w:rsid w:val="00E64A9E"/>
    <w:rsid w:val="00E64AA6"/>
    <w:rsid w:val="00E64AB1"/>
    <w:rsid w:val="00E64ADF"/>
    <w:rsid w:val="00E64CBF"/>
    <w:rsid w:val="00E64CDC"/>
    <w:rsid w:val="00E64D2F"/>
    <w:rsid w:val="00E64DCE"/>
    <w:rsid w:val="00E65496"/>
    <w:rsid w:val="00E656D2"/>
    <w:rsid w:val="00E6572B"/>
    <w:rsid w:val="00E658C4"/>
    <w:rsid w:val="00E65977"/>
    <w:rsid w:val="00E65C7D"/>
    <w:rsid w:val="00E65D1E"/>
    <w:rsid w:val="00E65D9E"/>
    <w:rsid w:val="00E65EF5"/>
    <w:rsid w:val="00E65F4E"/>
    <w:rsid w:val="00E65FB3"/>
    <w:rsid w:val="00E65FFD"/>
    <w:rsid w:val="00E663D4"/>
    <w:rsid w:val="00E664D8"/>
    <w:rsid w:val="00E66648"/>
    <w:rsid w:val="00E6666F"/>
    <w:rsid w:val="00E668D2"/>
    <w:rsid w:val="00E66919"/>
    <w:rsid w:val="00E66A4B"/>
    <w:rsid w:val="00E66C7B"/>
    <w:rsid w:val="00E66DDE"/>
    <w:rsid w:val="00E66F4B"/>
    <w:rsid w:val="00E6706F"/>
    <w:rsid w:val="00E670D6"/>
    <w:rsid w:val="00E671AC"/>
    <w:rsid w:val="00E6738C"/>
    <w:rsid w:val="00E67476"/>
    <w:rsid w:val="00E67552"/>
    <w:rsid w:val="00E6786C"/>
    <w:rsid w:val="00E67BB8"/>
    <w:rsid w:val="00E67D37"/>
    <w:rsid w:val="00E67EE3"/>
    <w:rsid w:val="00E67F21"/>
    <w:rsid w:val="00E67FF2"/>
    <w:rsid w:val="00E70045"/>
    <w:rsid w:val="00E7013C"/>
    <w:rsid w:val="00E7017D"/>
    <w:rsid w:val="00E70654"/>
    <w:rsid w:val="00E706DB"/>
    <w:rsid w:val="00E707B6"/>
    <w:rsid w:val="00E70916"/>
    <w:rsid w:val="00E70932"/>
    <w:rsid w:val="00E70984"/>
    <w:rsid w:val="00E709C3"/>
    <w:rsid w:val="00E70A34"/>
    <w:rsid w:val="00E70CDC"/>
    <w:rsid w:val="00E70DA7"/>
    <w:rsid w:val="00E70E31"/>
    <w:rsid w:val="00E70EA1"/>
    <w:rsid w:val="00E7108D"/>
    <w:rsid w:val="00E712B7"/>
    <w:rsid w:val="00E7130D"/>
    <w:rsid w:val="00E71342"/>
    <w:rsid w:val="00E713A7"/>
    <w:rsid w:val="00E71411"/>
    <w:rsid w:val="00E7144F"/>
    <w:rsid w:val="00E71451"/>
    <w:rsid w:val="00E71477"/>
    <w:rsid w:val="00E71513"/>
    <w:rsid w:val="00E7152A"/>
    <w:rsid w:val="00E718D8"/>
    <w:rsid w:val="00E719FD"/>
    <w:rsid w:val="00E71C68"/>
    <w:rsid w:val="00E71DFF"/>
    <w:rsid w:val="00E71FBE"/>
    <w:rsid w:val="00E723C3"/>
    <w:rsid w:val="00E72451"/>
    <w:rsid w:val="00E7247F"/>
    <w:rsid w:val="00E72493"/>
    <w:rsid w:val="00E724A8"/>
    <w:rsid w:val="00E72845"/>
    <w:rsid w:val="00E728BB"/>
    <w:rsid w:val="00E72965"/>
    <w:rsid w:val="00E729B2"/>
    <w:rsid w:val="00E729D8"/>
    <w:rsid w:val="00E72A45"/>
    <w:rsid w:val="00E72A4A"/>
    <w:rsid w:val="00E72AE2"/>
    <w:rsid w:val="00E72B0A"/>
    <w:rsid w:val="00E72B4D"/>
    <w:rsid w:val="00E72CD8"/>
    <w:rsid w:val="00E72E30"/>
    <w:rsid w:val="00E72E59"/>
    <w:rsid w:val="00E72F24"/>
    <w:rsid w:val="00E72FE2"/>
    <w:rsid w:val="00E73019"/>
    <w:rsid w:val="00E730DA"/>
    <w:rsid w:val="00E7335A"/>
    <w:rsid w:val="00E736A3"/>
    <w:rsid w:val="00E73854"/>
    <w:rsid w:val="00E738F6"/>
    <w:rsid w:val="00E73AE4"/>
    <w:rsid w:val="00E73AF0"/>
    <w:rsid w:val="00E73B92"/>
    <w:rsid w:val="00E73DB7"/>
    <w:rsid w:val="00E7400C"/>
    <w:rsid w:val="00E74099"/>
    <w:rsid w:val="00E7410B"/>
    <w:rsid w:val="00E742CE"/>
    <w:rsid w:val="00E74342"/>
    <w:rsid w:val="00E744B7"/>
    <w:rsid w:val="00E744ED"/>
    <w:rsid w:val="00E74531"/>
    <w:rsid w:val="00E74644"/>
    <w:rsid w:val="00E74734"/>
    <w:rsid w:val="00E749E2"/>
    <w:rsid w:val="00E74A17"/>
    <w:rsid w:val="00E74A7D"/>
    <w:rsid w:val="00E74C84"/>
    <w:rsid w:val="00E74D23"/>
    <w:rsid w:val="00E74E0A"/>
    <w:rsid w:val="00E74E87"/>
    <w:rsid w:val="00E74FBB"/>
    <w:rsid w:val="00E74FD1"/>
    <w:rsid w:val="00E75082"/>
    <w:rsid w:val="00E750BF"/>
    <w:rsid w:val="00E75213"/>
    <w:rsid w:val="00E75255"/>
    <w:rsid w:val="00E75378"/>
    <w:rsid w:val="00E75433"/>
    <w:rsid w:val="00E755C6"/>
    <w:rsid w:val="00E7560A"/>
    <w:rsid w:val="00E756B7"/>
    <w:rsid w:val="00E756BD"/>
    <w:rsid w:val="00E75719"/>
    <w:rsid w:val="00E75729"/>
    <w:rsid w:val="00E75791"/>
    <w:rsid w:val="00E758B4"/>
    <w:rsid w:val="00E75952"/>
    <w:rsid w:val="00E75955"/>
    <w:rsid w:val="00E75A42"/>
    <w:rsid w:val="00E75E5B"/>
    <w:rsid w:val="00E75E99"/>
    <w:rsid w:val="00E76492"/>
    <w:rsid w:val="00E764A2"/>
    <w:rsid w:val="00E764F3"/>
    <w:rsid w:val="00E76578"/>
    <w:rsid w:val="00E7685C"/>
    <w:rsid w:val="00E76999"/>
    <w:rsid w:val="00E76B11"/>
    <w:rsid w:val="00E76D4D"/>
    <w:rsid w:val="00E76ED1"/>
    <w:rsid w:val="00E76F17"/>
    <w:rsid w:val="00E7705A"/>
    <w:rsid w:val="00E7705E"/>
    <w:rsid w:val="00E770A7"/>
    <w:rsid w:val="00E77192"/>
    <w:rsid w:val="00E77363"/>
    <w:rsid w:val="00E77425"/>
    <w:rsid w:val="00E77577"/>
    <w:rsid w:val="00E77600"/>
    <w:rsid w:val="00E77665"/>
    <w:rsid w:val="00E77688"/>
    <w:rsid w:val="00E77783"/>
    <w:rsid w:val="00E77792"/>
    <w:rsid w:val="00E77A2A"/>
    <w:rsid w:val="00E77A5A"/>
    <w:rsid w:val="00E77B67"/>
    <w:rsid w:val="00E77D44"/>
    <w:rsid w:val="00E77E7E"/>
    <w:rsid w:val="00E77F0E"/>
    <w:rsid w:val="00E77F32"/>
    <w:rsid w:val="00E77F66"/>
    <w:rsid w:val="00E8003A"/>
    <w:rsid w:val="00E80259"/>
    <w:rsid w:val="00E802FB"/>
    <w:rsid w:val="00E80368"/>
    <w:rsid w:val="00E803BC"/>
    <w:rsid w:val="00E809F6"/>
    <w:rsid w:val="00E80A2A"/>
    <w:rsid w:val="00E80AC9"/>
    <w:rsid w:val="00E80B65"/>
    <w:rsid w:val="00E80BBF"/>
    <w:rsid w:val="00E80BC3"/>
    <w:rsid w:val="00E80C29"/>
    <w:rsid w:val="00E80D65"/>
    <w:rsid w:val="00E80D76"/>
    <w:rsid w:val="00E80F9D"/>
    <w:rsid w:val="00E8117D"/>
    <w:rsid w:val="00E8138F"/>
    <w:rsid w:val="00E8150E"/>
    <w:rsid w:val="00E81672"/>
    <w:rsid w:val="00E817FC"/>
    <w:rsid w:val="00E81801"/>
    <w:rsid w:val="00E81888"/>
    <w:rsid w:val="00E81911"/>
    <w:rsid w:val="00E81A28"/>
    <w:rsid w:val="00E81C30"/>
    <w:rsid w:val="00E81E4F"/>
    <w:rsid w:val="00E820B5"/>
    <w:rsid w:val="00E820D7"/>
    <w:rsid w:val="00E821D6"/>
    <w:rsid w:val="00E823FE"/>
    <w:rsid w:val="00E82468"/>
    <w:rsid w:val="00E82473"/>
    <w:rsid w:val="00E82570"/>
    <w:rsid w:val="00E825C2"/>
    <w:rsid w:val="00E82643"/>
    <w:rsid w:val="00E8280C"/>
    <w:rsid w:val="00E82A2A"/>
    <w:rsid w:val="00E82AD1"/>
    <w:rsid w:val="00E82B30"/>
    <w:rsid w:val="00E82D1F"/>
    <w:rsid w:val="00E82D80"/>
    <w:rsid w:val="00E82FA7"/>
    <w:rsid w:val="00E83149"/>
    <w:rsid w:val="00E8325C"/>
    <w:rsid w:val="00E83298"/>
    <w:rsid w:val="00E837FA"/>
    <w:rsid w:val="00E8384D"/>
    <w:rsid w:val="00E83A07"/>
    <w:rsid w:val="00E83A85"/>
    <w:rsid w:val="00E83B45"/>
    <w:rsid w:val="00E83C7D"/>
    <w:rsid w:val="00E83D25"/>
    <w:rsid w:val="00E83D4C"/>
    <w:rsid w:val="00E84042"/>
    <w:rsid w:val="00E840D1"/>
    <w:rsid w:val="00E843FC"/>
    <w:rsid w:val="00E84627"/>
    <w:rsid w:val="00E847E2"/>
    <w:rsid w:val="00E84868"/>
    <w:rsid w:val="00E848A7"/>
    <w:rsid w:val="00E84922"/>
    <w:rsid w:val="00E849AB"/>
    <w:rsid w:val="00E84A61"/>
    <w:rsid w:val="00E84ACD"/>
    <w:rsid w:val="00E84D2B"/>
    <w:rsid w:val="00E84DBA"/>
    <w:rsid w:val="00E853B4"/>
    <w:rsid w:val="00E854A1"/>
    <w:rsid w:val="00E85835"/>
    <w:rsid w:val="00E858EC"/>
    <w:rsid w:val="00E85A7F"/>
    <w:rsid w:val="00E85C83"/>
    <w:rsid w:val="00E85D06"/>
    <w:rsid w:val="00E85D47"/>
    <w:rsid w:val="00E85E53"/>
    <w:rsid w:val="00E85EED"/>
    <w:rsid w:val="00E85F5D"/>
    <w:rsid w:val="00E86088"/>
    <w:rsid w:val="00E860A0"/>
    <w:rsid w:val="00E860F6"/>
    <w:rsid w:val="00E8622E"/>
    <w:rsid w:val="00E8625C"/>
    <w:rsid w:val="00E86270"/>
    <w:rsid w:val="00E8627F"/>
    <w:rsid w:val="00E863C9"/>
    <w:rsid w:val="00E86544"/>
    <w:rsid w:val="00E86821"/>
    <w:rsid w:val="00E869E1"/>
    <w:rsid w:val="00E86CED"/>
    <w:rsid w:val="00E86EBC"/>
    <w:rsid w:val="00E870CF"/>
    <w:rsid w:val="00E87186"/>
    <w:rsid w:val="00E871DA"/>
    <w:rsid w:val="00E8762D"/>
    <w:rsid w:val="00E8762E"/>
    <w:rsid w:val="00E879DA"/>
    <w:rsid w:val="00E87C64"/>
    <w:rsid w:val="00E87C96"/>
    <w:rsid w:val="00E87CC8"/>
    <w:rsid w:val="00E87F94"/>
    <w:rsid w:val="00E87FC3"/>
    <w:rsid w:val="00E90039"/>
    <w:rsid w:val="00E901A7"/>
    <w:rsid w:val="00E9030E"/>
    <w:rsid w:val="00E90647"/>
    <w:rsid w:val="00E9083D"/>
    <w:rsid w:val="00E90B3D"/>
    <w:rsid w:val="00E90CC4"/>
    <w:rsid w:val="00E90CD1"/>
    <w:rsid w:val="00E90DC3"/>
    <w:rsid w:val="00E90F58"/>
    <w:rsid w:val="00E90F9E"/>
    <w:rsid w:val="00E91104"/>
    <w:rsid w:val="00E91519"/>
    <w:rsid w:val="00E91727"/>
    <w:rsid w:val="00E91C08"/>
    <w:rsid w:val="00E91F23"/>
    <w:rsid w:val="00E91F3D"/>
    <w:rsid w:val="00E9201A"/>
    <w:rsid w:val="00E92476"/>
    <w:rsid w:val="00E9264E"/>
    <w:rsid w:val="00E92779"/>
    <w:rsid w:val="00E9287C"/>
    <w:rsid w:val="00E9287F"/>
    <w:rsid w:val="00E92A15"/>
    <w:rsid w:val="00E92CF2"/>
    <w:rsid w:val="00E92D2D"/>
    <w:rsid w:val="00E92EC1"/>
    <w:rsid w:val="00E9318F"/>
    <w:rsid w:val="00E9323C"/>
    <w:rsid w:val="00E93498"/>
    <w:rsid w:val="00E9363C"/>
    <w:rsid w:val="00E93653"/>
    <w:rsid w:val="00E936C3"/>
    <w:rsid w:val="00E9370C"/>
    <w:rsid w:val="00E937C5"/>
    <w:rsid w:val="00E937D1"/>
    <w:rsid w:val="00E9392B"/>
    <w:rsid w:val="00E93A10"/>
    <w:rsid w:val="00E93AAB"/>
    <w:rsid w:val="00E93EA7"/>
    <w:rsid w:val="00E93F43"/>
    <w:rsid w:val="00E941FC"/>
    <w:rsid w:val="00E9425D"/>
    <w:rsid w:val="00E942A6"/>
    <w:rsid w:val="00E944FB"/>
    <w:rsid w:val="00E94609"/>
    <w:rsid w:val="00E9487D"/>
    <w:rsid w:val="00E948E5"/>
    <w:rsid w:val="00E9491E"/>
    <w:rsid w:val="00E94989"/>
    <w:rsid w:val="00E94B1E"/>
    <w:rsid w:val="00E94C21"/>
    <w:rsid w:val="00E94C4A"/>
    <w:rsid w:val="00E94CE2"/>
    <w:rsid w:val="00E94D29"/>
    <w:rsid w:val="00E94D47"/>
    <w:rsid w:val="00E94D9E"/>
    <w:rsid w:val="00E94ECA"/>
    <w:rsid w:val="00E94F81"/>
    <w:rsid w:val="00E951F7"/>
    <w:rsid w:val="00E952C3"/>
    <w:rsid w:val="00E9539E"/>
    <w:rsid w:val="00E95530"/>
    <w:rsid w:val="00E955AC"/>
    <w:rsid w:val="00E957BD"/>
    <w:rsid w:val="00E95851"/>
    <w:rsid w:val="00E95995"/>
    <w:rsid w:val="00E95A2D"/>
    <w:rsid w:val="00E95C16"/>
    <w:rsid w:val="00E95D92"/>
    <w:rsid w:val="00E95E1E"/>
    <w:rsid w:val="00E95EA7"/>
    <w:rsid w:val="00E95ED2"/>
    <w:rsid w:val="00E95EFA"/>
    <w:rsid w:val="00E95F08"/>
    <w:rsid w:val="00E9621E"/>
    <w:rsid w:val="00E96340"/>
    <w:rsid w:val="00E963A7"/>
    <w:rsid w:val="00E96406"/>
    <w:rsid w:val="00E966DF"/>
    <w:rsid w:val="00E9684D"/>
    <w:rsid w:val="00E96960"/>
    <w:rsid w:val="00E96AD6"/>
    <w:rsid w:val="00E96C52"/>
    <w:rsid w:val="00E96E63"/>
    <w:rsid w:val="00E96F9D"/>
    <w:rsid w:val="00E96FA5"/>
    <w:rsid w:val="00E971CC"/>
    <w:rsid w:val="00E972B6"/>
    <w:rsid w:val="00E9730A"/>
    <w:rsid w:val="00E974DB"/>
    <w:rsid w:val="00E975A1"/>
    <w:rsid w:val="00E975A7"/>
    <w:rsid w:val="00E975AB"/>
    <w:rsid w:val="00E9788D"/>
    <w:rsid w:val="00E97970"/>
    <w:rsid w:val="00E97C07"/>
    <w:rsid w:val="00E97EB3"/>
    <w:rsid w:val="00EA0293"/>
    <w:rsid w:val="00EA0399"/>
    <w:rsid w:val="00EA03B6"/>
    <w:rsid w:val="00EA0685"/>
    <w:rsid w:val="00EA0725"/>
    <w:rsid w:val="00EA08B9"/>
    <w:rsid w:val="00EA0B8F"/>
    <w:rsid w:val="00EA0CB3"/>
    <w:rsid w:val="00EA0DF3"/>
    <w:rsid w:val="00EA0F5B"/>
    <w:rsid w:val="00EA1167"/>
    <w:rsid w:val="00EA116F"/>
    <w:rsid w:val="00EA12C5"/>
    <w:rsid w:val="00EA1366"/>
    <w:rsid w:val="00EA144B"/>
    <w:rsid w:val="00EA168A"/>
    <w:rsid w:val="00EA1ACB"/>
    <w:rsid w:val="00EA1C76"/>
    <w:rsid w:val="00EA1D69"/>
    <w:rsid w:val="00EA1EDD"/>
    <w:rsid w:val="00EA1F67"/>
    <w:rsid w:val="00EA1FF3"/>
    <w:rsid w:val="00EA2297"/>
    <w:rsid w:val="00EA23E2"/>
    <w:rsid w:val="00EA2423"/>
    <w:rsid w:val="00EA2529"/>
    <w:rsid w:val="00EA27FB"/>
    <w:rsid w:val="00EA29BB"/>
    <w:rsid w:val="00EA2A72"/>
    <w:rsid w:val="00EA2D00"/>
    <w:rsid w:val="00EA329B"/>
    <w:rsid w:val="00EA332A"/>
    <w:rsid w:val="00EA33E0"/>
    <w:rsid w:val="00EA356B"/>
    <w:rsid w:val="00EA358F"/>
    <w:rsid w:val="00EA35E9"/>
    <w:rsid w:val="00EA375C"/>
    <w:rsid w:val="00EA3BC0"/>
    <w:rsid w:val="00EA3C42"/>
    <w:rsid w:val="00EA3CF9"/>
    <w:rsid w:val="00EA3D28"/>
    <w:rsid w:val="00EA3EE8"/>
    <w:rsid w:val="00EA3F2B"/>
    <w:rsid w:val="00EA3FEB"/>
    <w:rsid w:val="00EA4380"/>
    <w:rsid w:val="00EA458B"/>
    <w:rsid w:val="00EA45F8"/>
    <w:rsid w:val="00EA46D9"/>
    <w:rsid w:val="00EA4829"/>
    <w:rsid w:val="00EA4B2C"/>
    <w:rsid w:val="00EA4D38"/>
    <w:rsid w:val="00EA4F6D"/>
    <w:rsid w:val="00EA4F9A"/>
    <w:rsid w:val="00EA5133"/>
    <w:rsid w:val="00EA52C7"/>
    <w:rsid w:val="00EA5414"/>
    <w:rsid w:val="00EA54D7"/>
    <w:rsid w:val="00EA59F9"/>
    <w:rsid w:val="00EA5DED"/>
    <w:rsid w:val="00EA5ED2"/>
    <w:rsid w:val="00EA5EFA"/>
    <w:rsid w:val="00EA614E"/>
    <w:rsid w:val="00EA61B0"/>
    <w:rsid w:val="00EA64A0"/>
    <w:rsid w:val="00EA673D"/>
    <w:rsid w:val="00EA68D9"/>
    <w:rsid w:val="00EA6A08"/>
    <w:rsid w:val="00EA6AB6"/>
    <w:rsid w:val="00EA6B8F"/>
    <w:rsid w:val="00EA6D27"/>
    <w:rsid w:val="00EA6FC0"/>
    <w:rsid w:val="00EA703C"/>
    <w:rsid w:val="00EA73A4"/>
    <w:rsid w:val="00EA741E"/>
    <w:rsid w:val="00EA775E"/>
    <w:rsid w:val="00EA7795"/>
    <w:rsid w:val="00EA78A6"/>
    <w:rsid w:val="00EA78B8"/>
    <w:rsid w:val="00EA7A05"/>
    <w:rsid w:val="00EA7EE0"/>
    <w:rsid w:val="00EB0049"/>
    <w:rsid w:val="00EB01F6"/>
    <w:rsid w:val="00EB03E5"/>
    <w:rsid w:val="00EB06E8"/>
    <w:rsid w:val="00EB07E9"/>
    <w:rsid w:val="00EB08B8"/>
    <w:rsid w:val="00EB09AC"/>
    <w:rsid w:val="00EB09C5"/>
    <w:rsid w:val="00EB0BC6"/>
    <w:rsid w:val="00EB0C03"/>
    <w:rsid w:val="00EB0C1C"/>
    <w:rsid w:val="00EB0C9A"/>
    <w:rsid w:val="00EB1369"/>
    <w:rsid w:val="00EB149F"/>
    <w:rsid w:val="00EB1535"/>
    <w:rsid w:val="00EB15A2"/>
    <w:rsid w:val="00EB1745"/>
    <w:rsid w:val="00EB1929"/>
    <w:rsid w:val="00EB1AAD"/>
    <w:rsid w:val="00EB1AC8"/>
    <w:rsid w:val="00EB1BDB"/>
    <w:rsid w:val="00EB1C36"/>
    <w:rsid w:val="00EB1CF9"/>
    <w:rsid w:val="00EB1DE0"/>
    <w:rsid w:val="00EB1DEC"/>
    <w:rsid w:val="00EB1DF6"/>
    <w:rsid w:val="00EB1F57"/>
    <w:rsid w:val="00EB2037"/>
    <w:rsid w:val="00EB2418"/>
    <w:rsid w:val="00EB2654"/>
    <w:rsid w:val="00EB2782"/>
    <w:rsid w:val="00EB2790"/>
    <w:rsid w:val="00EB28F0"/>
    <w:rsid w:val="00EB2B03"/>
    <w:rsid w:val="00EB2C07"/>
    <w:rsid w:val="00EB2C93"/>
    <w:rsid w:val="00EB2E14"/>
    <w:rsid w:val="00EB30CE"/>
    <w:rsid w:val="00EB30F5"/>
    <w:rsid w:val="00EB3198"/>
    <w:rsid w:val="00EB34B3"/>
    <w:rsid w:val="00EB35CB"/>
    <w:rsid w:val="00EB3782"/>
    <w:rsid w:val="00EB3BA7"/>
    <w:rsid w:val="00EB3C5A"/>
    <w:rsid w:val="00EB3C71"/>
    <w:rsid w:val="00EB3EAC"/>
    <w:rsid w:val="00EB3F08"/>
    <w:rsid w:val="00EB4115"/>
    <w:rsid w:val="00EB4299"/>
    <w:rsid w:val="00EB43E4"/>
    <w:rsid w:val="00EB44C0"/>
    <w:rsid w:val="00EB45A8"/>
    <w:rsid w:val="00EB46A3"/>
    <w:rsid w:val="00EB4A4F"/>
    <w:rsid w:val="00EB4AF4"/>
    <w:rsid w:val="00EB4CB0"/>
    <w:rsid w:val="00EB4F60"/>
    <w:rsid w:val="00EB5573"/>
    <w:rsid w:val="00EB55A7"/>
    <w:rsid w:val="00EB55A9"/>
    <w:rsid w:val="00EB591A"/>
    <w:rsid w:val="00EB5B89"/>
    <w:rsid w:val="00EB5C01"/>
    <w:rsid w:val="00EB5EB4"/>
    <w:rsid w:val="00EB5FEF"/>
    <w:rsid w:val="00EB60CB"/>
    <w:rsid w:val="00EB611E"/>
    <w:rsid w:val="00EB61E0"/>
    <w:rsid w:val="00EB654B"/>
    <w:rsid w:val="00EB666E"/>
    <w:rsid w:val="00EB66C0"/>
    <w:rsid w:val="00EB694D"/>
    <w:rsid w:val="00EB6959"/>
    <w:rsid w:val="00EB6A06"/>
    <w:rsid w:val="00EB6A8A"/>
    <w:rsid w:val="00EB6BAA"/>
    <w:rsid w:val="00EB6BF5"/>
    <w:rsid w:val="00EB7016"/>
    <w:rsid w:val="00EB706F"/>
    <w:rsid w:val="00EB74D9"/>
    <w:rsid w:val="00EB7500"/>
    <w:rsid w:val="00EB75FE"/>
    <w:rsid w:val="00EB7629"/>
    <w:rsid w:val="00EB763B"/>
    <w:rsid w:val="00EB7A9B"/>
    <w:rsid w:val="00EB7D13"/>
    <w:rsid w:val="00EB7DC8"/>
    <w:rsid w:val="00EB7E8C"/>
    <w:rsid w:val="00EB7F85"/>
    <w:rsid w:val="00EC0066"/>
    <w:rsid w:val="00EC006E"/>
    <w:rsid w:val="00EC0387"/>
    <w:rsid w:val="00EC03CB"/>
    <w:rsid w:val="00EC03DD"/>
    <w:rsid w:val="00EC052D"/>
    <w:rsid w:val="00EC0715"/>
    <w:rsid w:val="00EC07E4"/>
    <w:rsid w:val="00EC0824"/>
    <w:rsid w:val="00EC087E"/>
    <w:rsid w:val="00EC0890"/>
    <w:rsid w:val="00EC08E7"/>
    <w:rsid w:val="00EC092D"/>
    <w:rsid w:val="00EC0A29"/>
    <w:rsid w:val="00EC0E20"/>
    <w:rsid w:val="00EC0F2B"/>
    <w:rsid w:val="00EC0F4D"/>
    <w:rsid w:val="00EC0F8B"/>
    <w:rsid w:val="00EC0FCF"/>
    <w:rsid w:val="00EC1363"/>
    <w:rsid w:val="00EC146E"/>
    <w:rsid w:val="00EC14E1"/>
    <w:rsid w:val="00EC15B3"/>
    <w:rsid w:val="00EC15D9"/>
    <w:rsid w:val="00EC1687"/>
    <w:rsid w:val="00EC16B3"/>
    <w:rsid w:val="00EC16FB"/>
    <w:rsid w:val="00EC1B61"/>
    <w:rsid w:val="00EC1F21"/>
    <w:rsid w:val="00EC1F31"/>
    <w:rsid w:val="00EC20C2"/>
    <w:rsid w:val="00EC245D"/>
    <w:rsid w:val="00EC2890"/>
    <w:rsid w:val="00EC28FA"/>
    <w:rsid w:val="00EC2984"/>
    <w:rsid w:val="00EC2A08"/>
    <w:rsid w:val="00EC2AE5"/>
    <w:rsid w:val="00EC2B2A"/>
    <w:rsid w:val="00EC2BA6"/>
    <w:rsid w:val="00EC2E00"/>
    <w:rsid w:val="00EC2E44"/>
    <w:rsid w:val="00EC2F40"/>
    <w:rsid w:val="00EC315F"/>
    <w:rsid w:val="00EC35AB"/>
    <w:rsid w:val="00EC35C5"/>
    <w:rsid w:val="00EC36B6"/>
    <w:rsid w:val="00EC37AA"/>
    <w:rsid w:val="00EC37D9"/>
    <w:rsid w:val="00EC38E4"/>
    <w:rsid w:val="00EC390D"/>
    <w:rsid w:val="00EC3953"/>
    <w:rsid w:val="00EC3B8A"/>
    <w:rsid w:val="00EC3C7F"/>
    <w:rsid w:val="00EC3CF8"/>
    <w:rsid w:val="00EC42A2"/>
    <w:rsid w:val="00EC430C"/>
    <w:rsid w:val="00EC4318"/>
    <w:rsid w:val="00EC439D"/>
    <w:rsid w:val="00EC486B"/>
    <w:rsid w:val="00EC488D"/>
    <w:rsid w:val="00EC49A0"/>
    <w:rsid w:val="00EC49C4"/>
    <w:rsid w:val="00EC4A27"/>
    <w:rsid w:val="00EC4BE0"/>
    <w:rsid w:val="00EC4C22"/>
    <w:rsid w:val="00EC4D6F"/>
    <w:rsid w:val="00EC4F37"/>
    <w:rsid w:val="00EC4FD4"/>
    <w:rsid w:val="00EC5001"/>
    <w:rsid w:val="00EC5056"/>
    <w:rsid w:val="00EC505E"/>
    <w:rsid w:val="00EC50C7"/>
    <w:rsid w:val="00EC5117"/>
    <w:rsid w:val="00EC5400"/>
    <w:rsid w:val="00EC5411"/>
    <w:rsid w:val="00EC547D"/>
    <w:rsid w:val="00EC5679"/>
    <w:rsid w:val="00EC591E"/>
    <w:rsid w:val="00EC594C"/>
    <w:rsid w:val="00EC59B0"/>
    <w:rsid w:val="00EC5D33"/>
    <w:rsid w:val="00EC5DD9"/>
    <w:rsid w:val="00EC5E16"/>
    <w:rsid w:val="00EC5F57"/>
    <w:rsid w:val="00EC5FBB"/>
    <w:rsid w:val="00EC6106"/>
    <w:rsid w:val="00EC61BB"/>
    <w:rsid w:val="00EC61BC"/>
    <w:rsid w:val="00EC635C"/>
    <w:rsid w:val="00EC64AC"/>
    <w:rsid w:val="00EC64D2"/>
    <w:rsid w:val="00EC6561"/>
    <w:rsid w:val="00EC65D4"/>
    <w:rsid w:val="00EC682D"/>
    <w:rsid w:val="00EC69BB"/>
    <w:rsid w:val="00EC69E9"/>
    <w:rsid w:val="00EC6B60"/>
    <w:rsid w:val="00EC6B7C"/>
    <w:rsid w:val="00EC6BF8"/>
    <w:rsid w:val="00EC6C05"/>
    <w:rsid w:val="00EC6C58"/>
    <w:rsid w:val="00EC6CDA"/>
    <w:rsid w:val="00EC6F93"/>
    <w:rsid w:val="00EC7043"/>
    <w:rsid w:val="00EC739A"/>
    <w:rsid w:val="00EC7429"/>
    <w:rsid w:val="00EC7465"/>
    <w:rsid w:val="00EC746F"/>
    <w:rsid w:val="00EC76DF"/>
    <w:rsid w:val="00EC7807"/>
    <w:rsid w:val="00EC7907"/>
    <w:rsid w:val="00EC793E"/>
    <w:rsid w:val="00EC79B9"/>
    <w:rsid w:val="00EC7B57"/>
    <w:rsid w:val="00EC7C21"/>
    <w:rsid w:val="00EC7C4B"/>
    <w:rsid w:val="00EC7C5E"/>
    <w:rsid w:val="00EC7DB8"/>
    <w:rsid w:val="00EC7F3A"/>
    <w:rsid w:val="00ED0450"/>
    <w:rsid w:val="00ED077F"/>
    <w:rsid w:val="00ED0864"/>
    <w:rsid w:val="00ED087A"/>
    <w:rsid w:val="00ED0AC0"/>
    <w:rsid w:val="00ED0C58"/>
    <w:rsid w:val="00ED0D55"/>
    <w:rsid w:val="00ED0FEB"/>
    <w:rsid w:val="00ED101B"/>
    <w:rsid w:val="00ED1126"/>
    <w:rsid w:val="00ED1363"/>
    <w:rsid w:val="00ED13EE"/>
    <w:rsid w:val="00ED1523"/>
    <w:rsid w:val="00ED156C"/>
    <w:rsid w:val="00ED156F"/>
    <w:rsid w:val="00ED1866"/>
    <w:rsid w:val="00ED1947"/>
    <w:rsid w:val="00ED1AD7"/>
    <w:rsid w:val="00ED1CA7"/>
    <w:rsid w:val="00ED21AD"/>
    <w:rsid w:val="00ED21CD"/>
    <w:rsid w:val="00ED222D"/>
    <w:rsid w:val="00ED22FB"/>
    <w:rsid w:val="00ED23EE"/>
    <w:rsid w:val="00ED2434"/>
    <w:rsid w:val="00ED2636"/>
    <w:rsid w:val="00ED26AD"/>
    <w:rsid w:val="00ED2821"/>
    <w:rsid w:val="00ED28C5"/>
    <w:rsid w:val="00ED29E9"/>
    <w:rsid w:val="00ED29FB"/>
    <w:rsid w:val="00ED2A74"/>
    <w:rsid w:val="00ED2B68"/>
    <w:rsid w:val="00ED2DC2"/>
    <w:rsid w:val="00ED3263"/>
    <w:rsid w:val="00ED326C"/>
    <w:rsid w:val="00ED335C"/>
    <w:rsid w:val="00ED3828"/>
    <w:rsid w:val="00ED3AF8"/>
    <w:rsid w:val="00ED3B04"/>
    <w:rsid w:val="00ED3B22"/>
    <w:rsid w:val="00ED3D37"/>
    <w:rsid w:val="00ED3DDE"/>
    <w:rsid w:val="00ED4092"/>
    <w:rsid w:val="00ED4133"/>
    <w:rsid w:val="00ED443B"/>
    <w:rsid w:val="00ED44D1"/>
    <w:rsid w:val="00ED4523"/>
    <w:rsid w:val="00ED4606"/>
    <w:rsid w:val="00ED4741"/>
    <w:rsid w:val="00ED4819"/>
    <w:rsid w:val="00ED485F"/>
    <w:rsid w:val="00ED489C"/>
    <w:rsid w:val="00ED4B22"/>
    <w:rsid w:val="00ED4D40"/>
    <w:rsid w:val="00ED5026"/>
    <w:rsid w:val="00ED513F"/>
    <w:rsid w:val="00ED5251"/>
    <w:rsid w:val="00ED5341"/>
    <w:rsid w:val="00ED5475"/>
    <w:rsid w:val="00ED54F4"/>
    <w:rsid w:val="00ED5749"/>
    <w:rsid w:val="00ED5AAC"/>
    <w:rsid w:val="00ED5BEE"/>
    <w:rsid w:val="00ED5E87"/>
    <w:rsid w:val="00ED5EB0"/>
    <w:rsid w:val="00ED6179"/>
    <w:rsid w:val="00ED6209"/>
    <w:rsid w:val="00ED625D"/>
    <w:rsid w:val="00ED64F3"/>
    <w:rsid w:val="00ED65EE"/>
    <w:rsid w:val="00ED67A9"/>
    <w:rsid w:val="00ED6803"/>
    <w:rsid w:val="00ED686D"/>
    <w:rsid w:val="00ED68AA"/>
    <w:rsid w:val="00ED693B"/>
    <w:rsid w:val="00ED6948"/>
    <w:rsid w:val="00ED6CBF"/>
    <w:rsid w:val="00ED6F7E"/>
    <w:rsid w:val="00ED6FB9"/>
    <w:rsid w:val="00ED6FED"/>
    <w:rsid w:val="00ED717D"/>
    <w:rsid w:val="00ED71C9"/>
    <w:rsid w:val="00ED71DE"/>
    <w:rsid w:val="00ED7249"/>
    <w:rsid w:val="00ED7267"/>
    <w:rsid w:val="00ED7610"/>
    <w:rsid w:val="00ED76A4"/>
    <w:rsid w:val="00ED76B2"/>
    <w:rsid w:val="00ED78F2"/>
    <w:rsid w:val="00ED7ADE"/>
    <w:rsid w:val="00ED7B8A"/>
    <w:rsid w:val="00ED7C1A"/>
    <w:rsid w:val="00ED7C44"/>
    <w:rsid w:val="00ED7CE2"/>
    <w:rsid w:val="00EE0053"/>
    <w:rsid w:val="00EE016E"/>
    <w:rsid w:val="00EE02F1"/>
    <w:rsid w:val="00EE0343"/>
    <w:rsid w:val="00EE082F"/>
    <w:rsid w:val="00EE0896"/>
    <w:rsid w:val="00EE0ADA"/>
    <w:rsid w:val="00EE0DC2"/>
    <w:rsid w:val="00EE0E4E"/>
    <w:rsid w:val="00EE0F5A"/>
    <w:rsid w:val="00EE0FC5"/>
    <w:rsid w:val="00EE10BF"/>
    <w:rsid w:val="00EE11D8"/>
    <w:rsid w:val="00EE15A3"/>
    <w:rsid w:val="00EE16BB"/>
    <w:rsid w:val="00EE1E07"/>
    <w:rsid w:val="00EE205D"/>
    <w:rsid w:val="00EE220D"/>
    <w:rsid w:val="00EE2277"/>
    <w:rsid w:val="00EE229D"/>
    <w:rsid w:val="00EE2346"/>
    <w:rsid w:val="00EE23C5"/>
    <w:rsid w:val="00EE26DD"/>
    <w:rsid w:val="00EE27E9"/>
    <w:rsid w:val="00EE29E1"/>
    <w:rsid w:val="00EE2AA7"/>
    <w:rsid w:val="00EE2C9F"/>
    <w:rsid w:val="00EE2DC7"/>
    <w:rsid w:val="00EE30F4"/>
    <w:rsid w:val="00EE3143"/>
    <w:rsid w:val="00EE3272"/>
    <w:rsid w:val="00EE34E8"/>
    <w:rsid w:val="00EE3A8D"/>
    <w:rsid w:val="00EE3CAD"/>
    <w:rsid w:val="00EE3FD7"/>
    <w:rsid w:val="00EE429C"/>
    <w:rsid w:val="00EE42C5"/>
    <w:rsid w:val="00EE4541"/>
    <w:rsid w:val="00EE45E0"/>
    <w:rsid w:val="00EE475A"/>
    <w:rsid w:val="00EE47B3"/>
    <w:rsid w:val="00EE48D1"/>
    <w:rsid w:val="00EE4955"/>
    <w:rsid w:val="00EE4977"/>
    <w:rsid w:val="00EE49A3"/>
    <w:rsid w:val="00EE4A11"/>
    <w:rsid w:val="00EE4BFD"/>
    <w:rsid w:val="00EE4D5F"/>
    <w:rsid w:val="00EE506B"/>
    <w:rsid w:val="00EE521D"/>
    <w:rsid w:val="00EE5646"/>
    <w:rsid w:val="00EE575A"/>
    <w:rsid w:val="00EE58CB"/>
    <w:rsid w:val="00EE59CC"/>
    <w:rsid w:val="00EE59FA"/>
    <w:rsid w:val="00EE5AC6"/>
    <w:rsid w:val="00EE5FCA"/>
    <w:rsid w:val="00EE6004"/>
    <w:rsid w:val="00EE6095"/>
    <w:rsid w:val="00EE623E"/>
    <w:rsid w:val="00EE62FC"/>
    <w:rsid w:val="00EE640D"/>
    <w:rsid w:val="00EE650A"/>
    <w:rsid w:val="00EE6632"/>
    <w:rsid w:val="00EE6650"/>
    <w:rsid w:val="00EE671C"/>
    <w:rsid w:val="00EE67DE"/>
    <w:rsid w:val="00EE68AF"/>
    <w:rsid w:val="00EE6C22"/>
    <w:rsid w:val="00EE6CEC"/>
    <w:rsid w:val="00EE6E7C"/>
    <w:rsid w:val="00EE6F11"/>
    <w:rsid w:val="00EE6F5C"/>
    <w:rsid w:val="00EE6FFB"/>
    <w:rsid w:val="00EE71A3"/>
    <w:rsid w:val="00EE7326"/>
    <w:rsid w:val="00EE7371"/>
    <w:rsid w:val="00EE739A"/>
    <w:rsid w:val="00EE739D"/>
    <w:rsid w:val="00EE740D"/>
    <w:rsid w:val="00EE746A"/>
    <w:rsid w:val="00EE7494"/>
    <w:rsid w:val="00EE74B1"/>
    <w:rsid w:val="00EE769C"/>
    <w:rsid w:val="00EE76FA"/>
    <w:rsid w:val="00EE78CA"/>
    <w:rsid w:val="00EE79BB"/>
    <w:rsid w:val="00EE7B38"/>
    <w:rsid w:val="00EE7CE2"/>
    <w:rsid w:val="00EE7D86"/>
    <w:rsid w:val="00EE7F0B"/>
    <w:rsid w:val="00EF0174"/>
    <w:rsid w:val="00EF02C8"/>
    <w:rsid w:val="00EF03A4"/>
    <w:rsid w:val="00EF03F5"/>
    <w:rsid w:val="00EF05F4"/>
    <w:rsid w:val="00EF0824"/>
    <w:rsid w:val="00EF0936"/>
    <w:rsid w:val="00EF0A30"/>
    <w:rsid w:val="00EF0C78"/>
    <w:rsid w:val="00EF1000"/>
    <w:rsid w:val="00EF100D"/>
    <w:rsid w:val="00EF1204"/>
    <w:rsid w:val="00EF124F"/>
    <w:rsid w:val="00EF1271"/>
    <w:rsid w:val="00EF1292"/>
    <w:rsid w:val="00EF13D1"/>
    <w:rsid w:val="00EF15A6"/>
    <w:rsid w:val="00EF15B7"/>
    <w:rsid w:val="00EF17AE"/>
    <w:rsid w:val="00EF1882"/>
    <w:rsid w:val="00EF18FE"/>
    <w:rsid w:val="00EF191B"/>
    <w:rsid w:val="00EF1B03"/>
    <w:rsid w:val="00EF1D10"/>
    <w:rsid w:val="00EF1D96"/>
    <w:rsid w:val="00EF2067"/>
    <w:rsid w:val="00EF20A3"/>
    <w:rsid w:val="00EF20DB"/>
    <w:rsid w:val="00EF21F9"/>
    <w:rsid w:val="00EF245F"/>
    <w:rsid w:val="00EF24E4"/>
    <w:rsid w:val="00EF26CA"/>
    <w:rsid w:val="00EF27CE"/>
    <w:rsid w:val="00EF27DC"/>
    <w:rsid w:val="00EF28FC"/>
    <w:rsid w:val="00EF2922"/>
    <w:rsid w:val="00EF29BE"/>
    <w:rsid w:val="00EF2C22"/>
    <w:rsid w:val="00EF2DB4"/>
    <w:rsid w:val="00EF2DD9"/>
    <w:rsid w:val="00EF2E32"/>
    <w:rsid w:val="00EF2F38"/>
    <w:rsid w:val="00EF319D"/>
    <w:rsid w:val="00EF350F"/>
    <w:rsid w:val="00EF361D"/>
    <w:rsid w:val="00EF3AA0"/>
    <w:rsid w:val="00EF3C86"/>
    <w:rsid w:val="00EF3CFE"/>
    <w:rsid w:val="00EF3D9A"/>
    <w:rsid w:val="00EF3E6C"/>
    <w:rsid w:val="00EF4216"/>
    <w:rsid w:val="00EF43A0"/>
    <w:rsid w:val="00EF4918"/>
    <w:rsid w:val="00EF49E7"/>
    <w:rsid w:val="00EF4AD0"/>
    <w:rsid w:val="00EF4B34"/>
    <w:rsid w:val="00EF4B3F"/>
    <w:rsid w:val="00EF4BA4"/>
    <w:rsid w:val="00EF4E32"/>
    <w:rsid w:val="00EF5555"/>
    <w:rsid w:val="00EF598F"/>
    <w:rsid w:val="00EF59D5"/>
    <w:rsid w:val="00EF5A5D"/>
    <w:rsid w:val="00EF5A60"/>
    <w:rsid w:val="00EF5AC5"/>
    <w:rsid w:val="00EF5B0E"/>
    <w:rsid w:val="00EF5B35"/>
    <w:rsid w:val="00EF5B4C"/>
    <w:rsid w:val="00EF5EFD"/>
    <w:rsid w:val="00EF6030"/>
    <w:rsid w:val="00EF617E"/>
    <w:rsid w:val="00EF6251"/>
    <w:rsid w:val="00EF635B"/>
    <w:rsid w:val="00EF65F2"/>
    <w:rsid w:val="00EF6780"/>
    <w:rsid w:val="00EF6B9D"/>
    <w:rsid w:val="00EF6CA2"/>
    <w:rsid w:val="00EF6CBE"/>
    <w:rsid w:val="00EF6E25"/>
    <w:rsid w:val="00EF6E87"/>
    <w:rsid w:val="00EF7001"/>
    <w:rsid w:val="00EF7057"/>
    <w:rsid w:val="00EF71D7"/>
    <w:rsid w:val="00EF7284"/>
    <w:rsid w:val="00EF72E7"/>
    <w:rsid w:val="00EF7416"/>
    <w:rsid w:val="00EF74E1"/>
    <w:rsid w:val="00EF7543"/>
    <w:rsid w:val="00EF7851"/>
    <w:rsid w:val="00EF7932"/>
    <w:rsid w:val="00EF79E3"/>
    <w:rsid w:val="00EF7A6F"/>
    <w:rsid w:val="00EF7C1A"/>
    <w:rsid w:val="00EF7C25"/>
    <w:rsid w:val="00EF7E6E"/>
    <w:rsid w:val="00F001E4"/>
    <w:rsid w:val="00F001EC"/>
    <w:rsid w:val="00F002E3"/>
    <w:rsid w:val="00F00414"/>
    <w:rsid w:val="00F004F9"/>
    <w:rsid w:val="00F0058E"/>
    <w:rsid w:val="00F00787"/>
    <w:rsid w:val="00F007B7"/>
    <w:rsid w:val="00F00894"/>
    <w:rsid w:val="00F008EF"/>
    <w:rsid w:val="00F00905"/>
    <w:rsid w:val="00F00919"/>
    <w:rsid w:val="00F00A37"/>
    <w:rsid w:val="00F00A96"/>
    <w:rsid w:val="00F00B20"/>
    <w:rsid w:val="00F00C2C"/>
    <w:rsid w:val="00F00D6E"/>
    <w:rsid w:val="00F00F88"/>
    <w:rsid w:val="00F00FFB"/>
    <w:rsid w:val="00F01204"/>
    <w:rsid w:val="00F01257"/>
    <w:rsid w:val="00F014F6"/>
    <w:rsid w:val="00F01536"/>
    <w:rsid w:val="00F01781"/>
    <w:rsid w:val="00F01875"/>
    <w:rsid w:val="00F01949"/>
    <w:rsid w:val="00F01A81"/>
    <w:rsid w:val="00F01C62"/>
    <w:rsid w:val="00F01C6E"/>
    <w:rsid w:val="00F01D71"/>
    <w:rsid w:val="00F01EB0"/>
    <w:rsid w:val="00F01F5F"/>
    <w:rsid w:val="00F01F96"/>
    <w:rsid w:val="00F021E4"/>
    <w:rsid w:val="00F023A3"/>
    <w:rsid w:val="00F02496"/>
    <w:rsid w:val="00F0253A"/>
    <w:rsid w:val="00F02545"/>
    <w:rsid w:val="00F0257E"/>
    <w:rsid w:val="00F026EC"/>
    <w:rsid w:val="00F029D6"/>
    <w:rsid w:val="00F02D16"/>
    <w:rsid w:val="00F02DB4"/>
    <w:rsid w:val="00F02DF9"/>
    <w:rsid w:val="00F02F98"/>
    <w:rsid w:val="00F03016"/>
    <w:rsid w:val="00F032E6"/>
    <w:rsid w:val="00F03515"/>
    <w:rsid w:val="00F03538"/>
    <w:rsid w:val="00F036B4"/>
    <w:rsid w:val="00F03731"/>
    <w:rsid w:val="00F03767"/>
    <w:rsid w:val="00F03838"/>
    <w:rsid w:val="00F03D58"/>
    <w:rsid w:val="00F03E70"/>
    <w:rsid w:val="00F03E97"/>
    <w:rsid w:val="00F040B1"/>
    <w:rsid w:val="00F040B7"/>
    <w:rsid w:val="00F04222"/>
    <w:rsid w:val="00F04274"/>
    <w:rsid w:val="00F0429D"/>
    <w:rsid w:val="00F0470D"/>
    <w:rsid w:val="00F0474C"/>
    <w:rsid w:val="00F04878"/>
    <w:rsid w:val="00F048AE"/>
    <w:rsid w:val="00F04C89"/>
    <w:rsid w:val="00F04CB6"/>
    <w:rsid w:val="00F04E1C"/>
    <w:rsid w:val="00F04EF2"/>
    <w:rsid w:val="00F04F72"/>
    <w:rsid w:val="00F051A4"/>
    <w:rsid w:val="00F0537F"/>
    <w:rsid w:val="00F05403"/>
    <w:rsid w:val="00F054BB"/>
    <w:rsid w:val="00F054E2"/>
    <w:rsid w:val="00F0560D"/>
    <w:rsid w:val="00F05713"/>
    <w:rsid w:val="00F05783"/>
    <w:rsid w:val="00F057B1"/>
    <w:rsid w:val="00F05926"/>
    <w:rsid w:val="00F05A27"/>
    <w:rsid w:val="00F05C51"/>
    <w:rsid w:val="00F05D25"/>
    <w:rsid w:val="00F05E70"/>
    <w:rsid w:val="00F05E92"/>
    <w:rsid w:val="00F0622B"/>
    <w:rsid w:val="00F062EA"/>
    <w:rsid w:val="00F06354"/>
    <w:rsid w:val="00F063E7"/>
    <w:rsid w:val="00F064B0"/>
    <w:rsid w:val="00F06612"/>
    <w:rsid w:val="00F06742"/>
    <w:rsid w:val="00F067CB"/>
    <w:rsid w:val="00F0680F"/>
    <w:rsid w:val="00F06C01"/>
    <w:rsid w:val="00F06CDE"/>
    <w:rsid w:val="00F07125"/>
    <w:rsid w:val="00F073A8"/>
    <w:rsid w:val="00F07417"/>
    <w:rsid w:val="00F07427"/>
    <w:rsid w:val="00F07490"/>
    <w:rsid w:val="00F079AC"/>
    <w:rsid w:val="00F07BF2"/>
    <w:rsid w:val="00F07DDD"/>
    <w:rsid w:val="00F07DEE"/>
    <w:rsid w:val="00F07E65"/>
    <w:rsid w:val="00F07F3A"/>
    <w:rsid w:val="00F07FCB"/>
    <w:rsid w:val="00F101DC"/>
    <w:rsid w:val="00F101EA"/>
    <w:rsid w:val="00F10541"/>
    <w:rsid w:val="00F10645"/>
    <w:rsid w:val="00F106D9"/>
    <w:rsid w:val="00F1087D"/>
    <w:rsid w:val="00F109B5"/>
    <w:rsid w:val="00F10B8E"/>
    <w:rsid w:val="00F10C07"/>
    <w:rsid w:val="00F10C52"/>
    <w:rsid w:val="00F111A0"/>
    <w:rsid w:val="00F11339"/>
    <w:rsid w:val="00F113D1"/>
    <w:rsid w:val="00F116C6"/>
    <w:rsid w:val="00F117C2"/>
    <w:rsid w:val="00F117F2"/>
    <w:rsid w:val="00F119A4"/>
    <w:rsid w:val="00F11C39"/>
    <w:rsid w:val="00F11ED6"/>
    <w:rsid w:val="00F1210E"/>
    <w:rsid w:val="00F1218E"/>
    <w:rsid w:val="00F121FF"/>
    <w:rsid w:val="00F12508"/>
    <w:rsid w:val="00F12536"/>
    <w:rsid w:val="00F1255E"/>
    <w:rsid w:val="00F128D3"/>
    <w:rsid w:val="00F12912"/>
    <w:rsid w:val="00F12CCF"/>
    <w:rsid w:val="00F13241"/>
    <w:rsid w:val="00F1328F"/>
    <w:rsid w:val="00F132F7"/>
    <w:rsid w:val="00F133A4"/>
    <w:rsid w:val="00F136A1"/>
    <w:rsid w:val="00F13735"/>
    <w:rsid w:val="00F13794"/>
    <w:rsid w:val="00F13837"/>
    <w:rsid w:val="00F139C5"/>
    <w:rsid w:val="00F13A7D"/>
    <w:rsid w:val="00F13C37"/>
    <w:rsid w:val="00F13E6F"/>
    <w:rsid w:val="00F13FCB"/>
    <w:rsid w:val="00F1402A"/>
    <w:rsid w:val="00F14274"/>
    <w:rsid w:val="00F14332"/>
    <w:rsid w:val="00F143BC"/>
    <w:rsid w:val="00F14430"/>
    <w:rsid w:val="00F14441"/>
    <w:rsid w:val="00F1447A"/>
    <w:rsid w:val="00F14625"/>
    <w:rsid w:val="00F14AED"/>
    <w:rsid w:val="00F14B21"/>
    <w:rsid w:val="00F14BE8"/>
    <w:rsid w:val="00F14D7B"/>
    <w:rsid w:val="00F14EA6"/>
    <w:rsid w:val="00F14F09"/>
    <w:rsid w:val="00F150B1"/>
    <w:rsid w:val="00F1526B"/>
    <w:rsid w:val="00F15285"/>
    <w:rsid w:val="00F153F4"/>
    <w:rsid w:val="00F1547B"/>
    <w:rsid w:val="00F15563"/>
    <w:rsid w:val="00F1569E"/>
    <w:rsid w:val="00F156DD"/>
    <w:rsid w:val="00F15792"/>
    <w:rsid w:val="00F1585D"/>
    <w:rsid w:val="00F1597F"/>
    <w:rsid w:val="00F159A1"/>
    <w:rsid w:val="00F15A9B"/>
    <w:rsid w:val="00F15BC0"/>
    <w:rsid w:val="00F15DD8"/>
    <w:rsid w:val="00F16183"/>
    <w:rsid w:val="00F161C4"/>
    <w:rsid w:val="00F16208"/>
    <w:rsid w:val="00F16349"/>
    <w:rsid w:val="00F16354"/>
    <w:rsid w:val="00F165B3"/>
    <w:rsid w:val="00F167E7"/>
    <w:rsid w:val="00F16871"/>
    <w:rsid w:val="00F168DA"/>
    <w:rsid w:val="00F168E7"/>
    <w:rsid w:val="00F16C43"/>
    <w:rsid w:val="00F16DC6"/>
    <w:rsid w:val="00F16E7B"/>
    <w:rsid w:val="00F16F20"/>
    <w:rsid w:val="00F17081"/>
    <w:rsid w:val="00F17131"/>
    <w:rsid w:val="00F17625"/>
    <w:rsid w:val="00F17776"/>
    <w:rsid w:val="00F17821"/>
    <w:rsid w:val="00F17823"/>
    <w:rsid w:val="00F20024"/>
    <w:rsid w:val="00F2012B"/>
    <w:rsid w:val="00F20155"/>
    <w:rsid w:val="00F202E4"/>
    <w:rsid w:val="00F2030A"/>
    <w:rsid w:val="00F20367"/>
    <w:rsid w:val="00F2062C"/>
    <w:rsid w:val="00F20701"/>
    <w:rsid w:val="00F20768"/>
    <w:rsid w:val="00F20C3E"/>
    <w:rsid w:val="00F20C67"/>
    <w:rsid w:val="00F20D08"/>
    <w:rsid w:val="00F20E87"/>
    <w:rsid w:val="00F21185"/>
    <w:rsid w:val="00F211C3"/>
    <w:rsid w:val="00F21202"/>
    <w:rsid w:val="00F21209"/>
    <w:rsid w:val="00F21694"/>
    <w:rsid w:val="00F217B8"/>
    <w:rsid w:val="00F218B3"/>
    <w:rsid w:val="00F218FD"/>
    <w:rsid w:val="00F2195C"/>
    <w:rsid w:val="00F21CF9"/>
    <w:rsid w:val="00F21D52"/>
    <w:rsid w:val="00F21EB9"/>
    <w:rsid w:val="00F21FE9"/>
    <w:rsid w:val="00F223A7"/>
    <w:rsid w:val="00F22492"/>
    <w:rsid w:val="00F2284C"/>
    <w:rsid w:val="00F22948"/>
    <w:rsid w:val="00F229D3"/>
    <w:rsid w:val="00F22D7C"/>
    <w:rsid w:val="00F22DD0"/>
    <w:rsid w:val="00F22FAF"/>
    <w:rsid w:val="00F2305D"/>
    <w:rsid w:val="00F2313B"/>
    <w:rsid w:val="00F232BE"/>
    <w:rsid w:val="00F23364"/>
    <w:rsid w:val="00F23559"/>
    <w:rsid w:val="00F238AD"/>
    <w:rsid w:val="00F238FF"/>
    <w:rsid w:val="00F23A7D"/>
    <w:rsid w:val="00F23BED"/>
    <w:rsid w:val="00F23C7E"/>
    <w:rsid w:val="00F23CD1"/>
    <w:rsid w:val="00F23D67"/>
    <w:rsid w:val="00F23D78"/>
    <w:rsid w:val="00F23F15"/>
    <w:rsid w:val="00F240C3"/>
    <w:rsid w:val="00F24169"/>
    <w:rsid w:val="00F24174"/>
    <w:rsid w:val="00F2429F"/>
    <w:rsid w:val="00F243E5"/>
    <w:rsid w:val="00F243E8"/>
    <w:rsid w:val="00F24445"/>
    <w:rsid w:val="00F244CA"/>
    <w:rsid w:val="00F244FA"/>
    <w:rsid w:val="00F245F9"/>
    <w:rsid w:val="00F246FD"/>
    <w:rsid w:val="00F2471F"/>
    <w:rsid w:val="00F2494D"/>
    <w:rsid w:val="00F24A29"/>
    <w:rsid w:val="00F24AAF"/>
    <w:rsid w:val="00F24B6F"/>
    <w:rsid w:val="00F24D09"/>
    <w:rsid w:val="00F24D32"/>
    <w:rsid w:val="00F251C0"/>
    <w:rsid w:val="00F251F7"/>
    <w:rsid w:val="00F2523E"/>
    <w:rsid w:val="00F2527A"/>
    <w:rsid w:val="00F252A1"/>
    <w:rsid w:val="00F252D0"/>
    <w:rsid w:val="00F2541D"/>
    <w:rsid w:val="00F254DB"/>
    <w:rsid w:val="00F255FB"/>
    <w:rsid w:val="00F2593E"/>
    <w:rsid w:val="00F25AFE"/>
    <w:rsid w:val="00F25E33"/>
    <w:rsid w:val="00F26266"/>
    <w:rsid w:val="00F263F0"/>
    <w:rsid w:val="00F264F1"/>
    <w:rsid w:val="00F26542"/>
    <w:rsid w:val="00F265D4"/>
    <w:rsid w:val="00F2661F"/>
    <w:rsid w:val="00F26693"/>
    <w:rsid w:val="00F2671A"/>
    <w:rsid w:val="00F26795"/>
    <w:rsid w:val="00F2685D"/>
    <w:rsid w:val="00F2692D"/>
    <w:rsid w:val="00F26DB2"/>
    <w:rsid w:val="00F26E25"/>
    <w:rsid w:val="00F26E86"/>
    <w:rsid w:val="00F26E98"/>
    <w:rsid w:val="00F26FC0"/>
    <w:rsid w:val="00F270ED"/>
    <w:rsid w:val="00F27103"/>
    <w:rsid w:val="00F27442"/>
    <w:rsid w:val="00F2767C"/>
    <w:rsid w:val="00F276B2"/>
    <w:rsid w:val="00F27702"/>
    <w:rsid w:val="00F2795B"/>
    <w:rsid w:val="00F2798D"/>
    <w:rsid w:val="00F27D81"/>
    <w:rsid w:val="00F27F79"/>
    <w:rsid w:val="00F300FD"/>
    <w:rsid w:val="00F30152"/>
    <w:rsid w:val="00F30453"/>
    <w:rsid w:val="00F30515"/>
    <w:rsid w:val="00F305F2"/>
    <w:rsid w:val="00F306DA"/>
    <w:rsid w:val="00F3075F"/>
    <w:rsid w:val="00F307ED"/>
    <w:rsid w:val="00F308C2"/>
    <w:rsid w:val="00F30943"/>
    <w:rsid w:val="00F30A1F"/>
    <w:rsid w:val="00F30A9F"/>
    <w:rsid w:val="00F30AB8"/>
    <w:rsid w:val="00F30C39"/>
    <w:rsid w:val="00F30F5E"/>
    <w:rsid w:val="00F310B3"/>
    <w:rsid w:val="00F311A7"/>
    <w:rsid w:val="00F31238"/>
    <w:rsid w:val="00F313A3"/>
    <w:rsid w:val="00F3146B"/>
    <w:rsid w:val="00F31664"/>
    <w:rsid w:val="00F317CC"/>
    <w:rsid w:val="00F31928"/>
    <w:rsid w:val="00F31945"/>
    <w:rsid w:val="00F31D60"/>
    <w:rsid w:val="00F31E16"/>
    <w:rsid w:val="00F31E1D"/>
    <w:rsid w:val="00F31FD3"/>
    <w:rsid w:val="00F32654"/>
    <w:rsid w:val="00F3274A"/>
    <w:rsid w:val="00F32888"/>
    <w:rsid w:val="00F32889"/>
    <w:rsid w:val="00F3290A"/>
    <w:rsid w:val="00F32A4F"/>
    <w:rsid w:val="00F32A89"/>
    <w:rsid w:val="00F33201"/>
    <w:rsid w:val="00F332A8"/>
    <w:rsid w:val="00F332AB"/>
    <w:rsid w:val="00F3339A"/>
    <w:rsid w:val="00F33814"/>
    <w:rsid w:val="00F33857"/>
    <w:rsid w:val="00F33891"/>
    <w:rsid w:val="00F33A0D"/>
    <w:rsid w:val="00F33AA5"/>
    <w:rsid w:val="00F33BB8"/>
    <w:rsid w:val="00F33EA4"/>
    <w:rsid w:val="00F3403C"/>
    <w:rsid w:val="00F341AE"/>
    <w:rsid w:val="00F34281"/>
    <w:rsid w:val="00F34319"/>
    <w:rsid w:val="00F343FF"/>
    <w:rsid w:val="00F3446D"/>
    <w:rsid w:val="00F3468A"/>
    <w:rsid w:val="00F347A2"/>
    <w:rsid w:val="00F34978"/>
    <w:rsid w:val="00F34A52"/>
    <w:rsid w:val="00F34B15"/>
    <w:rsid w:val="00F34BE3"/>
    <w:rsid w:val="00F34F05"/>
    <w:rsid w:val="00F3506B"/>
    <w:rsid w:val="00F3507A"/>
    <w:rsid w:val="00F351D3"/>
    <w:rsid w:val="00F352D0"/>
    <w:rsid w:val="00F35610"/>
    <w:rsid w:val="00F3573D"/>
    <w:rsid w:val="00F358E3"/>
    <w:rsid w:val="00F358F4"/>
    <w:rsid w:val="00F35929"/>
    <w:rsid w:val="00F359B0"/>
    <w:rsid w:val="00F35C1B"/>
    <w:rsid w:val="00F35D36"/>
    <w:rsid w:val="00F35EE2"/>
    <w:rsid w:val="00F35F88"/>
    <w:rsid w:val="00F35FA5"/>
    <w:rsid w:val="00F36196"/>
    <w:rsid w:val="00F361E7"/>
    <w:rsid w:val="00F36401"/>
    <w:rsid w:val="00F364AE"/>
    <w:rsid w:val="00F366EF"/>
    <w:rsid w:val="00F3676B"/>
    <w:rsid w:val="00F3688B"/>
    <w:rsid w:val="00F369F2"/>
    <w:rsid w:val="00F36AFA"/>
    <w:rsid w:val="00F36C89"/>
    <w:rsid w:val="00F36D33"/>
    <w:rsid w:val="00F36ED5"/>
    <w:rsid w:val="00F36FAF"/>
    <w:rsid w:val="00F370FD"/>
    <w:rsid w:val="00F371C5"/>
    <w:rsid w:val="00F37466"/>
    <w:rsid w:val="00F375DD"/>
    <w:rsid w:val="00F377AC"/>
    <w:rsid w:val="00F378E7"/>
    <w:rsid w:val="00F37982"/>
    <w:rsid w:val="00F37BFA"/>
    <w:rsid w:val="00F37C7D"/>
    <w:rsid w:val="00F37D08"/>
    <w:rsid w:val="00F37D7D"/>
    <w:rsid w:val="00F37DB0"/>
    <w:rsid w:val="00F40075"/>
    <w:rsid w:val="00F40219"/>
    <w:rsid w:val="00F4021F"/>
    <w:rsid w:val="00F40252"/>
    <w:rsid w:val="00F40518"/>
    <w:rsid w:val="00F40576"/>
    <w:rsid w:val="00F40628"/>
    <w:rsid w:val="00F40648"/>
    <w:rsid w:val="00F40684"/>
    <w:rsid w:val="00F406B1"/>
    <w:rsid w:val="00F40788"/>
    <w:rsid w:val="00F408D8"/>
    <w:rsid w:val="00F40B90"/>
    <w:rsid w:val="00F4119A"/>
    <w:rsid w:val="00F4120A"/>
    <w:rsid w:val="00F4120B"/>
    <w:rsid w:val="00F4141F"/>
    <w:rsid w:val="00F414FD"/>
    <w:rsid w:val="00F41513"/>
    <w:rsid w:val="00F419F2"/>
    <w:rsid w:val="00F41AE7"/>
    <w:rsid w:val="00F41BEE"/>
    <w:rsid w:val="00F41C0B"/>
    <w:rsid w:val="00F41D76"/>
    <w:rsid w:val="00F41DF1"/>
    <w:rsid w:val="00F422F0"/>
    <w:rsid w:val="00F422F4"/>
    <w:rsid w:val="00F42370"/>
    <w:rsid w:val="00F42456"/>
    <w:rsid w:val="00F42509"/>
    <w:rsid w:val="00F42584"/>
    <w:rsid w:val="00F4261C"/>
    <w:rsid w:val="00F4271F"/>
    <w:rsid w:val="00F4276C"/>
    <w:rsid w:val="00F42883"/>
    <w:rsid w:val="00F428D3"/>
    <w:rsid w:val="00F429FA"/>
    <w:rsid w:val="00F42A7A"/>
    <w:rsid w:val="00F42C7B"/>
    <w:rsid w:val="00F42D64"/>
    <w:rsid w:val="00F43012"/>
    <w:rsid w:val="00F43097"/>
    <w:rsid w:val="00F431C0"/>
    <w:rsid w:val="00F4326A"/>
    <w:rsid w:val="00F433D0"/>
    <w:rsid w:val="00F43404"/>
    <w:rsid w:val="00F4340A"/>
    <w:rsid w:val="00F4348F"/>
    <w:rsid w:val="00F43689"/>
    <w:rsid w:val="00F43850"/>
    <w:rsid w:val="00F43857"/>
    <w:rsid w:val="00F43CF2"/>
    <w:rsid w:val="00F43E81"/>
    <w:rsid w:val="00F43EC3"/>
    <w:rsid w:val="00F44164"/>
    <w:rsid w:val="00F442DE"/>
    <w:rsid w:val="00F444BD"/>
    <w:rsid w:val="00F445BD"/>
    <w:rsid w:val="00F4460C"/>
    <w:rsid w:val="00F44654"/>
    <w:rsid w:val="00F4483D"/>
    <w:rsid w:val="00F4498D"/>
    <w:rsid w:val="00F44BBC"/>
    <w:rsid w:val="00F44D6D"/>
    <w:rsid w:val="00F44F84"/>
    <w:rsid w:val="00F44FA1"/>
    <w:rsid w:val="00F45270"/>
    <w:rsid w:val="00F456E4"/>
    <w:rsid w:val="00F457D2"/>
    <w:rsid w:val="00F457F9"/>
    <w:rsid w:val="00F45B28"/>
    <w:rsid w:val="00F45C2B"/>
    <w:rsid w:val="00F45D34"/>
    <w:rsid w:val="00F45F0D"/>
    <w:rsid w:val="00F45FAA"/>
    <w:rsid w:val="00F46173"/>
    <w:rsid w:val="00F461CE"/>
    <w:rsid w:val="00F462B7"/>
    <w:rsid w:val="00F462E1"/>
    <w:rsid w:val="00F463FC"/>
    <w:rsid w:val="00F46408"/>
    <w:rsid w:val="00F46454"/>
    <w:rsid w:val="00F4647E"/>
    <w:rsid w:val="00F4652D"/>
    <w:rsid w:val="00F465AB"/>
    <w:rsid w:val="00F46769"/>
    <w:rsid w:val="00F468D6"/>
    <w:rsid w:val="00F46997"/>
    <w:rsid w:val="00F469D4"/>
    <w:rsid w:val="00F46A3D"/>
    <w:rsid w:val="00F46DC1"/>
    <w:rsid w:val="00F46FC0"/>
    <w:rsid w:val="00F47066"/>
    <w:rsid w:val="00F47079"/>
    <w:rsid w:val="00F47421"/>
    <w:rsid w:val="00F47506"/>
    <w:rsid w:val="00F4759A"/>
    <w:rsid w:val="00F4761B"/>
    <w:rsid w:val="00F476E5"/>
    <w:rsid w:val="00F476F6"/>
    <w:rsid w:val="00F4776A"/>
    <w:rsid w:val="00F4794A"/>
    <w:rsid w:val="00F47998"/>
    <w:rsid w:val="00F47A25"/>
    <w:rsid w:val="00F47A38"/>
    <w:rsid w:val="00F47C58"/>
    <w:rsid w:val="00F47CC6"/>
    <w:rsid w:val="00F47E1C"/>
    <w:rsid w:val="00F500EA"/>
    <w:rsid w:val="00F5027F"/>
    <w:rsid w:val="00F502A3"/>
    <w:rsid w:val="00F504D9"/>
    <w:rsid w:val="00F504E5"/>
    <w:rsid w:val="00F50650"/>
    <w:rsid w:val="00F506AF"/>
    <w:rsid w:val="00F50912"/>
    <w:rsid w:val="00F5091D"/>
    <w:rsid w:val="00F50C22"/>
    <w:rsid w:val="00F50DE6"/>
    <w:rsid w:val="00F50F9C"/>
    <w:rsid w:val="00F50FBF"/>
    <w:rsid w:val="00F51197"/>
    <w:rsid w:val="00F512F6"/>
    <w:rsid w:val="00F5137A"/>
    <w:rsid w:val="00F514A4"/>
    <w:rsid w:val="00F514F8"/>
    <w:rsid w:val="00F516C1"/>
    <w:rsid w:val="00F517A9"/>
    <w:rsid w:val="00F51804"/>
    <w:rsid w:val="00F51900"/>
    <w:rsid w:val="00F51992"/>
    <w:rsid w:val="00F519F4"/>
    <w:rsid w:val="00F51A5B"/>
    <w:rsid w:val="00F51CB0"/>
    <w:rsid w:val="00F51DA4"/>
    <w:rsid w:val="00F51F9E"/>
    <w:rsid w:val="00F52041"/>
    <w:rsid w:val="00F52110"/>
    <w:rsid w:val="00F521AA"/>
    <w:rsid w:val="00F5225E"/>
    <w:rsid w:val="00F522E2"/>
    <w:rsid w:val="00F5250F"/>
    <w:rsid w:val="00F5251D"/>
    <w:rsid w:val="00F525B3"/>
    <w:rsid w:val="00F525D0"/>
    <w:rsid w:val="00F526DE"/>
    <w:rsid w:val="00F526F9"/>
    <w:rsid w:val="00F528B2"/>
    <w:rsid w:val="00F529C1"/>
    <w:rsid w:val="00F52A6B"/>
    <w:rsid w:val="00F52CD0"/>
    <w:rsid w:val="00F52DE3"/>
    <w:rsid w:val="00F52EDF"/>
    <w:rsid w:val="00F52F75"/>
    <w:rsid w:val="00F52FBE"/>
    <w:rsid w:val="00F53151"/>
    <w:rsid w:val="00F531FE"/>
    <w:rsid w:val="00F533DE"/>
    <w:rsid w:val="00F533FA"/>
    <w:rsid w:val="00F5340F"/>
    <w:rsid w:val="00F53468"/>
    <w:rsid w:val="00F53538"/>
    <w:rsid w:val="00F53588"/>
    <w:rsid w:val="00F536F0"/>
    <w:rsid w:val="00F53775"/>
    <w:rsid w:val="00F53AB5"/>
    <w:rsid w:val="00F53ACB"/>
    <w:rsid w:val="00F53BE8"/>
    <w:rsid w:val="00F53D5A"/>
    <w:rsid w:val="00F53E43"/>
    <w:rsid w:val="00F53E55"/>
    <w:rsid w:val="00F53EB7"/>
    <w:rsid w:val="00F53ECD"/>
    <w:rsid w:val="00F53EEE"/>
    <w:rsid w:val="00F53F21"/>
    <w:rsid w:val="00F541E6"/>
    <w:rsid w:val="00F54307"/>
    <w:rsid w:val="00F54369"/>
    <w:rsid w:val="00F545F4"/>
    <w:rsid w:val="00F54608"/>
    <w:rsid w:val="00F548E0"/>
    <w:rsid w:val="00F54931"/>
    <w:rsid w:val="00F549BC"/>
    <w:rsid w:val="00F54A00"/>
    <w:rsid w:val="00F54A26"/>
    <w:rsid w:val="00F54AFF"/>
    <w:rsid w:val="00F54B1A"/>
    <w:rsid w:val="00F54C2B"/>
    <w:rsid w:val="00F54C39"/>
    <w:rsid w:val="00F54CF5"/>
    <w:rsid w:val="00F54D01"/>
    <w:rsid w:val="00F55179"/>
    <w:rsid w:val="00F552FA"/>
    <w:rsid w:val="00F555B8"/>
    <w:rsid w:val="00F555C1"/>
    <w:rsid w:val="00F555FB"/>
    <w:rsid w:val="00F55B06"/>
    <w:rsid w:val="00F55B97"/>
    <w:rsid w:val="00F55BA6"/>
    <w:rsid w:val="00F55BFE"/>
    <w:rsid w:val="00F55E8D"/>
    <w:rsid w:val="00F55F06"/>
    <w:rsid w:val="00F56142"/>
    <w:rsid w:val="00F565B0"/>
    <w:rsid w:val="00F565B7"/>
    <w:rsid w:val="00F566AA"/>
    <w:rsid w:val="00F569E5"/>
    <w:rsid w:val="00F56ADE"/>
    <w:rsid w:val="00F56BB7"/>
    <w:rsid w:val="00F56BE7"/>
    <w:rsid w:val="00F56D4F"/>
    <w:rsid w:val="00F56D9D"/>
    <w:rsid w:val="00F56E6B"/>
    <w:rsid w:val="00F56E82"/>
    <w:rsid w:val="00F56EDC"/>
    <w:rsid w:val="00F56EE3"/>
    <w:rsid w:val="00F56F40"/>
    <w:rsid w:val="00F56F97"/>
    <w:rsid w:val="00F570A7"/>
    <w:rsid w:val="00F5718F"/>
    <w:rsid w:val="00F57230"/>
    <w:rsid w:val="00F57420"/>
    <w:rsid w:val="00F5772A"/>
    <w:rsid w:val="00F579C4"/>
    <w:rsid w:val="00F57B43"/>
    <w:rsid w:val="00F57CE6"/>
    <w:rsid w:val="00F57F35"/>
    <w:rsid w:val="00F57FF7"/>
    <w:rsid w:val="00F602A5"/>
    <w:rsid w:val="00F6033A"/>
    <w:rsid w:val="00F603E2"/>
    <w:rsid w:val="00F606CA"/>
    <w:rsid w:val="00F60928"/>
    <w:rsid w:val="00F60A01"/>
    <w:rsid w:val="00F60A80"/>
    <w:rsid w:val="00F60E41"/>
    <w:rsid w:val="00F60E69"/>
    <w:rsid w:val="00F60FFB"/>
    <w:rsid w:val="00F61159"/>
    <w:rsid w:val="00F611A7"/>
    <w:rsid w:val="00F612C8"/>
    <w:rsid w:val="00F612EE"/>
    <w:rsid w:val="00F61351"/>
    <w:rsid w:val="00F617B5"/>
    <w:rsid w:val="00F61925"/>
    <w:rsid w:val="00F6197E"/>
    <w:rsid w:val="00F61AAC"/>
    <w:rsid w:val="00F61B71"/>
    <w:rsid w:val="00F61E40"/>
    <w:rsid w:val="00F62003"/>
    <w:rsid w:val="00F62030"/>
    <w:rsid w:val="00F6216E"/>
    <w:rsid w:val="00F621EC"/>
    <w:rsid w:val="00F621F0"/>
    <w:rsid w:val="00F625B2"/>
    <w:rsid w:val="00F62725"/>
    <w:rsid w:val="00F62726"/>
    <w:rsid w:val="00F62826"/>
    <w:rsid w:val="00F629E4"/>
    <w:rsid w:val="00F62A27"/>
    <w:rsid w:val="00F62AA8"/>
    <w:rsid w:val="00F62B1E"/>
    <w:rsid w:val="00F62B41"/>
    <w:rsid w:val="00F62CF9"/>
    <w:rsid w:val="00F62DB3"/>
    <w:rsid w:val="00F62E57"/>
    <w:rsid w:val="00F6303B"/>
    <w:rsid w:val="00F630BA"/>
    <w:rsid w:val="00F63373"/>
    <w:rsid w:val="00F633A3"/>
    <w:rsid w:val="00F634CB"/>
    <w:rsid w:val="00F636BD"/>
    <w:rsid w:val="00F637DD"/>
    <w:rsid w:val="00F63870"/>
    <w:rsid w:val="00F639C8"/>
    <w:rsid w:val="00F639F6"/>
    <w:rsid w:val="00F63B1F"/>
    <w:rsid w:val="00F63C15"/>
    <w:rsid w:val="00F63C85"/>
    <w:rsid w:val="00F641CF"/>
    <w:rsid w:val="00F64227"/>
    <w:rsid w:val="00F64233"/>
    <w:rsid w:val="00F6444D"/>
    <w:rsid w:val="00F644B8"/>
    <w:rsid w:val="00F6455F"/>
    <w:rsid w:val="00F64659"/>
    <w:rsid w:val="00F646DB"/>
    <w:rsid w:val="00F64A7D"/>
    <w:rsid w:val="00F64AC6"/>
    <w:rsid w:val="00F64BFC"/>
    <w:rsid w:val="00F64C00"/>
    <w:rsid w:val="00F64C69"/>
    <w:rsid w:val="00F64CFC"/>
    <w:rsid w:val="00F64DAC"/>
    <w:rsid w:val="00F64DC1"/>
    <w:rsid w:val="00F64E3C"/>
    <w:rsid w:val="00F64E59"/>
    <w:rsid w:val="00F65064"/>
    <w:rsid w:val="00F65131"/>
    <w:rsid w:val="00F65267"/>
    <w:rsid w:val="00F65323"/>
    <w:rsid w:val="00F653AC"/>
    <w:rsid w:val="00F6554D"/>
    <w:rsid w:val="00F65705"/>
    <w:rsid w:val="00F6573E"/>
    <w:rsid w:val="00F6576D"/>
    <w:rsid w:val="00F657BA"/>
    <w:rsid w:val="00F65A54"/>
    <w:rsid w:val="00F65B8F"/>
    <w:rsid w:val="00F65F14"/>
    <w:rsid w:val="00F65FFA"/>
    <w:rsid w:val="00F66130"/>
    <w:rsid w:val="00F66243"/>
    <w:rsid w:val="00F662D8"/>
    <w:rsid w:val="00F6642B"/>
    <w:rsid w:val="00F6643B"/>
    <w:rsid w:val="00F66475"/>
    <w:rsid w:val="00F666F5"/>
    <w:rsid w:val="00F6671A"/>
    <w:rsid w:val="00F6691A"/>
    <w:rsid w:val="00F6692B"/>
    <w:rsid w:val="00F66A1F"/>
    <w:rsid w:val="00F66A45"/>
    <w:rsid w:val="00F66AB6"/>
    <w:rsid w:val="00F67096"/>
    <w:rsid w:val="00F670EA"/>
    <w:rsid w:val="00F6714A"/>
    <w:rsid w:val="00F6716F"/>
    <w:rsid w:val="00F671FA"/>
    <w:rsid w:val="00F67286"/>
    <w:rsid w:val="00F67335"/>
    <w:rsid w:val="00F673B1"/>
    <w:rsid w:val="00F67535"/>
    <w:rsid w:val="00F6769F"/>
    <w:rsid w:val="00F67A17"/>
    <w:rsid w:val="00F67B5F"/>
    <w:rsid w:val="00F67B9E"/>
    <w:rsid w:val="00F67C7C"/>
    <w:rsid w:val="00F67E39"/>
    <w:rsid w:val="00F67FA3"/>
    <w:rsid w:val="00F7002B"/>
    <w:rsid w:val="00F701BB"/>
    <w:rsid w:val="00F701F1"/>
    <w:rsid w:val="00F70474"/>
    <w:rsid w:val="00F70493"/>
    <w:rsid w:val="00F7059A"/>
    <w:rsid w:val="00F705CB"/>
    <w:rsid w:val="00F7062F"/>
    <w:rsid w:val="00F706A3"/>
    <w:rsid w:val="00F70709"/>
    <w:rsid w:val="00F709FB"/>
    <w:rsid w:val="00F70EA7"/>
    <w:rsid w:val="00F70F72"/>
    <w:rsid w:val="00F70FF9"/>
    <w:rsid w:val="00F710CD"/>
    <w:rsid w:val="00F7124C"/>
    <w:rsid w:val="00F71283"/>
    <w:rsid w:val="00F713A5"/>
    <w:rsid w:val="00F71490"/>
    <w:rsid w:val="00F715EA"/>
    <w:rsid w:val="00F717AB"/>
    <w:rsid w:val="00F7186A"/>
    <w:rsid w:val="00F71955"/>
    <w:rsid w:val="00F7199A"/>
    <w:rsid w:val="00F71A7F"/>
    <w:rsid w:val="00F71C30"/>
    <w:rsid w:val="00F71D77"/>
    <w:rsid w:val="00F71F89"/>
    <w:rsid w:val="00F720DA"/>
    <w:rsid w:val="00F72155"/>
    <w:rsid w:val="00F72224"/>
    <w:rsid w:val="00F72689"/>
    <w:rsid w:val="00F727E4"/>
    <w:rsid w:val="00F72912"/>
    <w:rsid w:val="00F72A6C"/>
    <w:rsid w:val="00F72ACA"/>
    <w:rsid w:val="00F72DC2"/>
    <w:rsid w:val="00F72E6B"/>
    <w:rsid w:val="00F72E7E"/>
    <w:rsid w:val="00F730C1"/>
    <w:rsid w:val="00F73101"/>
    <w:rsid w:val="00F73185"/>
    <w:rsid w:val="00F7345B"/>
    <w:rsid w:val="00F73605"/>
    <w:rsid w:val="00F736C2"/>
    <w:rsid w:val="00F7371A"/>
    <w:rsid w:val="00F73C52"/>
    <w:rsid w:val="00F73FA6"/>
    <w:rsid w:val="00F740B7"/>
    <w:rsid w:val="00F740C4"/>
    <w:rsid w:val="00F742D4"/>
    <w:rsid w:val="00F743A2"/>
    <w:rsid w:val="00F748B7"/>
    <w:rsid w:val="00F748EC"/>
    <w:rsid w:val="00F74929"/>
    <w:rsid w:val="00F74BDA"/>
    <w:rsid w:val="00F74BF6"/>
    <w:rsid w:val="00F74D5A"/>
    <w:rsid w:val="00F74FC5"/>
    <w:rsid w:val="00F75086"/>
    <w:rsid w:val="00F753B5"/>
    <w:rsid w:val="00F75606"/>
    <w:rsid w:val="00F757B7"/>
    <w:rsid w:val="00F75824"/>
    <w:rsid w:val="00F75A06"/>
    <w:rsid w:val="00F75A13"/>
    <w:rsid w:val="00F75A91"/>
    <w:rsid w:val="00F75C29"/>
    <w:rsid w:val="00F75D8B"/>
    <w:rsid w:val="00F75E5A"/>
    <w:rsid w:val="00F75E6E"/>
    <w:rsid w:val="00F7601B"/>
    <w:rsid w:val="00F7619D"/>
    <w:rsid w:val="00F765F7"/>
    <w:rsid w:val="00F76627"/>
    <w:rsid w:val="00F76716"/>
    <w:rsid w:val="00F768AF"/>
    <w:rsid w:val="00F76972"/>
    <w:rsid w:val="00F76A30"/>
    <w:rsid w:val="00F76A77"/>
    <w:rsid w:val="00F76B42"/>
    <w:rsid w:val="00F76C2D"/>
    <w:rsid w:val="00F76D07"/>
    <w:rsid w:val="00F76DD6"/>
    <w:rsid w:val="00F76EA3"/>
    <w:rsid w:val="00F77030"/>
    <w:rsid w:val="00F7711F"/>
    <w:rsid w:val="00F771B0"/>
    <w:rsid w:val="00F77390"/>
    <w:rsid w:val="00F773A9"/>
    <w:rsid w:val="00F77499"/>
    <w:rsid w:val="00F7759B"/>
    <w:rsid w:val="00F775A7"/>
    <w:rsid w:val="00F776F4"/>
    <w:rsid w:val="00F777A8"/>
    <w:rsid w:val="00F777B5"/>
    <w:rsid w:val="00F77847"/>
    <w:rsid w:val="00F779D0"/>
    <w:rsid w:val="00F77A06"/>
    <w:rsid w:val="00F77A0F"/>
    <w:rsid w:val="00F77B8D"/>
    <w:rsid w:val="00F77CC0"/>
    <w:rsid w:val="00F77DAD"/>
    <w:rsid w:val="00F77ECE"/>
    <w:rsid w:val="00F80018"/>
    <w:rsid w:val="00F8011A"/>
    <w:rsid w:val="00F801B3"/>
    <w:rsid w:val="00F8023D"/>
    <w:rsid w:val="00F8025B"/>
    <w:rsid w:val="00F8085A"/>
    <w:rsid w:val="00F808D0"/>
    <w:rsid w:val="00F80A23"/>
    <w:rsid w:val="00F80C70"/>
    <w:rsid w:val="00F80D7F"/>
    <w:rsid w:val="00F80EB4"/>
    <w:rsid w:val="00F80F0A"/>
    <w:rsid w:val="00F80F70"/>
    <w:rsid w:val="00F812AF"/>
    <w:rsid w:val="00F812F1"/>
    <w:rsid w:val="00F8153B"/>
    <w:rsid w:val="00F817DA"/>
    <w:rsid w:val="00F817E5"/>
    <w:rsid w:val="00F81975"/>
    <w:rsid w:val="00F81AA5"/>
    <w:rsid w:val="00F81C28"/>
    <w:rsid w:val="00F81C81"/>
    <w:rsid w:val="00F81D38"/>
    <w:rsid w:val="00F8214B"/>
    <w:rsid w:val="00F822AC"/>
    <w:rsid w:val="00F822C5"/>
    <w:rsid w:val="00F824A2"/>
    <w:rsid w:val="00F824CD"/>
    <w:rsid w:val="00F8256C"/>
    <w:rsid w:val="00F82735"/>
    <w:rsid w:val="00F8278D"/>
    <w:rsid w:val="00F82889"/>
    <w:rsid w:val="00F8297A"/>
    <w:rsid w:val="00F82A2C"/>
    <w:rsid w:val="00F82A5A"/>
    <w:rsid w:val="00F82A8D"/>
    <w:rsid w:val="00F82AAF"/>
    <w:rsid w:val="00F82DC1"/>
    <w:rsid w:val="00F831CC"/>
    <w:rsid w:val="00F83292"/>
    <w:rsid w:val="00F83466"/>
    <w:rsid w:val="00F83499"/>
    <w:rsid w:val="00F834AF"/>
    <w:rsid w:val="00F83623"/>
    <w:rsid w:val="00F83668"/>
    <w:rsid w:val="00F836ED"/>
    <w:rsid w:val="00F836F3"/>
    <w:rsid w:val="00F83B1D"/>
    <w:rsid w:val="00F83BB6"/>
    <w:rsid w:val="00F83ED1"/>
    <w:rsid w:val="00F83F3A"/>
    <w:rsid w:val="00F83FF6"/>
    <w:rsid w:val="00F84093"/>
    <w:rsid w:val="00F84153"/>
    <w:rsid w:val="00F8460B"/>
    <w:rsid w:val="00F847B7"/>
    <w:rsid w:val="00F84981"/>
    <w:rsid w:val="00F849CD"/>
    <w:rsid w:val="00F84A1F"/>
    <w:rsid w:val="00F84A39"/>
    <w:rsid w:val="00F84AB1"/>
    <w:rsid w:val="00F84E2C"/>
    <w:rsid w:val="00F84E31"/>
    <w:rsid w:val="00F84E57"/>
    <w:rsid w:val="00F84EE2"/>
    <w:rsid w:val="00F84F0A"/>
    <w:rsid w:val="00F851A0"/>
    <w:rsid w:val="00F851EF"/>
    <w:rsid w:val="00F8527D"/>
    <w:rsid w:val="00F85361"/>
    <w:rsid w:val="00F853CA"/>
    <w:rsid w:val="00F8551A"/>
    <w:rsid w:val="00F85586"/>
    <w:rsid w:val="00F85825"/>
    <w:rsid w:val="00F85844"/>
    <w:rsid w:val="00F85B5A"/>
    <w:rsid w:val="00F85C28"/>
    <w:rsid w:val="00F85D70"/>
    <w:rsid w:val="00F85D7B"/>
    <w:rsid w:val="00F85DA4"/>
    <w:rsid w:val="00F85FC4"/>
    <w:rsid w:val="00F86001"/>
    <w:rsid w:val="00F860D8"/>
    <w:rsid w:val="00F86206"/>
    <w:rsid w:val="00F8637F"/>
    <w:rsid w:val="00F863D3"/>
    <w:rsid w:val="00F86448"/>
    <w:rsid w:val="00F8647A"/>
    <w:rsid w:val="00F864A0"/>
    <w:rsid w:val="00F86578"/>
    <w:rsid w:val="00F865B8"/>
    <w:rsid w:val="00F8681E"/>
    <w:rsid w:val="00F8693E"/>
    <w:rsid w:val="00F8696D"/>
    <w:rsid w:val="00F86AC4"/>
    <w:rsid w:val="00F86B0E"/>
    <w:rsid w:val="00F86B4E"/>
    <w:rsid w:val="00F86B8C"/>
    <w:rsid w:val="00F86C56"/>
    <w:rsid w:val="00F86E7B"/>
    <w:rsid w:val="00F86EF7"/>
    <w:rsid w:val="00F870CA"/>
    <w:rsid w:val="00F871DA"/>
    <w:rsid w:val="00F87477"/>
    <w:rsid w:val="00F874AD"/>
    <w:rsid w:val="00F874E7"/>
    <w:rsid w:val="00F8752B"/>
    <w:rsid w:val="00F87661"/>
    <w:rsid w:val="00F878CE"/>
    <w:rsid w:val="00F87C59"/>
    <w:rsid w:val="00F87ED6"/>
    <w:rsid w:val="00F87F5A"/>
    <w:rsid w:val="00F87FA8"/>
    <w:rsid w:val="00F87FBA"/>
    <w:rsid w:val="00F900EA"/>
    <w:rsid w:val="00F901BE"/>
    <w:rsid w:val="00F90218"/>
    <w:rsid w:val="00F9032C"/>
    <w:rsid w:val="00F90531"/>
    <w:rsid w:val="00F9061F"/>
    <w:rsid w:val="00F90728"/>
    <w:rsid w:val="00F908D9"/>
    <w:rsid w:val="00F90919"/>
    <w:rsid w:val="00F90966"/>
    <w:rsid w:val="00F909D5"/>
    <w:rsid w:val="00F909EC"/>
    <w:rsid w:val="00F90BA9"/>
    <w:rsid w:val="00F90C40"/>
    <w:rsid w:val="00F9103F"/>
    <w:rsid w:val="00F91481"/>
    <w:rsid w:val="00F9163A"/>
    <w:rsid w:val="00F9164F"/>
    <w:rsid w:val="00F9167A"/>
    <w:rsid w:val="00F916B3"/>
    <w:rsid w:val="00F917BA"/>
    <w:rsid w:val="00F91890"/>
    <w:rsid w:val="00F9190C"/>
    <w:rsid w:val="00F91BD9"/>
    <w:rsid w:val="00F91E72"/>
    <w:rsid w:val="00F9200F"/>
    <w:rsid w:val="00F9201C"/>
    <w:rsid w:val="00F92027"/>
    <w:rsid w:val="00F9224D"/>
    <w:rsid w:val="00F922EE"/>
    <w:rsid w:val="00F92490"/>
    <w:rsid w:val="00F92504"/>
    <w:rsid w:val="00F929A4"/>
    <w:rsid w:val="00F92C09"/>
    <w:rsid w:val="00F92E44"/>
    <w:rsid w:val="00F92FC0"/>
    <w:rsid w:val="00F930A6"/>
    <w:rsid w:val="00F9322A"/>
    <w:rsid w:val="00F9333C"/>
    <w:rsid w:val="00F933A3"/>
    <w:rsid w:val="00F93777"/>
    <w:rsid w:val="00F93787"/>
    <w:rsid w:val="00F93834"/>
    <w:rsid w:val="00F938A2"/>
    <w:rsid w:val="00F938A5"/>
    <w:rsid w:val="00F93948"/>
    <w:rsid w:val="00F93AE8"/>
    <w:rsid w:val="00F93AEE"/>
    <w:rsid w:val="00F93C1F"/>
    <w:rsid w:val="00F93D1E"/>
    <w:rsid w:val="00F93E84"/>
    <w:rsid w:val="00F94182"/>
    <w:rsid w:val="00F941B3"/>
    <w:rsid w:val="00F94209"/>
    <w:rsid w:val="00F944A3"/>
    <w:rsid w:val="00F944F6"/>
    <w:rsid w:val="00F94622"/>
    <w:rsid w:val="00F9492D"/>
    <w:rsid w:val="00F94AE4"/>
    <w:rsid w:val="00F94B88"/>
    <w:rsid w:val="00F94E5C"/>
    <w:rsid w:val="00F94EBE"/>
    <w:rsid w:val="00F94F84"/>
    <w:rsid w:val="00F94FBD"/>
    <w:rsid w:val="00F9515C"/>
    <w:rsid w:val="00F95304"/>
    <w:rsid w:val="00F9531F"/>
    <w:rsid w:val="00F954B8"/>
    <w:rsid w:val="00F955D7"/>
    <w:rsid w:val="00F95901"/>
    <w:rsid w:val="00F9595F"/>
    <w:rsid w:val="00F959A7"/>
    <w:rsid w:val="00F95AFC"/>
    <w:rsid w:val="00F95BEE"/>
    <w:rsid w:val="00F95C06"/>
    <w:rsid w:val="00F95CEE"/>
    <w:rsid w:val="00F95D0D"/>
    <w:rsid w:val="00F95E4D"/>
    <w:rsid w:val="00F9606B"/>
    <w:rsid w:val="00F960F4"/>
    <w:rsid w:val="00F9614D"/>
    <w:rsid w:val="00F961AD"/>
    <w:rsid w:val="00F9624B"/>
    <w:rsid w:val="00F965B1"/>
    <w:rsid w:val="00F966D2"/>
    <w:rsid w:val="00F96803"/>
    <w:rsid w:val="00F96961"/>
    <w:rsid w:val="00F96AA5"/>
    <w:rsid w:val="00F96C8D"/>
    <w:rsid w:val="00F96E24"/>
    <w:rsid w:val="00F970B7"/>
    <w:rsid w:val="00F9726A"/>
    <w:rsid w:val="00F9730B"/>
    <w:rsid w:val="00F9737B"/>
    <w:rsid w:val="00F97406"/>
    <w:rsid w:val="00F9747B"/>
    <w:rsid w:val="00F975F3"/>
    <w:rsid w:val="00F97742"/>
    <w:rsid w:val="00F97797"/>
    <w:rsid w:val="00F977E2"/>
    <w:rsid w:val="00F97876"/>
    <w:rsid w:val="00F97898"/>
    <w:rsid w:val="00F978F6"/>
    <w:rsid w:val="00F97DF2"/>
    <w:rsid w:val="00F97FBB"/>
    <w:rsid w:val="00FA00E4"/>
    <w:rsid w:val="00FA01C8"/>
    <w:rsid w:val="00FA0212"/>
    <w:rsid w:val="00FA052F"/>
    <w:rsid w:val="00FA06AE"/>
    <w:rsid w:val="00FA0704"/>
    <w:rsid w:val="00FA0985"/>
    <w:rsid w:val="00FA0BB8"/>
    <w:rsid w:val="00FA10C8"/>
    <w:rsid w:val="00FA11CF"/>
    <w:rsid w:val="00FA12BF"/>
    <w:rsid w:val="00FA133D"/>
    <w:rsid w:val="00FA14BB"/>
    <w:rsid w:val="00FA172B"/>
    <w:rsid w:val="00FA177D"/>
    <w:rsid w:val="00FA17B6"/>
    <w:rsid w:val="00FA187C"/>
    <w:rsid w:val="00FA1B1D"/>
    <w:rsid w:val="00FA1CE8"/>
    <w:rsid w:val="00FA1F83"/>
    <w:rsid w:val="00FA21C8"/>
    <w:rsid w:val="00FA245D"/>
    <w:rsid w:val="00FA24E1"/>
    <w:rsid w:val="00FA2821"/>
    <w:rsid w:val="00FA28C0"/>
    <w:rsid w:val="00FA292E"/>
    <w:rsid w:val="00FA2C27"/>
    <w:rsid w:val="00FA301E"/>
    <w:rsid w:val="00FA30B0"/>
    <w:rsid w:val="00FA31EE"/>
    <w:rsid w:val="00FA32C8"/>
    <w:rsid w:val="00FA33C1"/>
    <w:rsid w:val="00FA34DE"/>
    <w:rsid w:val="00FA373B"/>
    <w:rsid w:val="00FA37C0"/>
    <w:rsid w:val="00FA391C"/>
    <w:rsid w:val="00FA3A46"/>
    <w:rsid w:val="00FA3C8B"/>
    <w:rsid w:val="00FA3D48"/>
    <w:rsid w:val="00FA3EB8"/>
    <w:rsid w:val="00FA3F60"/>
    <w:rsid w:val="00FA4029"/>
    <w:rsid w:val="00FA4031"/>
    <w:rsid w:val="00FA40E4"/>
    <w:rsid w:val="00FA40F3"/>
    <w:rsid w:val="00FA41DE"/>
    <w:rsid w:val="00FA434C"/>
    <w:rsid w:val="00FA4437"/>
    <w:rsid w:val="00FA4573"/>
    <w:rsid w:val="00FA4605"/>
    <w:rsid w:val="00FA46DD"/>
    <w:rsid w:val="00FA46E7"/>
    <w:rsid w:val="00FA473C"/>
    <w:rsid w:val="00FA48CE"/>
    <w:rsid w:val="00FA4AA7"/>
    <w:rsid w:val="00FA4BE6"/>
    <w:rsid w:val="00FA4C0E"/>
    <w:rsid w:val="00FA4CE1"/>
    <w:rsid w:val="00FA4DE7"/>
    <w:rsid w:val="00FA4E7E"/>
    <w:rsid w:val="00FA4F2C"/>
    <w:rsid w:val="00FA4F87"/>
    <w:rsid w:val="00FA5010"/>
    <w:rsid w:val="00FA52E1"/>
    <w:rsid w:val="00FA532A"/>
    <w:rsid w:val="00FA5467"/>
    <w:rsid w:val="00FA5502"/>
    <w:rsid w:val="00FA56E4"/>
    <w:rsid w:val="00FA586F"/>
    <w:rsid w:val="00FA595C"/>
    <w:rsid w:val="00FA5ADB"/>
    <w:rsid w:val="00FA5B5F"/>
    <w:rsid w:val="00FA5BEA"/>
    <w:rsid w:val="00FA5CCD"/>
    <w:rsid w:val="00FA5EB2"/>
    <w:rsid w:val="00FA6235"/>
    <w:rsid w:val="00FA6256"/>
    <w:rsid w:val="00FA62DA"/>
    <w:rsid w:val="00FA62F8"/>
    <w:rsid w:val="00FA643C"/>
    <w:rsid w:val="00FA6600"/>
    <w:rsid w:val="00FA6B88"/>
    <w:rsid w:val="00FA6BC3"/>
    <w:rsid w:val="00FA6DAE"/>
    <w:rsid w:val="00FA6F6C"/>
    <w:rsid w:val="00FA71E2"/>
    <w:rsid w:val="00FA734A"/>
    <w:rsid w:val="00FA77D4"/>
    <w:rsid w:val="00FA7858"/>
    <w:rsid w:val="00FA7886"/>
    <w:rsid w:val="00FA7970"/>
    <w:rsid w:val="00FA79EB"/>
    <w:rsid w:val="00FA7B4A"/>
    <w:rsid w:val="00FA7BD4"/>
    <w:rsid w:val="00FA7E5E"/>
    <w:rsid w:val="00FB0153"/>
    <w:rsid w:val="00FB02F3"/>
    <w:rsid w:val="00FB0307"/>
    <w:rsid w:val="00FB0389"/>
    <w:rsid w:val="00FB0411"/>
    <w:rsid w:val="00FB054C"/>
    <w:rsid w:val="00FB0600"/>
    <w:rsid w:val="00FB0726"/>
    <w:rsid w:val="00FB07EC"/>
    <w:rsid w:val="00FB0819"/>
    <w:rsid w:val="00FB084F"/>
    <w:rsid w:val="00FB0B79"/>
    <w:rsid w:val="00FB0BFC"/>
    <w:rsid w:val="00FB0CD9"/>
    <w:rsid w:val="00FB0CDD"/>
    <w:rsid w:val="00FB0D52"/>
    <w:rsid w:val="00FB0D9F"/>
    <w:rsid w:val="00FB0DCC"/>
    <w:rsid w:val="00FB0ED2"/>
    <w:rsid w:val="00FB0FCB"/>
    <w:rsid w:val="00FB0FF4"/>
    <w:rsid w:val="00FB1047"/>
    <w:rsid w:val="00FB125D"/>
    <w:rsid w:val="00FB13D9"/>
    <w:rsid w:val="00FB154E"/>
    <w:rsid w:val="00FB15E6"/>
    <w:rsid w:val="00FB16BC"/>
    <w:rsid w:val="00FB16CD"/>
    <w:rsid w:val="00FB17FE"/>
    <w:rsid w:val="00FB1841"/>
    <w:rsid w:val="00FB1884"/>
    <w:rsid w:val="00FB19D5"/>
    <w:rsid w:val="00FB1A27"/>
    <w:rsid w:val="00FB1C1E"/>
    <w:rsid w:val="00FB1C27"/>
    <w:rsid w:val="00FB1D4D"/>
    <w:rsid w:val="00FB1DA9"/>
    <w:rsid w:val="00FB214D"/>
    <w:rsid w:val="00FB2155"/>
    <w:rsid w:val="00FB21AA"/>
    <w:rsid w:val="00FB22C3"/>
    <w:rsid w:val="00FB2663"/>
    <w:rsid w:val="00FB27BD"/>
    <w:rsid w:val="00FB289F"/>
    <w:rsid w:val="00FB2B46"/>
    <w:rsid w:val="00FB2B53"/>
    <w:rsid w:val="00FB2BCC"/>
    <w:rsid w:val="00FB2E64"/>
    <w:rsid w:val="00FB2E71"/>
    <w:rsid w:val="00FB2F26"/>
    <w:rsid w:val="00FB2F94"/>
    <w:rsid w:val="00FB30E7"/>
    <w:rsid w:val="00FB313B"/>
    <w:rsid w:val="00FB3364"/>
    <w:rsid w:val="00FB34CB"/>
    <w:rsid w:val="00FB35D7"/>
    <w:rsid w:val="00FB36C3"/>
    <w:rsid w:val="00FB3717"/>
    <w:rsid w:val="00FB37AA"/>
    <w:rsid w:val="00FB37B4"/>
    <w:rsid w:val="00FB37BB"/>
    <w:rsid w:val="00FB3851"/>
    <w:rsid w:val="00FB39DF"/>
    <w:rsid w:val="00FB3A56"/>
    <w:rsid w:val="00FB3A7C"/>
    <w:rsid w:val="00FB3D4A"/>
    <w:rsid w:val="00FB3DFB"/>
    <w:rsid w:val="00FB3E3D"/>
    <w:rsid w:val="00FB3F2A"/>
    <w:rsid w:val="00FB3FD2"/>
    <w:rsid w:val="00FB4021"/>
    <w:rsid w:val="00FB415F"/>
    <w:rsid w:val="00FB41C7"/>
    <w:rsid w:val="00FB41D5"/>
    <w:rsid w:val="00FB444F"/>
    <w:rsid w:val="00FB45B0"/>
    <w:rsid w:val="00FB48BA"/>
    <w:rsid w:val="00FB495C"/>
    <w:rsid w:val="00FB495D"/>
    <w:rsid w:val="00FB4A83"/>
    <w:rsid w:val="00FB4A89"/>
    <w:rsid w:val="00FB4B5F"/>
    <w:rsid w:val="00FB4B75"/>
    <w:rsid w:val="00FB4C01"/>
    <w:rsid w:val="00FB4D0B"/>
    <w:rsid w:val="00FB4D34"/>
    <w:rsid w:val="00FB4E35"/>
    <w:rsid w:val="00FB4E88"/>
    <w:rsid w:val="00FB4F19"/>
    <w:rsid w:val="00FB503C"/>
    <w:rsid w:val="00FB50A7"/>
    <w:rsid w:val="00FB5282"/>
    <w:rsid w:val="00FB5413"/>
    <w:rsid w:val="00FB5502"/>
    <w:rsid w:val="00FB550B"/>
    <w:rsid w:val="00FB557E"/>
    <w:rsid w:val="00FB55C5"/>
    <w:rsid w:val="00FB55D6"/>
    <w:rsid w:val="00FB55F4"/>
    <w:rsid w:val="00FB578B"/>
    <w:rsid w:val="00FB5947"/>
    <w:rsid w:val="00FB595F"/>
    <w:rsid w:val="00FB5A9C"/>
    <w:rsid w:val="00FB5B71"/>
    <w:rsid w:val="00FB5D62"/>
    <w:rsid w:val="00FB5E22"/>
    <w:rsid w:val="00FB5F40"/>
    <w:rsid w:val="00FB605D"/>
    <w:rsid w:val="00FB6571"/>
    <w:rsid w:val="00FB660D"/>
    <w:rsid w:val="00FB6735"/>
    <w:rsid w:val="00FB674E"/>
    <w:rsid w:val="00FB6776"/>
    <w:rsid w:val="00FB67E8"/>
    <w:rsid w:val="00FB692F"/>
    <w:rsid w:val="00FB6B57"/>
    <w:rsid w:val="00FB6CC5"/>
    <w:rsid w:val="00FB7131"/>
    <w:rsid w:val="00FB71CB"/>
    <w:rsid w:val="00FB7293"/>
    <w:rsid w:val="00FB7307"/>
    <w:rsid w:val="00FB7363"/>
    <w:rsid w:val="00FB7587"/>
    <w:rsid w:val="00FB759F"/>
    <w:rsid w:val="00FB7637"/>
    <w:rsid w:val="00FB76A3"/>
    <w:rsid w:val="00FB7704"/>
    <w:rsid w:val="00FB788E"/>
    <w:rsid w:val="00FB7C7F"/>
    <w:rsid w:val="00FB7ECF"/>
    <w:rsid w:val="00FB7FFD"/>
    <w:rsid w:val="00FC003A"/>
    <w:rsid w:val="00FC003B"/>
    <w:rsid w:val="00FC0139"/>
    <w:rsid w:val="00FC0332"/>
    <w:rsid w:val="00FC059D"/>
    <w:rsid w:val="00FC05A1"/>
    <w:rsid w:val="00FC05A5"/>
    <w:rsid w:val="00FC0670"/>
    <w:rsid w:val="00FC073C"/>
    <w:rsid w:val="00FC0818"/>
    <w:rsid w:val="00FC0869"/>
    <w:rsid w:val="00FC08E4"/>
    <w:rsid w:val="00FC098F"/>
    <w:rsid w:val="00FC0AB3"/>
    <w:rsid w:val="00FC107D"/>
    <w:rsid w:val="00FC10A4"/>
    <w:rsid w:val="00FC1115"/>
    <w:rsid w:val="00FC1250"/>
    <w:rsid w:val="00FC1381"/>
    <w:rsid w:val="00FC13C3"/>
    <w:rsid w:val="00FC169E"/>
    <w:rsid w:val="00FC16B3"/>
    <w:rsid w:val="00FC17EC"/>
    <w:rsid w:val="00FC18CE"/>
    <w:rsid w:val="00FC19A8"/>
    <w:rsid w:val="00FC1A89"/>
    <w:rsid w:val="00FC1C15"/>
    <w:rsid w:val="00FC1CF7"/>
    <w:rsid w:val="00FC1EC1"/>
    <w:rsid w:val="00FC213C"/>
    <w:rsid w:val="00FC2207"/>
    <w:rsid w:val="00FC23C4"/>
    <w:rsid w:val="00FC24EF"/>
    <w:rsid w:val="00FC2563"/>
    <w:rsid w:val="00FC2980"/>
    <w:rsid w:val="00FC2C4C"/>
    <w:rsid w:val="00FC2D44"/>
    <w:rsid w:val="00FC2DEF"/>
    <w:rsid w:val="00FC2E7B"/>
    <w:rsid w:val="00FC2EB7"/>
    <w:rsid w:val="00FC2F5E"/>
    <w:rsid w:val="00FC3029"/>
    <w:rsid w:val="00FC3158"/>
    <w:rsid w:val="00FC327B"/>
    <w:rsid w:val="00FC333F"/>
    <w:rsid w:val="00FC3623"/>
    <w:rsid w:val="00FC36CF"/>
    <w:rsid w:val="00FC377D"/>
    <w:rsid w:val="00FC3ACD"/>
    <w:rsid w:val="00FC3D80"/>
    <w:rsid w:val="00FC3D9B"/>
    <w:rsid w:val="00FC3E0D"/>
    <w:rsid w:val="00FC3EEA"/>
    <w:rsid w:val="00FC4020"/>
    <w:rsid w:val="00FC409E"/>
    <w:rsid w:val="00FC434E"/>
    <w:rsid w:val="00FC4743"/>
    <w:rsid w:val="00FC475D"/>
    <w:rsid w:val="00FC4783"/>
    <w:rsid w:val="00FC4786"/>
    <w:rsid w:val="00FC47FA"/>
    <w:rsid w:val="00FC4857"/>
    <w:rsid w:val="00FC48E8"/>
    <w:rsid w:val="00FC4999"/>
    <w:rsid w:val="00FC4F9A"/>
    <w:rsid w:val="00FC5554"/>
    <w:rsid w:val="00FC555C"/>
    <w:rsid w:val="00FC5653"/>
    <w:rsid w:val="00FC59CC"/>
    <w:rsid w:val="00FC5BB8"/>
    <w:rsid w:val="00FC5BBA"/>
    <w:rsid w:val="00FC60BA"/>
    <w:rsid w:val="00FC6103"/>
    <w:rsid w:val="00FC64B3"/>
    <w:rsid w:val="00FC656A"/>
    <w:rsid w:val="00FC65D1"/>
    <w:rsid w:val="00FC65E9"/>
    <w:rsid w:val="00FC66A8"/>
    <w:rsid w:val="00FC66BA"/>
    <w:rsid w:val="00FC69FD"/>
    <w:rsid w:val="00FC6CBE"/>
    <w:rsid w:val="00FC6DE3"/>
    <w:rsid w:val="00FC6F0E"/>
    <w:rsid w:val="00FC6F13"/>
    <w:rsid w:val="00FC6FA4"/>
    <w:rsid w:val="00FC7035"/>
    <w:rsid w:val="00FC753F"/>
    <w:rsid w:val="00FC754F"/>
    <w:rsid w:val="00FC76B6"/>
    <w:rsid w:val="00FC787D"/>
    <w:rsid w:val="00FC7A9C"/>
    <w:rsid w:val="00FC7A9F"/>
    <w:rsid w:val="00FC7C6C"/>
    <w:rsid w:val="00FC7E20"/>
    <w:rsid w:val="00FC7F0A"/>
    <w:rsid w:val="00FD0115"/>
    <w:rsid w:val="00FD03D2"/>
    <w:rsid w:val="00FD080A"/>
    <w:rsid w:val="00FD0C58"/>
    <w:rsid w:val="00FD0C74"/>
    <w:rsid w:val="00FD0CB8"/>
    <w:rsid w:val="00FD0E57"/>
    <w:rsid w:val="00FD0F96"/>
    <w:rsid w:val="00FD1288"/>
    <w:rsid w:val="00FD12DE"/>
    <w:rsid w:val="00FD12F2"/>
    <w:rsid w:val="00FD1336"/>
    <w:rsid w:val="00FD13F9"/>
    <w:rsid w:val="00FD168E"/>
    <w:rsid w:val="00FD1983"/>
    <w:rsid w:val="00FD1B90"/>
    <w:rsid w:val="00FD1DAD"/>
    <w:rsid w:val="00FD1E5B"/>
    <w:rsid w:val="00FD201E"/>
    <w:rsid w:val="00FD2067"/>
    <w:rsid w:val="00FD24C5"/>
    <w:rsid w:val="00FD280F"/>
    <w:rsid w:val="00FD2858"/>
    <w:rsid w:val="00FD2B41"/>
    <w:rsid w:val="00FD2C51"/>
    <w:rsid w:val="00FD2D70"/>
    <w:rsid w:val="00FD2DA5"/>
    <w:rsid w:val="00FD2DBD"/>
    <w:rsid w:val="00FD2DD5"/>
    <w:rsid w:val="00FD30A3"/>
    <w:rsid w:val="00FD31AF"/>
    <w:rsid w:val="00FD32C6"/>
    <w:rsid w:val="00FD3317"/>
    <w:rsid w:val="00FD3582"/>
    <w:rsid w:val="00FD3823"/>
    <w:rsid w:val="00FD3847"/>
    <w:rsid w:val="00FD38E2"/>
    <w:rsid w:val="00FD3A2B"/>
    <w:rsid w:val="00FD3BEB"/>
    <w:rsid w:val="00FD3BF2"/>
    <w:rsid w:val="00FD3DA6"/>
    <w:rsid w:val="00FD3E36"/>
    <w:rsid w:val="00FD4220"/>
    <w:rsid w:val="00FD4290"/>
    <w:rsid w:val="00FD44E5"/>
    <w:rsid w:val="00FD4598"/>
    <w:rsid w:val="00FD46A5"/>
    <w:rsid w:val="00FD46DE"/>
    <w:rsid w:val="00FD486C"/>
    <w:rsid w:val="00FD48CE"/>
    <w:rsid w:val="00FD4B0C"/>
    <w:rsid w:val="00FD4B11"/>
    <w:rsid w:val="00FD4B2C"/>
    <w:rsid w:val="00FD4CF8"/>
    <w:rsid w:val="00FD4F26"/>
    <w:rsid w:val="00FD5018"/>
    <w:rsid w:val="00FD5280"/>
    <w:rsid w:val="00FD52A0"/>
    <w:rsid w:val="00FD52BD"/>
    <w:rsid w:val="00FD52CC"/>
    <w:rsid w:val="00FD54E7"/>
    <w:rsid w:val="00FD5600"/>
    <w:rsid w:val="00FD57E5"/>
    <w:rsid w:val="00FD583D"/>
    <w:rsid w:val="00FD5925"/>
    <w:rsid w:val="00FD5990"/>
    <w:rsid w:val="00FD59BE"/>
    <w:rsid w:val="00FD5AA6"/>
    <w:rsid w:val="00FD5BBE"/>
    <w:rsid w:val="00FD5BC1"/>
    <w:rsid w:val="00FD5CFC"/>
    <w:rsid w:val="00FD5DF7"/>
    <w:rsid w:val="00FD5E0B"/>
    <w:rsid w:val="00FD5EC0"/>
    <w:rsid w:val="00FD5F86"/>
    <w:rsid w:val="00FD6078"/>
    <w:rsid w:val="00FD619D"/>
    <w:rsid w:val="00FD61DB"/>
    <w:rsid w:val="00FD6368"/>
    <w:rsid w:val="00FD646F"/>
    <w:rsid w:val="00FD6612"/>
    <w:rsid w:val="00FD6650"/>
    <w:rsid w:val="00FD691E"/>
    <w:rsid w:val="00FD6A00"/>
    <w:rsid w:val="00FD6A1F"/>
    <w:rsid w:val="00FD6A8F"/>
    <w:rsid w:val="00FD6AD9"/>
    <w:rsid w:val="00FD6AE5"/>
    <w:rsid w:val="00FD6B43"/>
    <w:rsid w:val="00FD6B75"/>
    <w:rsid w:val="00FD6CBB"/>
    <w:rsid w:val="00FD6DEE"/>
    <w:rsid w:val="00FD6E4F"/>
    <w:rsid w:val="00FD6E6E"/>
    <w:rsid w:val="00FD6F7E"/>
    <w:rsid w:val="00FD72C0"/>
    <w:rsid w:val="00FD7519"/>
    <w:rsid w:val="00FD76BB"/>
    <w:rsid w:val="00FD7701"/>
    <w:rsid w:val="00FD78D4"/>
    <w:rsid w:val="00FD7C8D"/>
    <w:rsid w:val="00FD7D03"/>
    <w:rsid w:val="00FD7D15"/>
    <w:rsid w:val="00FD7D44"/>
    <w:rsid w:val="00FD7EC8"/>
    <w:rsid w:val="00FE00B8"/>
    <w:rsid w:val="00FE0267"/>
    <w:rsid w:val="00FE07ED"/>
    <w:rsid w:val="00FE0960"/>
    <w:rsid w:val="00FE0A44"/>
    <w:rsid w:val="00FE0D92"/>
    <w:rsid w:val="00FE0EF3"/>
    <w:rsid w:val="00FE0FE6"/>
    <w:rsid w:val="00FE1001"/>
    <w:rsid w:val="00FE105E"/>
    <w:rsid w:val="00FE128E"/>
    <w:rsid w:val="00FE1321"/>
    <w:rsid w:val="00FE136A"/>
    <w:rsid w:val="00FE14BE"/>
    <w:rsid w:val="00FE154B"/>
    <w:rsid w:val="00FE158A"/>
    <w:rsid w:val="00FE1597"/>
    <w:rsid w:val="00FE1946"/>
    <w:rsid w:val="00FE19EE"/>
    <w:rsid w:val="00FE19F9"/>
    <w:rsid w:val="00FE1AED"/>
    <w:rsid w:val="00FE1CB9"/>
    <w:rsid w:val="00FE1FE5"/>
    <w:rsid w:val="00FE2064"/>
    <w:rsid w:val="00FE21C1"/>
    <w:rsid w:val="00FE21CB"/>
    <w:rsid w:val="00FE2285"/>
    <w:rsid w:val="00FE23C4"/>
    <w:rsid w:val="00FE2556"/>
    <w:rsid w:val="00FE2704"/>
    <w:rsid w:val="00FE27EE"/>
    <w:rsid w:val="00FE28E4"/>
    <w:rsid w:val="00FE297A"/>
    <w:rsid w:val="00FE2B29"/>
    <w:rsid w:val="00FE2C0D"/>
    <w:rsid w:val="00FE2C83"/>
    <w:rsid w:val="00FE2D0D"/>
    <w:rsid w:val="00FE2F05"/>
    <w:rsid w:val="00FE31A6"/>
    <w:rsid w:val="00FE3228"/>
    <w:rsid w:val="00FE3386"/>
    <w:rsid w:val="00FE34F4"/>
    <w:rsid w:val="00FE3636"/>
    <w:rsid w:val="00FE3772"/>
    <w:rsid w:val="00FE3828"/>
    <w:rsid w:val="00FE38D7"/>
    <w:rsid w:val="00FE393C"/>
    <w:rsid w:val="00FE39D3"/>
    <w:rsid w:val="00FE3A67"/>
    <w:rsid w:val="00FE3D8F"/>
    <w:rsid w:val="00FE3DE0"/>
    <w:rsid w:val="00FE4037"/>
    <w:rsid w:val="00FE40AB"/>
    <w:rsid w:val="00FE4188"/>
    <w:rsid w:val="00FE45F4"/>
    <w:rsid w:val="00FE46FB"/>
    <w:rsid w:val="00FE473F"/>
    <w:rsid w:val="00FE48F1"/>
    <w:rsid w:val="00FE49DE"/>
    <w:rsid w:val="00FE4A48"/>
    <w:rsid w:val="00FE4ACC"/>
    <w:rsid w:val="00FE4ACE"/>
    <w:rsid w:val="00FE4BA0"/>
    <w:rsid w:val="00FE4F64"/>
    <w:rsid w:val="00FE501F"/>
    <w:rsid w:val="00FE5502"/>
    <w:rsid w:val="00FE55C7"/>
    <w:rsid w:val="00FE55E4"/>
    <w:rsid w:val="00FE566B"/>
    <w:rsid w:val="00FE570B"/>
    <w:rsid w:val="00FE5760"/>
    <w:rsid w:val="00FE57E9"/>
    <w:rsid w:val="00FE5843"/>
    <w:rsid w:val="00FE5915"/>
    <w:rsid w:val="00FE5A32"/>
    <w:rsid w:val="00FE5A54"/>
    <w:rsid w:val="00FE5CC5"/>
    <w:rsid w:val="00FE5D4C"/>
    <w:rsid w:val="00FE5E3A"/>
    <w:rsid w:val="00FE5F26"/>
    <w:rsid w:val="00FE5F9E"/>
    <w:rsid w:val="00FE6288"/>
    <w:rsid w:val="00FE657C"/>
    <w:rsid w:val="00FE665C"/>
    <w:rsid w:val="00FE6664"/>
    <w:rsid w:val="00FE675D"/>
    <w:rsid w:val="00FE67A1"/>
    <w:rsid w:val="00FE67E3"/>
    <w:rsid w:val="00FE68D9"/>
    <w:rsid w:val="00FE6A2C"/>
    <w:rsid w:val="00FE6A61"/>
    <w:rsid w:val="00FE6AEF"/>
    <w:rsid w:val="00FE6B91"/>
    <w:rsid w:val="00FE6C8C"/>
    <w:rsid w:val="00FE6CF8"/>
    <w:rsid w:val="00FE6EDA"/>
    <w:rsid w:val="00FE7153"/>
    <w:rsid w:val="00FE7192"/>
    <w:rsid w:val="00FE72EB"/>
    <w:rsid w:val="00FE74CA"/>
    <w:rsid w:val="00FE74ED"/>
    <w:rsid w:val="00FE74FF"/>
    <w:rsid w:val="00FE7768"/>
    <w:rsid w:val="00FE7AEE"/>
    <w:rsid w:val="00FE7E3B"/>
    <w:rsid w:val="00FF038B"/>
    <w:rsid w:val="00FF03CB"/>
    <w:rsid w:val="00FF0588"/>
    <w:rsid w:val="00FF0661"/>
    <w:rsid w:val="00FF073F"/>
    <w:rsid w:val="00FF0787"/>
    <w:rsid w:val="00FF086E"/>
    <w:rsid w:val="00FF092F"/>
    <w:rsid w:val="00FF0998"/>
    <w:rsid w:val="00FF09C3"/>
    <w:rsid w:val="00FF09D1"/>
    <w:rsid w:val="00FF0A2A"/>
    <w:rsid w:val="00FF0A37"/>
    <w:rsid w:val="00FF0AAE"/>
    <w:rsid w:val="00FF0B8C"/>
    <w:rsid w:val="00FF0BEC"/>
    <w:rsid w:val="00FF0E0E"/>
    <w:rsid w:val="00FF0FE7"/>
    <w:rsid w:val="00FF10EB"/>
    <w:rsid w:val="00FF12EB"/>
    <w:rsid w:val="00FF1407"/>
    <w:rsid w:val="00FF1481"/>
    <w:rsid w:val="00FF159C"/>
    <w:rsid w:val="00FF15C0"/>
    <w:rsid w:val="00FF16C8"/>
    <w:rsid w:val="00FF177A"/>
    <w:rsid w:val="00FF189A"/>
    <w:rsid w:val="00FF1989"/>
    <w:rsid w:val="00FF1AE9"/>
    <w:rsid w:val="00FF1DC9"/>
    <w:rsid w:val="00FF200B"/>
    <w:rsid w:val="00FF2053"/>
    <w:rsid w:val="00FF2155"/>
    <w:rsid w:val="00FF22C6"/>
    <w:rsid w:val="00FF2817"/>
    <w:rsid w:val="00FF293E"/>
    <w:rsid w:val="00FF2B3B"/>
    <w:rsid w:val="00FF2CAD"/>
    <w:rsid w:val="00FF2DF8"/>
    <w:rsid w:val="00FF2E49"/>
    <w:rsid w:val="00FF2EA1"/>
    <w:rsid w:val="00FF2F32"/>
    <w:rsid w:val="00FF30DE"/>
    <w:rsid w:val="00FF321F"/>
    <w:rsid w:val="00FF3475"/>
    <w:rsid w:val="00FF34C6"/>
    <w:rsid w:val="00FF35E8"/>
    <w:rsid w:val="00FF395B"/>
    <w:rsid w:val="00FF3963"/>
    <w:rsid w:val="00FF39D0"/>
    <w:rsid w:val="00FF3AFF"/>
    <w:rsid w:val="00FF3E55"/>
    <w:rsid w:val="00FF4206"/>
    <w:rsid w:val="00FF4214"/>
    <w:rsid w:val="00FF4295"/>
    <w:rsid w:val="00FF4458"/>
    <w:rsid w:val="00FF448E"/>
    <w:rsid w:val="00FF4667"/>
    <w:rsid w:val="00FF46A2"/>
    <w:rsid w:val="00FF470E"/>
    <w:rsid w:val="00FF4A9C"/>
    <w:rsid w:val="00FF4ACF"/>
    <w:rsid w:val="00FF4B17"/>
    <w:rsid w:val="00FF4BE1"/>
    <w:rsid w:val="00FF4EC1"/>
    <w:rsid w:val="00FF532B"/>
    <w:rsid w:val="00FF543E"/>
    <w:rsid w:val="00FF545E"/>
    <w:rsid w:val="00FF5573"/>
    <w:rsid w:val="00FF56BD"/>
    <w:rsid w:val="00FF5798"/>
    <w:rsid w:val="00FF579E"/>
    <w:rsid w:val="00FF5881"/>
    <w:rsid w:val="00FF59C2"/>
    <w:rsid w:val="00FF5AE0"/>
    <w:rsid w:val="00FF5B0D"/>
    <w:rsid w:val="00FF5C07"/>
    <w:rsid w:val="00FF5F8A"/>
    <w:rsid w:val="00FF5FA2"/>
    <w:rsid w:val="00FF6093"/>
    <w:rsid w:val="00FF611A"/>
    <w:rsid w:val="00FF625C"/>
    <w:rsid w:val="00FF64F9"/>
    <w:rsid w:val="00FF664E"/>
    <w:rsid w:val="00FF6698"/>
    <w:rsid w:val="00FF698E"/>
    <w:rsid w:val="00FF6A1A"/>
    <w:rsid w:val="00FF6BA8"/>
    <w:rsid w:val="00FF6CAE"/>
    <w:rsid w:val="00FF6D3E"/>
    <w:rsid w:val="00FF6E1B"/>
    <w:rsid w:val="00FF6F3A"/>
    <w:rsid w:val="00FF703C"/>
    <w:rsid w:val="00FF70AD"/>
    <w:rsid w:val="00FF7376"/>
    <w:rsid w:val="00FF737E"/>
    <w:rsid w:val="00FF76B5"/>
    <w:rsid w:val="00FF76CD"/>
    <w:rsid w:val="00FF76E4"/>
    <w:rsid w:val="00FF770A"/>
    <w:rsid w:val="00FF7979"/>
    <w:rsid w:val="00FF7D96"/>
    <w:rsid w:val="00FF7DD3"/>
    <w:rsid w:val="0124769B"/>
    <w:rsid w:val="0138D265"/>
    <w:rsid w:val="01412754"/>
    <w:rsid w:val="0151EFB7"/>
    <w:rsid w:val="015BAC97"/>
    <w:rsid w:val="015CD76A"/>
    <w:rsid w:val="01664B9D"/>
    <w:rsid w:val="01A8A2C1"/>
    <w:rsid w:val="01D485F7"/>
    <w:rsid w:val="01D6A5D1"/>
    <w:rsid w:val="01D99A59"/>
    <w:rsid w:val="021946D6"/>
    <w:rsid w:val="021A1FBA"/>
    <w:rsid w:val="021DC156"/>
    <w:rsid w:val="022DFC7B"/>
    <w:rsid w:val="02301E76"/>
    <w:rsid w:val="0276AE41"/>
    <w:rsid w:val="0286A30D"/>
    <w:rsid w:val="029EF274"/>
    <w:rsid w:val="02A65E02"/>
    <w:rsid w:val="02A85205"/>
    <w:rsid w:val="02BEF52A"/>
    <w:rsid w:val="02D1089C"/>
    <w:rsid w:val="02E7A2DC"/>
    <w:rsid w:val="02EDDFDE"/>
    <w:rsid w:val="02F912CB"/>
    <w:rsid w:val="02FD3586"/>
    <w:rsid w:val="0300B427"/>
    <w:rsid w:val="030D9DA4"/>
    <w:rsid w:val="03139CDE"/>
    <w:rsid w:val="031CF57D"/>
    <w:rsid w:val="0331A7E6"/>
    <w:rsid w:val="033824F5"/>
    <w:rsid w:val="03471D84"/>
    <w:rsid w:val="03500712"/>
    <w:rsid w:val="036649B8"/>
    <w:rsid w:val="0375CF20"/>
    <w:rsid w:val="038128E0"/>
    <w:rsid w:val="03A1635D"/>
    <w:rsid w:val="03BDD451"/>
    <w:rsid w:val="03C65206"/>
    <w:rsid w:val="03D6577B"/>
    <w:rsid w:val="03F04F80"/>
    <w:rsid w:val="04122C90"/>
    <w:rsid w:val="04188686"/>
    <w:rsid w:val="043663D8"/>
    <w:rsid w:val="0439EFA2"/>
    <w:rsid w:val="045413EB"/>
    <w:rsid w:val="048815B0"/>
    <w:rsid w:val="049279C0"/>
    <w:rsid w:val="0496AB14"/>
    <w:rsid w:val="04AF7624"/>
    <w:rsid w:val="04BDD214"/>
    <w:rsid w:val="04C617A9"/>
    <w:rsid w:val="04CD9024"/>
    <w:rsid w:val="04FB5990"/>
    <w:rsid w:val="05228AF5"/>
    <w:rsid w:val="05340E92"/>
    <w:rsid w:val="053EB1C0"/>
    <w:rsid w:val="05417F8A"/>
    <w:rsid w:val="054C5A07"/>
    <w:rsid w:val="057B506E"/>
    <w:rsid w:val="058005B7"/>
    <w:rsid w:val="059DB6CF"/>
    <w:rsid w:val="05A451D2"/>
    <w:rsid w:val="05C04F9A"/>
    <w:rsid w:val="05C774E8"/>
    <w:rsid w:val="05D6E295"/>
    <w:rsid w:val="05DD69AE"/>
    <w:rsid w:val="05DFBDE0"/>
    <w:rsid w:val="05E0FDCE"/>
    <w:rsid w:val="05E659FD"/>
    <w:rsid w:val="05EB3F57"/>
    <w:rsid w:val="05F6AC17"/>
    <w:rsid w:val="05FBD57C"/>
    <w:rsid w:val="0603945A"/>
    <w:rsid w:val="060D21A7"/>
    <w:rsid w:val="06179FAA"/>
    <w:rsid w:val="06295D6E"/>
    <w:rsid w:val="0629C43C"/>
    <w:rsid w:val="062C84DD"/>
    <w:rsid w:val="06466978"/>
    <w:rsid w:val="06544341"/>
    <w:rsid w:val="0671A0A3"/>
    <w:rsid w:val="067F6718"/>
    <w:rsid w:val="068DA9F5"/>
    <w:rsid w:val="069EADAE"/>
    <w:rsid w:val="06A3A1E3"/>
    <w:rsid w:val="06B39D87"/>
    <w:rsid w:val="06C369BC"/>
    <w:rsid w:val="06CEC254"/>
    <w:rsid w:val="06CEEA3C"/>
    <w:rsid w:val="06D2F120"/>
    <w:rsid w:val="06D4C763"/>
    <w:rsid w:val="06E30FB7"/>
    <w:rsid w:val="0713C4D9"/>
    <w:rsid w:val="071F5A1C"/>
    <w:rsid w:val="0726068E"/>
    <w:rsid w:val="0728911A"/>
    <w:rsid w:val="076AD3BC"/>
    <w:rsid w:val="078BF989"/>
    <w:rsid w:val="078D215E"/>
    <w:rsid w:val="07A4C576"/>
    <w:rsid w:val="07A59589"/>
    <w:rsid w:val="07B39E03"/>
    <w:rsid w:val="07B49932"/>
    <w:rsid w:val="07B8672A"/>
    <w:rsid w:val="07C4FD13"/>
    <w:rsid w:val="07D22165"/>
    <w:rsid w:val="07F0AD39"/>
    <w:rsid w:val="07F19351"/>
    <w:rsid w:val="0807B864"/>
    <w:rsid w:val="08183EAD"/>
    <w:rsid w:val="0826B72F"/>
    <w:rsid w:val="0832642B"/>
    <w:rsid w:val="084E9328"/>
    <w:rsid w:val="0881FA9F"/>
    <w:rsid w:val="0883A6DF"/>
    <w:rsid w:val="08867F03"/>
    <w:rsid w:val="088A6FD4"/>
    <w:rsid w:val="088FAFE2"/>
    <w:rsid w:val="089BA3E0"/>
    <w:rsid w:val="08A3DBE1"/>
    <w:rsid w:val="08A6BBE9"/>
    <w:rsid w:val="08AA87A3"/>
    <w:rsid w:val="08ACF79B"/>
    <w:rsid w:val="08E31CA5"/>
    <w:rsid w:val="08EF7060"/>
    <w:rsid w:val="08FDDA7A"/>
    <w:rsid w:val="0907B1BA"/>
    <w:rsid w:val="091059C3"/>
    <w:rsid w:val="097CF99E"/>
    <w:rsid w:val="09A7E738"/>
    <w:rsid w:val="09CEA5C4"/>
    <w:rsid w:val="09DC5D13"/>
    <w:rsid w:val="09DF7395"/>
    <w:rsid w:val="09EF5392"/>
    <w:rsid w:val="0A29BFCF"/>
    <w:rsid w:val="0A2AEA0B"/>
    <w:rsid w:val="0A2CCEF2"/>
    <w:rsid w:val="0A43F963"/>
    <w:rsid w:val="0A4BDD7A"/>
    <w:rsid w:val="0A7F4263"/>
    <w:rsid w:val="0A856369"/>
    <w:rsid w:val="0A980F06"/>
    <w:rsid w:val="0AAD3A60"/>
    <w:rsid w:val="0AB2B8E1"/>
    <w:rsid w:val="0AC30AFC"/>
    <w:rsid w:val="0AE721D9"/>
    <w:rsid w:val="0AEEE8E8"/>
    <w:rsid w:val="0B19EF7B"/>
    <w:rsid w:val="0B317D8C"/>
    <w:rsid w:val="0B778981"/>
    <w:rsid w:val="0B7EADAD"/>
    <w:rsid w:val="0B816E19"/>
    <w:rsid w:val="0B85C565"/>
    <w:rsid w:val="0BAE08F3"/>
    <w:rsid w:val="0BB3C236"/>
    <w:rsid w:val="0BC7AB87"/>
    <w:rsid w:val="0BC9A6B3"/>
    <w:rsid w:val="0BCC525F"/>
    <w:rsid w:val="0BDF4798"/>
    <w:rsid w:val="0BE1F939"/>
    <w:rsid w:val="0C03BAFE"/>
    <w:rsid w:val="0C069FE9"/>
    <w:rsid w:val="0C4F6080"/>
    <w:rsid w:val="0C51291A"/>
    <w:rsid w:val="0C604927"/>
    <w:rsid w:val="0C640537"/>
    <w:rsid w:val="0C7EFD04"/>
    <w:rsid w:val="0C85098D"/>
    <w:rsid w:val="0C8CC5AE"/>
    <w:rsid w:val="0CA8BC5C"/>
    <w:rsid w:val="0CBD6E35"/>
    <w:rsid w:val="0CC62B47"/>
    <w:rsid w:val="0CD8AE25"/>
    <w:rsid w:val="0CE71257"/>
    <w:rsid w:val="0CE87328"/>
    <w:rsid w:val="0CF1B849"/>
    <w:rsid w:val="0D11DA94"/>
    <w:rsid w:val="0D1ABB2F"/>
    <w:rsid w:val="0D36BEEB"/>
    <w:rsid w:val="0D371C20"/>
    <w:rsid w:val="0D375DD5"/>
    <w:rsid w:val="0D48A05A"/>
    <w:rsid w:val="0D4AF27C"/>
    <w:rsid w:val="0D6DD967"/>
    <w:rsid w:val="0D71E207"/>
    <w:rsid w:val="0D8A4410"/>
    <w:rsid w:val="0D8E245D"/>
    <w:rsid w:val="0D90A960"/>
    <w:rsid w:val="0DAD8F22"/>
    <w:rsid w:val="0DB540F1"/>
    <w:rsid w:val="0DC2185D"/>
    <w:rsid w:val="0DD0F593"/>
    <w:rsid w:val="0DD6A689"/>
    <w:rsid w:val="0DD7C594"/>
    <w:rsid w:val="0E401074"/>
    <w:rsid w:val="0E65728D"/>
    <w:rsid w:val="0E6BE937"/>
    <w:rsid w:val="0E6CE325"/>
    <w:rsid w:val="0E862D6B"/>
    <w:rsid w:val="0E889094"/>
    <w:rsid w:val="0E955134"/>
    <w:rsid w:val="0E994AFF"/>
    <w:rsid w:val="0EA0D5E0"/>
    <w:rsid w:val="0EA49F1D"/>
    <w:rsid w:val="0EDCD509"/>
    <w:rsid w:val="0EE675D0"/>
    <w:rsid w:val="0EE777A7"/>
    <w:rsid w:val="0EF2C4B6"/>
    <w:rsid w:val="0EF5B99B"/>
    <w:rsid w:val="0EF875DD"/>
    <w:rsid w:val="0F107D53"/>
    <w:rsid w:val="0F24D26A"/>
    <w:rsid w:val="0F4454C9"/>
    <w:rsid w:val="0F498088"/>
    <w:rsid w:val="0F4D56DA"/>
    <w:rsid w:val="0F5AF4D6"/>
    <w:rsid w:val="0F5C8168"/>
    <w:rsid w:val="0FAB3947"/>
    <w:rsid w:val="0FB853A9"/>
    <w:rsid w:val="0FD10F4B"/>
    <w:rsid w:val="0FD95189"/>
    <w:rsid w:val="0FF1453A"/>
    <w:rsid w:val="100123CF"/>
    <w:rsid w:val="1013183D"/>
    <w:rsid w:val="10134B19"/>
    <w:rsid w:val="1035D98A"/>
    <w:rsid w:val="10534479"/>
    <w:rsid w:val="1066D6EA"/>
    <w:rsid w:val="108E26DE"/>
    <w:rsid w:val="10D063C6"/>
    <w:rsid w:val="10D0CB0C"/>
    <w:rsid w:val="10DB3554"/>
    <w:rsid w:val="10DC6F6F"/>
    <w:rsid w:val="10E91419"/>
    <w:rsid w:val="1113067F"/>
    <w:rsid w:val="112A7D25"/>
    <w:rsid w:val="11450DA8"/>
    <w:rsid w:val="11482AE4"/>
    <w:rsid w:val="11516888"/>
    <w:rsid w:val="1163593E"/>
    <w:rsid w:val="11781511"/>
    <w:rsid w:val="117D4396"/>
    <w:rsid w:val="118153BC"/>
    <w:rsid w:val="119818E2"/>
    <w:rsid w:val="11B4DAF0"/>
    <w:rsid w:val="11EA6E63"/>
    <w:rsid w:val="11EEBEBB"/>
    <w:rsid w:val="11F542F2"/>
    <w:rsid w:val="120752B1"/>
    <w:rsid w:val="12253AFE"/>
    <w:rsid w:val="122867A7"/>
    <w:rsid w:val="127F2634"/>
    <w:rsid w:val="12AB1832"/>
    <w:rsid w:val="12C1FA1D"/>
    <w:rsid w:val="12C491BC"/>
    <w:rsid w:val="12CBED22"/>
    <w:rsid w:val="12D04A09"/>
    <w:rsid w:val="12D87CA9"/>
    <w:rsid w:val="12F3061C"/>
    <w:rsid w:val="13145ABC"/>
    <w:rsid w:val="131652CE"/>
    <w:rsid w:val="13179C8C"/>
    <w:rsid w:val="1326AE38"/>
    <w:rsid w:val="13370EDA"/>
    <w:rsid w:val="135A2F32"/>
    <w:rsid w:val="136E7AF6"/>
    <w:rsid w:val="138E8B33"/>
    <w:rsid w:val="13AB948C"/>
    <w:rsid w:val="13BB3086"/>
    <w:rsid w:val="13BF5E3E"/>
    <w:rsid w:val="13DB3376"/>
    <w:rsid w:val="13EA98D9"/>
    <w:rsid w:val="13F61584"/>
    <w:rsid w:val="14024090"/>
    <w:rsid w:val="141A39CB"/>
    <w:rsid w:val="1434CA21"/>
    <w:rsid w:val="14390A23"/>
    <w:rsid w:val="144F06C0"/>
    <w:rsid w:val="145D2BFA"/>
    <w:rsid w:val="14692212"/>
    <w:rsid w:val="14742129"/>
    <w:rsid w:val="147770CE"/>
    <w:rsid w:val="147AE9E6"/>
    <w:rsid w:val="147E6518"/>
    <w:rsid w:val="14A4F7E3"/>
    <w:rsid w:val="14A7C0F6"/>
    <w:rsid w:val="14A8762D"/>
    <w:rsid w:val="14E45883"/>
    <w:rsid w:val="14F318BA"/>
    <w:rsid w:val="14F6BFD1"/>
    <w:rsid w:val="15294B73"/>
    <w:rsid w:val="154C8CAB"/>
    <w:rsid w:val="154EB463"/>
    <w:rsid w:val="155F48B7"/>
    <w:rsid w:val="1563EA5C"/>
    <w:rsid w:val="156A9A53"/>
    <w:rsid w:val="156BA143"/>
    <w:rsid w:val="156D0787"/>
    <w:rsid w:val="1575A980"/>
    <w:rsid w:val="15849569"/>
    <w:rsid w:val="15940431"/>
    <w:rsid w:val="15946222"/>
    <w:rsid w:val="1595A4B1"/>
    <w:rsid w:val="159629A3"/>
    <w:rsid w:val="1596D13D"/>
    <w:rsid w:val="1599B9E7"/>
    <w:rsid w:val="159A1F2A"/>
    <w:rsid w:val="15A62BEF"/>
    <w:rsid w:val="15B1E397"/>
    <w:rsid w:val="15B8E487"/>
    <w:rsid w:val="15DDB560"/>
    <w:rsid w:val="15E00247"/>
    <w:rsid w:val="16000367"/>
    <w:rsid w:val="16148037"/>
    <w:rsid w:val="161512B6"/>
    <w:rsid w:val="16195F1C"/>
    <w:rsid w:val="163F8503"/>
    <w:rsid w:val="16677CB5"/>
    <w:rsid w:val="168D3E5E"/>
    <w:rsid w:val="16970D2A"/>
    <w:rsid w:val="16A9F0B2"/>
    <w:rsid w:val="16B82A90"/>
    <w:rsid w:val="16CCF793"/>
    <w:rsid w:val="16D1FAC8"/>
    <w:rsid w:val="16E6EB64"/>
    <w:rsid w:val="16F13C09"/>
    <w:rsid w:val="171DEC56"/>
    <w:rsid w:val="17215D57"/>
    <w:rsid w:val="1735D1DB"/>
    <w:rsid w:val="1759C101"/>
    <w:rsid w:val="17713F7F"/>
    <w:rsid w:val="17771223"/>
    <w:rsid w:val="177ECE3F"/>
    <w:rsid w:val="178D2D47"/>
    <w:rsid w:val="1796D515"/>
    <w:rsid w:val="179F8B85"/>
    <w:rsid w:val="17A4E8E8"/>
    <w:rsid w:val="17EB3C23"/>
    <w:rsid w:val="17F21E08"/>
    <w:rsid w:val="17FC5C6C"/>
    <w:rsid w:val="180BDACB"/>
    <w:rsid w:val="18125658"/>
    <w:rsid w:val="18225835"/>
    <w:rsid w:val="182F18A0"/>
    <w:rsid w:val="18373032"/>
    <w:rsid w:val="18463428"/>
    <w:rsid w:val="18484602"/>
    <w:rsid w:val="189AAB6E"/>
    <w:rsid w:val="18B8DFF3"/>
    <w:rsid w:val="18B947D3"/>
    <w:rsid w:val="18BBA9A0"/>
    <w:rsid w:val="18C49731"/>
    <w:rsid w:val="18D88D5F"/>
    <w:rsid w:val="18DD39AE"/>
    <w:rsid w:val="18F1216D"/>
    <w:rsid w:val="18F3A6E2"/>
    <w:rsid w:val="18F48FE5"/>
    <w:rsid w:val="18FCCBD1"/>
    <w:rsid w:val="1906BA1B"/>
    <w:rsid w:val="1912A0F4"/>
    <w:rsid w:val="193B6306"/>
    <w:rsid w:val="193CD908"/>
    <w:rsid w:val="19437298"/>
    <w:rsid w:val="19454339"/>
    <w:rsid w:val="195BFF31"/>
    <w:rsid w:val="19676245"/>
    <w:rsid w:val="19694181"/>
    <w:rsid w:val="196EC4B8"/>
    <w:rsid w:val="197391E7"/>
    <w:rsid w:val="1976615E"/>
    <w:rsid w:val="19794366"/>
    <w:rsid w:val="198105E3"/>
    <w:rsid w:val="19A84953"/>
    <w:rsid w:val="19BDB03C"/>
    <w:rsid w:val="19E5741B"/>
    <w:rsid w:val="19F9A87A"/>
    <w:rsid w:val="1A17BA39"/>
    <w:rsid w:val="1A4FFB52"/>
    <w:rsid w:val="1A7DE85A"/>
    <w:rsid w:val="1A8374BF"/>
    <w:rsid w:val="1A8D040D"/>
    <w:rsid w:val="1A8D51E8"/>
    <w:rsid w:val="1A92AA90"/>
    <w:rsid w:val="1ABAFC4E"/>
    <w:rsid w:val="1ABC169E"/>
    <w:rsid w:val="1ACD9817"/>
    <w:rsid w:val="1ADBA734"/>
    <w:rsid w:val="1B262977"/>
    <w:rsid w:val="1B26589E"/>
    <w:rsid w:val="1B26698B"/>
    <w:rsid w:val="1B32A262"/>
    <w:rsid w:val="1B4E91DA"/>
    <w:rsid w:val="1B5D2EE9"/>
    <w:rsid w:val="1B5E11BF"/>
    <w:rsid w:val="1B69C6A5"/>
    <w:rsid w:val="1B6C77D6"/>
    <w:rsid w:val="1B79D981"/>
    <w:rsid w:val="1B8042EA"/>
    <w:rsid w:val="1BA4D006"/>
    <w:rsid w:val="1BBF7E3E"/>
    <w:rsid w:val="1BD8E786"/>
    <w:rsid w:val="1BF734AF"/>
    <w:rsid w:val="1C04FC74"/>
    <w:rsid w:val="1C134C8B"/>
    <w:rsid w:val="1C20CBDC"/>
    <w:rsid w:val="1C214186"/>
    <w:rsid w:val="1C2559E7"/>
    <w:rsid w:val="1C4E7233"/>
    <w:rsid w:val="1C642E7B"/>
    <w:rsid w:val="1C6AAAB4"/>
    <w:rsid w:val="1C859125"/>
    <w:rsid w:val="1C8BC39A"/>
    <w:rsid w:val="1C911225"/>
    <w:rsid w:val="1C911F13"/>
    <w:rsid w:val="1C92E8E0"/>
    <w:rsid w:val="1C985B15"/>
    <w:rsid w:val="1CBAAC43"/>
    <w:rsid w:val="1CC601EB"/>
    <w:rsid w:val="1CCE870B"/>
    <w:rsid w:val="1CDB62CC"/>
    <w:rsid w:val="1CDFB0B8"/>
    <w:rsid w:val="1CF4345D"/>
    <w:rsid w:val="1CF75A71"/>
    <w:rsid w:val="1CF97C5D"/>
    <w:rsid w:val="1D1FCB91"/>
    <w:rsid w:val="1D32AA0E"/>
    <w:rsid w:val="1D3FC149"/>
    <w:rsid w:val="1D42191A"/>
    <w:rsid w:val="1D448CA0"/>
    <w:rsid w:val="1D484826"/>
    <w:rsid w:val="1D56907C"/>
    <w:rsid w:val="1D7135BF"/>
    <w:rsid w:val="1D952CA9"/>
    <w:rsid w:val="1D97BF60"/>
    <w:rsid w:val="1DA6BA43"/>
    <w:rsid w:val="1DAFA3BC"/>
    <w:rsid w:val="1DB47B6E"/>
    <w:rsid w:val="1DCE9283"/>
    <w:rsid w:val="1DF864F0"/>
    <w:rsid w:val="1E13590F"/>
    <w:rsid w:val="1E1E615A"/>
    <w:rsid w:val="1E4202B3"/>
    <w:rsid w:val="1E47AE48"/>
    <w:rsid w:val="1E596547"/>
    <w:rsid w:val="1E6796B8"/>
    <w:rsid w:val="1E70C8CE"/>
    <w:rsid w:val="1EC8733C"/>
    <w:rsid w:val="1ED1D497"/>
    <w:rsid w:val="1EE10A2F"/>
    <w:rsid w:val="1F0EDD3C"/>
    <w:rsid w:val="1F1B6E4C"/>
    <w:rsid w:val="1F293BA9"/>
    <w:rsid w:val="1F598D9B"/>
    <w:rsid w:val="1F6B07FB"/>
    <w:rsid w:val="1F76F462"/>
    <w:rsid w:val="1F7D4B33"/>
    <w:rsid w:val="1F8219FC"/>
    <w:rsid w:val="1F8DC77C"/>
    <w:rsid w:val="1F992170"/>
    <w:rsid w:val="1F9C120A"/>
    <w:rsid w:val="1F9FD3D7"/>
    <w:rsid w:val="1FAA0AA2"/>
    <w:rsid w:val="1FBA15DD"/>
    <w:rsid w:val="1FC880C4"/>
    <w:rsid w:val="1FF261B9"/>
    <w:rsid w:val="20005F38"/>
    <w:rsid w:val="2005850A"/>
    <w:rsid w:val="2011DA39"/>
    <w:rsid w:val="2014DB45"/>
    <w:rsid w:val="20184174"/>
    <w:rsid w:val="201FBC52"/>
    <w:rsid w:val="20408F7C"/>
    <w:rsid w:val="2049BD07"/>
    <w:rsid w:val="207FD19A"/>
    <w:rsid w:val="2087412B"/>
    <w:rsid w:val="209B6D6D"/>
    <w:rsid w:val="20A2B39B"/>
    <w:rsid w:val="20AAB41F"/>
    <w:rsid w:val="20B79926"/>
    <w:rsid w:val="20BBEFC5"/>
    <w:rsid w:val="20BE48CA"/>
    <w:rsid w:val="20C404CB"/>
    <w:rsid w:val="20E36962"/>
    <w:rsid w:val="21145A16"/>
    <w:rsid w:val="211E413C"/>
    <w:rsid w:val="21382F78"/>
    <w:rsid w:val="2153AAAF"/>
    <w:rsid w:val="215B9378"/>
    <w:rsid w:val="2160D4F2"/>
    <w:rsid w:val="216881A0"/>
    <w:rsid w:val="21759E8C"/>
    <w:rsid w:val="2194E4FF"/>
    <w:rsid w:val="21AB602B"/>
    <w:rsid w:val="21C169CF"/>
    <w:rsid w:val="21D85A19"/>
    <w:rsid w:val="21ED6301"/>
    <w:rsid w:val="220BD45C"/>
    <w:rsid w:val="22104736"/>
    <w:rsid w:val="22116039"/>
    <w:rsid w:val="2235029C"/>
    <w:rsid w:val="2252A565"/>
    <w:rsid w:val="225E9C73"/>
    <w:rsid w:val="2272CA23"/>
    <w:rsid w:val="22744C51"/>
    <w:rsid w:val="2283BB4E"/>
    <w:rsid w:val="2289E554"/>
    <w:rsid w:val="22973973"/>
    <w:rsid w:val="229D9257"/>
    <w:rsid w:val="22A0B1D5"/>
    <w:rsid w:val="22C13C08"/>
    <w:rsid w:val="22C77379"/>
    <w:rsid w:val="22D5C9B7"/>
    <w:rsid w:val="22DFB6D5"/>
    <w:rsid w:val="22E1AF5F"/>
    <w:rsid w:val="22E67821"/>
    <w:rsid w:val="22EECA07"/>
    <w:rsid w:val="22F07284"/>
    <w:rsid w:val="22F11AA2"/>
    <w:rsid w:val="22FE430E"/>
    <w:rsid w:val="2300CB14"/>
    <w:rsid w:val="232C0F23"/>
    <w:rsid w:val="23355032"/>
    <w:rsid w:val="233CBF80"/>
    <w:rsid w:val="234B8101"/>
    <w:rsid w:val="236730A3"/>
    <w:rsid w:val="236E1570"/>
    <w:rsid w:val="23C1C90E"/>
    <w:rsid w:val="23D4A865"/>
    <w:rsid w:val="23FB16BF"/>
    <w:rsid w:val="2416D452"/>
    <w:rsid w:val="24375D15"/>
    <w:rsid w:val="2441C9DF"/>
    <w:rsid w:val="244877BE"/>
    <w:rsid w:val="245D39E1"/>
    <w:rsid w:val="247AE7F1"/>
    <w:rsid w:val="24933E1D"/>
    <w:rsid w:val="249F56A4"/>
    <w:rsid w:val="24A5CBA9"/>
    <w:rsid w:val="24BE2351"/>
    <w:rsid w:val="24BEFA3E"/>
    <w:rsid w:val="24CBF24D"/>
    <w:rsid w:val="24D59BA6"/>
    <w:rsid w:val="24ED8367"/>
    <w:rsid w:val="24FBE329"/>
    <w:rsid w:val="25249FEB"/>
    <w:rsid w:val="252B8496"/>
    <w:rsid w:val="256725DD"/>
    <w:rsid w:val="25723D0E"/>
    <w:rsid w:val="257F7641"/>
    <w:rsid w:val="25A08D4B"/>
    <w:rsid w:val="25A1A92A"/>
    <w:rsid w:val="25B0444C"/>
    <w:rsid w:val="25C2E214"/>
    <w:rsid w:val="25CBCC6A"/>
    <w:rsid w:val="25E2FFF1"/>
    <w:rsid w:val="25E3FD67"/>
    <w:rsid w:val="25F5161D"/>
    <w:rsid w:val="25FC8D18"/>
    <w:rsid w:val="260C7D10"/>
    <w:rsid w:val="2612DDBF"/>
    <w:rsid w:val="26187FCB"/>
    <w:rsid w:val="2636F57B"/>
    <w:rsid w:val="263A00D2"/>
    <w:rsid w:val="2650AF69"/>
    <w:rsid w:val="2655F90E"/>
    <w:rsid w:val="266847D9"/>
    <w:rsid w:val="266BBF61"/>
    <w:rsid w:val="2675D743"/>
    <w:rsid w:val="268C06A1"/>
    <w:rsid w:val="269259CD"/>
    <w:rsid w:val="26938BCF"/>
    <w:rsid w:val="2697EE4B"/>
    <w:rsid w:val="26A2ED12"/>
    <w:rsid w:val="26C983E8"/>
    <w:rsid w:val="26CDD5E2"/>
    <w:rsid w:val="26F914D3"/>
    <w:rsid w:val="270A64D5"/>
    <w:rsid w:val="270D9D5D"/>
    <w:rsid w:val="2710E49E"/>
    <w:rsid w:val="271245FC"/>
    <w:rsid w:val="273044F3"/>
    <w:rsid w:val="273DDFAC"/>
    <w:rsid w:val="274AEE11"/>
    <w:rsid w:val="274B3823"/>
    <w:rsid w:val="274BB25C"/>
    <w:rsid w:val="2750654E"/>
    <w:rsid w:val="275D2F88"/>
    <w:rsid w:val="2761CC93"/>
    <w:rsid w:val="27914EAA"/>
    <w:rsid w:val="279995AD"/>
    <w:rsid w:val="279EE7BF"/>
    <w:rsid w:val="27A19AE2"/>
    <w:rsid w:val="27A71182"/>
    <w:rsid w:val="27A88979"/>
    <w:rsid w:val="27CC835D"/>
    <w:rsid w:val="27E47D41"/>
    <w:rsid w:val="27E58E5A"/>
    <w:rsid w:val="27EADF66"/>
    <w:rsid w:val="27F3DEAB"/>
    <w:rsid w:val="281A9CDA"/>
    <w:rsid w:val="282E88CD"/>
    <w:rsid w:val="2833A6AE"/>
    <w:rsid w:val="2840D03A"/>
    <w:rsid w:val="287706C3"/>
    <w:rsid w:val="2877C181"/>
    <w:rsid w:val="287CF9C8"/>
    <w:rsid w:val="288CC28D"/>
    <w:rsid w:val="289134BF"/>
    <w:rsid w:val="289464FC"/>
    <w:rsid w:val="28D35F08"/>
    <w:rsid w:val="28F4801A"/>
    <w:rsid w:val="290D7388"/>
    <w:rsid w:val="29148744"/>
    <w:rsid w:val="294FC4DE"/>
    <w:rsid w:val="295BFA03"/>
    <w:rsid w:val="296F886F"/>
    <w:rsid w:val="29836760"/>
    <w:rsid w:val="29C72548"/>
    <w:rsid w:val="29F5BA6E"/>
    <w:rsid w:val="2A0CE3DC"/>
    <w:rsid w:val="2A0E54ED"/>
    <w:rsid w:val="2A1AFEC9"/>
    <w:rsid w:val="2A29AD5A"/>
    <w:rsid w:val="2A30F1D5"/>
    <w:rsid w:val="2A33940C"/>
    <w:rsid w:val="2A3A8332"/>
    <w:rsid w:val="2A5A47DB"/>
    <w:rsid w:val="2A6F8E85"/>
    <w:rsid w:val="2A7A48E4"/>
    <w:rsid w:val="2A7CCF3C"/>
    <w:rsid w:val="2A8C90D8"/>
    <w:rsid w:val="2A8D3243"/>
    <w:rsid w:val="2AAD2603"/>
    <w:rsid w:val="2AAFC2E0"/>
    <w:rsid w:val="2ABE012A"/>
    <w:rsid w:val="2AC5C812"/>
    <w:rsid w:val="2AE8AEE2"/>
    <w:rsid w:val="2AF7879A"/>
    <w:rsid w:val="2AF7E16E"/>
    <w:rsid w:val="2B016EFC"/>
    <w:rsid w:val="2B02BE6B"/>
    <w:rsid w:val="2B0C871B"/>
    <w:rsid w:val="2B1C14D1"/>
    <w:rsid w:val="2B1EB1FE"/>
    <w:rsid w:val="2B3F81EB"/>
    <w:rsid w:val="2B59802A"/>
    <w:rsid w:val="2B5D78C0"/>
    <w:rsid w:val="2B6DA6DA"/>
    <w:rsid w:val="2B7092CE"/>
    <w:rsid w:val="2B81CEA9"/>
    <w:rsid w:val="2B82E315"/>
    <w:rsid w:val="2B8B6EB6"/>
    <w:rsid w:val="2BA6DF1E"/>
    <w:rsid w:val="2BAB8632"/>
    <w:rsid w:val="2BCC2FE9"/>
    <w:rsid w:val="2C045B46"/>
    <w:rsid w:val="2C0ADB33"/>
    <w:rsid w:val="2C0C799B"/>
    <w:rsid w:val="2C440921"/>
    <w:rsid w:val="2C5DCB3F"/>
    <w:rsid w:val="2C60BD86"/>
    <w:rsid w:val="2C646B0A"/>
    <w:rsid w:val="2C7AB883"/>
    <w:rsid w:val="2C9EF79F"/>
    <w:rsid w:val="2CAEBFE3"/>
    <w:rsid w:val="2CAF2F57"/>
    <w:rsid w:val="2CB3F8ED"/>
    <w:rsid w:val="2CB89688"/>
    <w:rsid w:val="2CE20BBE"/>
    <w:rsid w:val="2D11B57B"/>
    <w:rsid w:val="2D197AD7"/>
    <w:rsid w:val="2D2F5553"/>
    <w:rsid w:val="2D54238B"/>
    <w:rsid w:val="2D55E76B"/>
    <w:rsid w:val="2D5D51E8"/>
    <w:rsid w:val="2D64569F"/>
    <w:rsid w:val="2D707AAF"/>
    <w:rsid w:val="2D7D3144"/>
    <w:rsid w:val="2D821C3E"/>
    <w:rsid w:val="2D8667BC"/>
    <w:rsid w:val="2D8C108A"/>
    <w:rsid w:val="2D9ABE81"/>
    <w:rsid w:val="2DAF1A15"/>
    <w:rsid w:val="2DB55E07"/>
    <w:rsid w:val="2DBB5998"/>
    <w:rsid w:val="2DC95A27"/>
    <w:rsid w:val="2E45DD25"/>
    <w:rsid w:val="2E46F40C"/>
    <w:rsid w:val="2E595BDF"/>
    <w:rsid w:val="2E5E5C92"/>
    <w:rsid w:val="2E6B1CBB"/>
    <w:rsid w:val="2E88E32D"/>
    <w:rsid w:val="2EC1A1C3"/>
    <w:rsid w:val="2EE4EC1D"/>
    <w:rsid w:val="2EF8BD52"/>
    <w:rsid w:val="2F1CBB89"/>
    <w:rsid w:val="2F2276D3"/>
    <w:rsid w:val="2F2BE5FE"/>
    <w:rsid w:val="2F31BBFD"/>
    <w:rsid w:val="2F440B9E"/>
    <w:rsid w:val="2F449D5D"/>
    <w:rsid w:val="2F5E442C"/>
    <w:rsid w:val="2F61CBEE"/>
    <w:rsid w:val="2F750793"/>
    <w:rsid w:val="2F78E051"/>
    <w:rsid w:val="2F7DB5C7"/>
    <w:rsid w:val="2F7E6AFF"/>
    <w:rsid w:val="2FA14306"/>
    <w:rsid w:val="2FA7EA3F"/>
    <w:rsid w:val="2FBC88D6"/>
    <w:rsid w:val="2FCBDAA8"/>
    <w:rsid w:val="2FDDECC9"/>
    <w:rsid w:val="2FE3B33C"/>
    <w:rsid w:val="2FFADF30"/>
    <w:rsid w:val="30084BBD"/>
    <w:rsid w:val="300D0372"/>
    <w:rsid w:val="30429499"/>
    <w:rsid w:val="3048500B"/>
    <w:rsid w:val="3048E218"/>
    <w:rsid w:val="305E97E0"/>
    <w:rsid w:val="30A16123"/>
    <w:rsid w:val="30A6BBED"/>
    <w:rsid w:val="30F719FB"/>
    <w:rsid w:val="31023203"/>
    <w:rsid w:val="31466C56"/>
    <w:rsid w:val="316D4060"/>
    <w:rsid w:val="31799E42"/>
    <w:rsid w:val="31864014"/>
    <w:rsid w:val="3189476F"/>
    <w:rsid w:val="318AAFB9"/>
    <w:rsid w:val="319CD1F5"/>
    <w:rsid w:val="31A6CC80"/>
    <w:rsid w:val="31A8A96B"/>
    <w:rsid w:val="31D7F0BC"/>
    <w:rsid w:val="31E155E1"/>
    <w:rsid w:val="3206BAD2"/>
    <w:rsid w:val="320B7746"/>
    <w:rsid w:val="321CB741"/>
    <w:rsid w:val="3233A867"/>
    <w:rsid w:val="323445D8"/>
    <w:rsid w:val="323B0343"/>
    <w:rsid w:val="3249B8CE"/>
    <w:rsid w:val="3263789E"/>
    <w:rsid w:val="32657D38"/>
    <w:rsid w:val="327F6CEE"/>
    <w:rsid w:val="328D7B65"/>
    <w:rsid w:val="329125A8"/>
    <w:rsid w:val="3291ACD1"/>
    <w:rsid w:val="32ECF35D"/>
    <w:rsid w:val="33023886"/>
    <w:rsid w:val="330C7223"/>
    <w:rsid w:val="3334F0E3"/>
    <w:rsid w:val="333C4E50"/>
    <w:rsid w:val="33423A1F"/>
    <w:rsid w:val="3356EF19"/>
    <w:rsid w:val="3369FFBD"/>
    <w:rsid w:val="336A903D"/>
    <w:rsid w:val="336BC71A"/>
    <w:rsid w:val="337DEF47"/>
    <w:rsid w:val="33964019"/>
    <w:rsid w:val="33AB1E85"/>
    <w:rsid w:val="33BA219F"/>
    <w:rsid w:val="33E03F5D"/>
    <w:rsid w:val="33EA6E6E"/>
    <w:rsid w:val="3410CFBE"/>
    <w:rsid w:val="3417F812"/>
    <w:rsid w:val="341AFFF2"/>
    <w:rsid w:val="341BCA3C"/>
    <w:rsid w:val="341C7016"/>
    <w:rsid w:val="342BB369"/>
    <w:rsid w:val="3432C42D"/>
    <w:rsid w:val="343B4DAF"/>
    <w:rsid w:val="343B748B"/>
    <w:rsid w:val="34577704"/>
    <w:rsid w:val="3463E1FF"/>
    <w:rsid w:val="34763EB3"/>
    <w:rsid w:val="347ACE6E"/>
    <w:rsid w:val="347DFC45"/>
    <w:rsid w:val="349D3F4B"/>
    <w:rsid w:val="34C6872F"/>
    <w:rsid w:val="34D7A212"/>
    <w:rsid w:val="34E55BA8"/>
    <w:rsid w:val="35059A33"/>
    <w:rsid w:val="35282613"/>
    <w:rsid w:val="352CB16C"/>
    <w:rsid w:val="353048D6"/>
    <w:rsid w:val="3533B96B"/>
    <w:rsid w:val="354F932D"/>
    <w:rsid w:val="35509ED4"/>
    <w:rsid w:val="355B0B4C"/>
    <w:rsid w:val="3562B59F"/>
    <w:rsid w:val="3572CD0C"/>
    <w:rsid w:val="3576CC15"/>
    <w:rsid w:val="35882E0A"/>
    <w:rsid w:val="359A0A73"/>
    <w:rsid w:val="359F6881"/>
    <w:rsid w:val="35A9D979"/>
    <w:rsid w:val="35AB1F8B"/>
    <w:rsid w:val="35B2A3D1"/>
    <w:rsid w:val="35C2860C"/>
    <w:rsid w:val="35C28B9C"/>
    <w:rsid w:val="35C6063B"/>
    <w:rsid w:val="35C8F38B"/>
    <w:rsid w:val="35DBE17D"/>
    <w:rsid w:val="35E46908"/>
    <w:rsid w:val="360F7962"/>
    <w:rsid w:val="361C6FD2"/>
    <w:rsid w:val="36247E0D"/>
    <w:rsid w:val="362FE858"/>
    <w:rsid w:val="365B72FD"/>
    <w:rsid w:val="366970DA"/>
    <w:rsid w:val="368261C4"/>
    <w:rsid w:val="368E4643"/>
    <w:rsid w:val="369D1E60"/>
    <w:rsid w:val="36B71715"/>
    <w:rsid w:val="36C0B46A"/>
    <w:rsid w:val="36F45D16"/>
    <w:rsid w:val="37055B92"/>
    <w:rsid w:val="3706A70D"/>
    <w:rsid w:val="3707BDC5"/>
    <w:rsid w:val="37087F36"/>
    <w:rsid w:val="3708DB51"/>
    <w:rsid w:val="37226667"/>
    <w:rsid w:val="3722BB9A"/>
    <w:rsid w:val="3757AD70"/>
    <w:rsid w:val="375896A7"/>
    <w:rsid w:val="375E2BC9"/>
    <w:rsid w:val="376EFFDE"/>
    <w:rsid w:val="377A3B1E"/>
    <w:rsid w:val="377E33C2"/>
    <w:rsid w:val="3785DBCC"/>
    <w:rsid w:val="37ABF527"/>
    <w:rsid w:val="37C40D30"/>
    <w:rsid w:val="37C85119"/>
    <w:rsid w:val="37D97326"/>
    <w:rsid w:val="37DA2FE0"/>
    <w:rsid w:val="37DF2442"/>
    <w:rsid w:val="37F697CF"/>
    <w:rsid w:val="38288C9A"/>
    <w:rsid w:val="382A248F"/>
    <w:rsid w:val="382B795A"/>
    <w:rsid w:val="382C2A12"/>
    <w:rsid w:val="3833D98A"/>
    <w:rsid w:val="383CAB4E"/>
    <w:rsid w:val="384DFDDB"/>
    <w:rsid w:val="385147AC"/>
    <w:rsid w:val="385DE8BD"/>
    <w:rsid w:val="3863A384"/>
    <w:rsid w:val="388C3602"/>
    <w:rsid w:val="38A105F4"/>
    <w:rsid w:val="38C44145"/>
    <w:rsid w:val="38D6F009"/>
    <w:rsid w:val="38FE1764"/>
    <w:rsid w:val="3911A2C6"/>
    <w:rsid w:val="3913459E"/>
    <w:rsid w:val="3913B358"/>
    <w:rsid w:val="392C7DCD"/>
    <w:rsid w:val="3948798D"/>
    <w:rsid w:val="39538C27"/>
    <w:rsid w:val="39542191"/>
    <w:rsid w:val="395AC876"/>
    <w:rsid w:val="3977C483"/>
    <w:rsid w:val="397AB76C"/>
    <w:rsid w:val="3981A3B4"/>
    <w:rsid w:val="3989C7AD"/>
    <w:rsid w:val="398C6D02"/>
    <w:rsid w:val="3991C03C"/>
    <w:rsid w:val="39A082CB"/>
    <w:rsid w:val="39AD50A5"/>
    <w:rsid w:val="39B3F7D3"/>
    <w:rsid w:val="39C3D4D9"/>
    <w:rsid w:val="39E343CF"/>
    <w:rsid w:val="39EDB8DC"/>
    <w:rsid w:val="39F933B7"/>
    <w:rsid w:val="3A296AF0"/>
    <w:rsid w:val="3A380134"/>
    <w:rsid w:val="3A45E79E"/>
    <w:rsid w:val="3A539C39"/>
    <w:rsid w:val="3A608233"/>
    <w:rsid w:val="3A69457D"/>
    <w:rsid w:val="3A6AF108"/>
    <w:rsid w:val="3A718812"/>
    <w:rsid w:val="3A753E16"/>
    <w:rsid w:val="3A7ED23E"/>
    <w:rsid w:val="3A8507CE"/>
    <w:rsid w:val="3A8CF290"/>
    <w:rsid w:val="3A9A7289"/>
    <w:rsid w:val="3AAB3DAC"/>
    <w:rsid w:val="3AACCEE3"/>
    <w:rsid w:val="3AADEE28"/>
    <w:rsid w:val="3AB5779C"/>
    <w:rsid w:val="3AC5E67F"/>
    <w:rsid w:val="3ACB2D08"/>
    <w:rsid w:val="3ACB42F8"/>
    <w:rsid w:val="3AD08B9F"/>
    <w:rsid w:val="3AD38B6B"/>
    <w:rsid w:val="3AD4ECE9"/>
    <w:rsid w:val="3AD6C940"/>
    <w:rsid w:val="3AE72CC3"/>
    <w:rsid w:val="3AEA8840"/>
    <w:rsid w:val="3AED2390"/>
    <w:rsid w:val="3B1C7175"/>
    <w:rsid w:val="3B1D77E7"/>
    <w:rsid w:val="3B27EE6B"/>
    <w:rsid w:val="3B30C551"/>
    <w:rsid w:val="3B356B46"/>
    <w:rsid w:val="3B546E5D"/>
    <w:rsid w:val="3B631B4C"/>
    <w:rsid w:val="3B651E8D"/>
    <w:rsid w:val="3B6CFB9E"/>
    <w:rsid w:val="3B853750"/>
    <w:rsid w:val="3B908027"/>
    <w:rsid w:val="3B9CE80A"/>
    <w:rsid w:val="3BA20B78"/>
    <w:rsid w:val="3BD1F5EB"/>
    <w:rsid w:val="3BDC8C62"/>
    <w:rsid w:val="3C1900B7"/>
    <w:rsid w:val="3C258E75"/>
    <w:rsid w:val="3C27570B"/>
    <w:rsid w:val="3C28D515"/>
    <w:rsid w:val="3C372D11"/>
    <w:rsid w:val="3C4E40B7"/>
    <w:rsid w:val="3C509697"/>
    <w:rsid w:val="3C538E58"/>
    <w:rsid w:val="3C5AF53D"/>
    <w:rsid w:val="3C5E034C"/>
    <w:rsid w:val="3C619719"/>
    <w:rsid w:val="3C7E98EC"/>
    <w:rsid w:val="3C91951D"/>
    <w:rsid w:val="3C9CB237"/>
    <w:rsid w:val="3CA91984"/>
    <w:rsid w:val="3CB39F8B"/>
    <w:rsid w:val="3CCDB64C"/>
    <w:rsid w:val="3CD414F3"/>
    <w:rsid w:val="3CFEA975"/>
    <w:rsid w:val="3D0C7B29"/>
    <w:rsid w:val="3D27A497"/>
    <w:rsid w:val="3D2C0F63"/>
    <w:rsid w:val="3D7036A5"/>
    <w:rsid w:val="3D891A0A"/>
    <w:rsid w:val="3D8D1024"/>
    <w:rsid w:val="3D93D523"/>
    <w:rsid w:val="3D9FB1F2"/>
    <w:rsid w:val="3DBFFF6E"/>
    <w:rsid w:val="3DD59ECF"/>
    <w:rsid w:val="3DD98618"/>
    <w:rsid w:val="3DDA7E91"/>
    <w:rsid w:val="3E1125EC"/>
    <w:rsid w:val="3E3EE7EB"/>
    <w:rsid w:val="3E4D25A1"/>
    <w:rsid w:val="3E53E74C"/>
    <w:rsid w:val="3E60FA0B"/>
    <w:rsid w:val="3E626290"/>
    <w:rsid w:val="3E693BF1"/>
    <w:rsid w:val="3E8A9F80"/>
    <w:rsid w:val="3E9F5B67"/>
    <w:rsid w:val="3EBDB2E1"/>
    <w:rsid w:val="3EC3576E"/>
    <w:rsid w:val="3ED95D10"/>
    <w:rsid w:val="3EF6B19C"/>
    <w:rsid w:val="3EFF1EFE"/>
    <w:rsid w:val="3F1EBD67"/>
    <w:rsid w:val="3F498CB6"/>
    <w:rsid w:val="3F514A9D"/>
    <w:rsid w:val="3F6A58BE"/>
    <w:rsid w:val="3F7275BE"/>
    <w:rsid w:val="3F73E76B"/>
    <w:rsid w:val="3F759D29"/>
    <w:rsid w:val="3F89BE76"/>
    <w:rsid w:val="3FA8465C"/>
    <w:rsid w:val="3FA949BA"/>
    <w:rsid w:val="3FB83043"/>
    <w:rsid w:val="3FC60D48"/>
    <w:rsid w:val="3FDAAC5F"/>
    <w:rsid w:val="3FE4EE9D"/>
    <w:rsid w:val="3FE9122F"/>
    <w:rsid w:val="3FE9EB65"/>
    <w:rsid w:val="3FF85D3E"/>
    <w:rsid w:val="40054059"/>
    <w:rsid w:val="400946BE"/>
    <w:rsid w:val="4014BBB7"/>
    <w:rsid w:val="401CF3C1"/>
    <w:rsid w:val="4027FD36"/>
    <w:rsid w:val="40299666"/>
    <w:rsid w:val="402C238A"/>
    <w:rsid w:val="403BD2A1"/>
    <w:rsid w:val="405EA82B"/>
    <w:rsid w:val="4069867D"/>
    <w:rsid w:val="406FE884"/>
    <w:rsid w:val="4075E399"/>
    <w:rsid w:val="407C02FC"/>
    <w:rsid w:val="4099A49B"/>
    <w:rsid w:val="40AB93D3"/>
    <w:rsid w:val="40ACF358"/>
    <w:rsid w:val="40DAF5B3"/>
    <w:rsid w:val="40DEC103"/>
    <w:rsid w:val="4100CA32"/>
    <w:rsid w:val="410C7FC8"/>
    <w:rsid w:val="4120E97B"/>
    <w:rsid w:val="413B38F7"/>
    <w:rsid w:val="414296E5"/>
    <w:rsid w:val="4150D272"/>
    <w:rsid w:val="41565E28"/>
    <w:rsid w:val="41617895"/>
    <w:rsid w:val="4168EBB1"/>
    <w:rsid w:val="416CA1A9"/>
    <w:rsid w:val="419903CF"/>
    <w:rsid w:val="41A79695"/>
    <w:rsid w:val="41AF0CAA"/>
    <w:rsid w:val="41BC7725"/>
    <w:rsid w:val="41E327BD"/>
    <w:rsid w:val="41E431D2"/>
    <w:rsid w:val="41E5A9F2"/>
    <w:rsid w:val="41E866CF"/>
    <w:rsid w:val="41F326A7"/>
    <w:rsid w:val="4219313A"/>
    <w:rsid w:val="421B30A6"/>
    <w:rsid w:val="4247089B"/>
    <w:rsid w:val="42556C69"/>
    <w:rsid w:val="42663A62"/>
    <w:rsid w:val="427E07BF"/>
    <w:rsid w:val="4293B853"/>
    <w:rsid w:val="42BA33C6"/>
    <w:rsid w:val="42BE2934"/>
    <w:rsid w:val="42D5C805"/>
    <w:rsid w:val="42DFC5A5"/>
    <w:rsid w:val="42E652CE"/>
    <w:rsid w:val="42E741B8"/>
    <w:rsid w:val="430E040A"/>
    <w:rsid w:val="4337B038"/>
    <w:rsid w:val="4337DD06"/>
    <w:rsid w:val="4338BEC2"/>
    <w:rsid w:val="4341D27B"/>
    <w:rsid w:val="4359586E"/>
    <w:rsid w:val="43614A22"/>
    <w:rsid w:val="436346A6"/>
    <w:rsid w:val="436554DC"/>
    <w:rsid w:val="4373DAED"/>
    <w:rsid w:val="4394B912"/>
    <w:rsid w:val="4396C9DF"/>
    <w:rsid w:val="439B9E6D"/>
    <w:rsid w:val="43A0367B"/>
    <w:rsid w:val="43C07FC7"/>
    <w:rsid w:val="43CDD86B"/>
    <w:rsid w:val="43CE1DB4"/>
    <w:rsid w:val="43E11797"/>
    <w:rsid w:val="4433FEE2"/>
    <w:rsid w:val="449E5DE0"/>
    <w:rsid w:val="44A2A98D"/>
    <w:rsid w:val="44A4D1CE"/>
    <w:rsid w:val="44BA9EB5"/>
    <w:rsid w:val="44BEE7F3"/>
    <w:rsid w:val="44D5CA55"/>
    <w:rsid w:val="44D630D4"/>
    <w:rsid w:val="44DEECA5"/>
    <w:rsid w:val="44F461E1"/>
    <w:rsid w:val="45206FF4"/>
    <w:rsid w:val="4538CFE0"/>
    <w:rsid w:val="453BAFEA"/>
    <w:rsid w:val="455D6918"/>
    <w:rsid w:val="455EB667"/>
    <w:rsid w:val="45828E9F"/>
    <w:rsid w:val="458719B2"/>
    <w:rsid w:val="458C29CA"/>
    <w:rsid w:val="4595A908"/>
    <w:rsid w:val="45963BC5"/>
    <w:rsid w:val="45A7F71F"/>
    <w:rsid w:val="45ACB4ED"/>
    <w:rsid w:val="45AF7BB7"/>
    <w:rsid w:val="45B60017"/>
    <w:rsid w:val="45BB906A"/>
    <w:rsid w:val="45D0419A"/>
    <w:rsid w:val="45D609AD"/>
    <w:rsid w:val="45E2D7EC"/>
    <w:rsid w:val="45F122F2"/>
    <w:rsid w:val="45FE7B7F"/>
    <w:rsid w:val="4611A69F"/>
    <w:rsid w:val="4620D40E"/>
    <w:rsid w:val="462FAC5A"/>
    <w:rsid w:val="46381B27"/>
    <w:rsid w:val="463C0068"/>
    <w:rsid w:val="463D3C90"/>
    <w:rsid w:val="4641EA7B"/>
    <w:rsid w:val="464E04AF"/>
    <w:rsid w:val="465E2EB0"/>
    <w:rsid w:val="4670BA08"/>
    <w:rsid w:val="468B8270"/>
    <w:rsid w:val="46A138E4"/>
    <w:rsid w:val="46B76DA3"/>
    <w:rsid w:val="46B78F75"/>
    <w:rsid w:val="46B9B46C"/>
    <w:rsid w:val="46E074C1"/>
    <w:rsid w:val="46E4D6FE"/>
    <w:rsid w:val="46F72F01"/>
    <w:rsid w:val="46FDEF73"/>
    <w:rsid w:val="471F6C6B"/>
    <w:rsid w:val="471FF648"/>
    <w:rsid w:val="4723B5EC"/>
    <w:rsid w:val="472F4BB3"/>
    <w:rsid w:val="473034AC"/>
    <w:rsid w:val="473821DA"/>
    <w:rsid w:val="47475223"/>
    <w:rsid w:val="47538A99"/>
    <w:rsid w:val="476A9A61"/>
    <w:rsid w:val="476C05BA"/>
    <w:rsid w:val="476C7CAA"/>
    <w:rsid w:val="4794FC5D"/>
    <w:rsid w:val="479DD50D"/>
    <w:rsid w:val="47A36D8F"/>
    <w:rsid w:val="47A83ACF"/>
    <w:rsid w:val="47B0D2DF"/>
    <w:rsid w:val="47C15947"/>
    <w:rsid w:val="47CB28F1"/>
    <w:rsid w:val="47D981CA"/>
    <w:rsid w:val="47ED4ACB"/>
    <w:rsid w:val="4801623A"/>
    <w:rsid w:val="4809906D"/>
    <w:rsid w:val="481BFAD7"/>
    <w:rsid w:val="4822D95F"/>
    <w:rsid w:val="48391800"/>
    <w:rsid w:val="483C8B49"/>
    <w:rsid w:val="483EF686"/>
    <w:rsid w:val="484B91C0"/>
    <w:rsid w:val="4870AFB3"/>
    <w:rsid w:val="48A5013E"/>
    <w:rsid w:val="48C2FE4F"/>
    <w:rsid w:val="48DC4F0B"/>
    <w:rsid w:val="48F96896"/>
    <w:rsid w:val="48FD9868"/>
    <w:rsid w:val="4919C534"/>
    <w:rsid w:val="4919F027"/>
    <w:rsid w:val="492412BC"/>
    <w:rsid w:val="494C68E7"/>
    <w:rsid w:val="497BE782"/>
    <w:rsid w:val="4995F77F"/>
    <w:rsid w:val="49992B25"/>
    <w:rsid w:val="499933A7"/>
    <w:rsid w:val="499C996C"/>
    <w:rsid w:val="49A77A6F"/>
    <w:rsid w:val="49A92240"/>
    <w:rsid w:val="49B04357"/>
    <w:rsid w:val="49B9893C"/>
    <w:rsid w:val="49BEE9A2"/>
    <w:rsid w:val="49DD55E3"/>
    <w:rsid w:val="49E836E7"/>
    <w:rsid w:val="49E9ED6E"/>
    <w:rsid w:val="49EA9F30"/>
    <w:rsid w:val="49F27364"/>
    <w:rsid w:val="4A163704"/>
    <w:rsid w:val="4A3F6BDB"/>
    <w:rsid w:val="4A6246A9"/>
    <w:rsid w:val="4A681DE2"/>
    <w:rsid w:val="4A6A5340"/>
    <w:rsid w:val="4A746DD3"/>
    <w:rsid w:val="4A79C71E"/>
    <w:rsid w:val="4A7A2F47"/>
    <w:rsid w:val="4A96005A"/>
    <w:rsid w:val="4AA92295"/>
    <w:rsid w:val="4AA9540C"/>
    <w:rsid w:val="4AC41892"/>
    <w:rsid w:val="4AD222AB"/>
    <w:rsid w:val="4AE97E7E"/>
    <w:rsid w:val="4AEC84A1"/>
    <w:rsid w:val="4AF7A5F3"/>
    <w:rsid w:val="4B083D30"/>
    <w:rsid w:val="4B08F383"/>
    <w:rsid w:val="4B3276E4"/>
    <w:rsid w:val="4B3A30D6"/>
    <w:rsid w:val="4B4B5291"/>
    <w:rsid w:val="4B5869E9"/>
    <w:rsid w:val="4B745651"/>
    <w:rsid w:val="4B827C21"/>
    <w:rsid w:val="4BA91BDC"/>
    <w:rsid w:val="4BAAC61C"/>
    <w:rsid w:val="4BAF3FB7"/>
    <w:rsid w:val="4BBA013A"/>
    <w:rsid w:val="4BBC24EB"/>
    <w:rsid w:val="4BD0244B"/>
    <w:rsid w:val="4BE54746"/>
    <w:rsid w:val="4BF084CB"/>
    <w:rsid w:val="4BFBF331"/>
    <w:rsid w:val="4C2F63BC"/>
    <w:rsid w:val="4C31089C"/>
    <w:rsid w:val="4C458A8C"/>
    <w:rsid w:val="4C4B0334"/>
    <w:rsid w:val="4C608639"/>
    <w:rsid w:val="4C6FF23F"/>
    <w:rsid w:val="4C856AA4"/>
    <w:rsid w:val="4C94C542"/>
    <w:rsid w:val="4CA46026"/>
    <w:rsid w:val="4CB6B38A"/>
    <w:rsid w:val="4CD44972"/>
    <w:rsid w:val="4CDBFE87"/>
    <w:rsid w:val="4CF598F8"/>
    <w:rsid w:val="4D065A02"/>
    <w:rsid w:val="4D0EE8C7"/>
    <w:rsid w:val="4D11519B"/>
    <w:rsid w:val="4D20E050"/>
    <w:rsid w:val="4D232432"/>
    <w:rsid w:val="4D243FC8"/>
    <w:rsid w:val="4D383FED"/>
    <w:rsid w:val="4D4D01EF"/>
    <w:rsid w:val="4D5C7946"/>
    <w:rsid w:val="4D79F287"/>
    <w:rsid w:val="4D7CEF60"/>
    <w:rsid w:val="4DB35C6A"/>
    <w:rsid w:val="4DC517D7"/>
    <w:rsid w:val="4DD8519D"/>
    <w:rsid w:val="4E037064"/>
    <w:rsid w:val="4E2706E3"/>
    <w:rsid w:val="4E36973F"/>
    <w:rsid w:val="4E48762B"/>
    <w:rsid w:val="4E4F3E68"/>
    <w:rsid w:val="4E97601B"/>
    <w:rsid w:val="4E97EE9E"/>
    <w:rsid w:val="4E9ADBC4"/>
    <w:rsid w:val="4E9C48F0"/>
    <w:rsid w:val="4EC06DA3"/>
    <w:rsid w:val="4EC312B7"/>
    <w:rsid w:val="4EDC25E3"/>
    <w:rsid w:val="4EF81F4A"/>
    <w:rsid w:val="4EFA81CF"/>
    <w:rsid w:val="4F0232CC"/>
    <w:rsid w:val="4F19173D"/>
    <w:rsid w:val="4F25C2DB"/>
    <w:rsid w:val="4F30204E"/>
    <w:rsid w:val="4F34C950"/>
    <w:rsid w:val="4F354AC9"/>
    <w:rsid w:val="4F4BC641"/>
    <w:rsid w:val="4F6A3114"/>
    <w:rsid w:val="4F981E35"/>
    <w:rsid w:val="4FC28CF5"/>
    <w:rsid w:val="4FC2BE1A"/>
    <w:rsid w:val="4FD140BE"/>
    <w:rsid w:val="4FDB4989"/>
    <w:rsid w:val="4FE28E70"/>
    <w:rsid w:val="501406D9"/>
    <w:rsid w:val="504C7FCD"/>
    <w:rsid w:val="50719CB4"/>
    <w:rsid w:val="50774591"/>
    <w:rsid w:val="50824630"/>
    <w:rsid w:val="5086C982"/>
    <w:rsid w:val="50944957"/>
    <w:rsid w:val="50A56072"/>
    <w:rsid w:val="50B62E2C"/>
    <w:rsid w:val="50B99864"/>
    <w:rsid w:val="50C1AB75"/>
    <w:rsid w:val="50C24C1D"/>
    <w:rsid w:val="50C55BDD"/>
    <w:rsid w:val="50C91894"/>
    <w:rsid w:val="50CDCFAA"/>
    <w:rsid w:val="50D4D9FB"/>
    <w:rsid w:val="50DBED1F"/>
    <w:rsid w:val="50F85964"/>
    <w:rsid w:val="50F8BF46"/>
    <w:rsid w:val="5105D267"/>
    <w:rsid w:val="5107714F"/>
    <w:rsid w:val="5116249B"/>
    <w:rsid w:val="5116CA11"/>
    <w:rsid w:val="51177FDF"/>
    <w:rsid w:val="51189848"/>
    <w:rsid w:val="5127A705"/>
    <w:rsid w:val="513B4ABB"/>
    <w:rsid w:val="5140C43D"/>
    <w:rsid w:val="51466534"/>
    <w:rsid w:val="515150EE"/>
    <w:rsid w:val="515AF2A6"/>
    <w:rsid w:val="5162B22C"/>
    <w:rsid w:val="516823F1"/>
    <w:rsid w:val="516FE88B"/>
    <w:rsid w:val="5171A59B"/>
    <w:rsid w:val="51754840"/>
    <w:rsid w:val="5190DCA3"/>
    <w:rsid w:val="519436EC"/>
    <w:rsid w:val="51963FDC"/>
    <w:rsid w:val="51CD42CB"/>
    <w:rsid w:val="51D21160"/>
    <w:rsid w:val="51EE601C"/>
    <w:rsid w:val="5218476C"/>
    <w:rsid w:val="5223F607"/>
    <w:rsid w:val="5229C9B2"/>
    <w:rsid w:val="522F23ED"/>
    <w:rsid w:val="5231F70C"/>
    <w:rsid w:val="52680922"/>
    <w:rsid w:val="52717442"/>
    <w:rsid w:val="528347B9"/>
    <w:rsid w:val="528A0C3E"/>
    <w:rsid w:val="528D535E"/>
    <w:rsid w:val="528F5111"/>
    <w:rsid w:val="52956E11"/>
    <w:rsid w:val="5295A3FF"/>
    <w:rsid w:val="5297E431"/>
    <w:rsid w:val="52D1063C"/>
    <w:rsid w:val="52DA88F2"/>
    <w:rsid w:val="52EA1D6F"/>
    <w:rsid w:val="52F73503"/>
    <w:rsid w:val="52FCFC3C"/>
    <w:rsid w:val="5314ED77"/>
    <w:rsid w:val="5316738E"/>
    <w:rsid w:val="53296A08"/>
    <w:rsid w:val="53344389"/>
    <w:rsid w:val="53396153"/>
    <w:rsid w:val="53482B0F"/>
    <w:rsid w:val="535515DD"/>
    <w:rsid w:val="53615AA8"/>
    <w:rsid w:val="537D0F03"/>
    <w:rsid w:val="5386B503"/>
    <w:rsid w:val="538FC530"/>
    <w:rsid w:val="53A89023"/>
    <w:rsid w:val="53C72288"/>
    <w:rsid w:val="53DD1E44"/>
    <w:rsid w:val="53DE85A5"/>
    <w:rsid w:val="53EE69E1"/>
    <w:rsid w:val="53F1CBFC"/>
    <w:rsid w:val="540B9903"/>
    <w:rsid w:val="54165A0F"/>
    <w:rsid w:val="5431DB71"/>
    <w:rsid w:val="544827AC"/>
    <w:rsid w:val="5449B8C3"/>
    <w:rsid w:val="545B54BF"/>
    <w:rsid w:val="545F0702"/>
    <w:rsid w:val="546E273A"/>
    <w:rsid w:val="5471DF1D"/>
    <w:rsid w:val="54820E56"/>
    <w:rsid w:val="5491C2F3"/>
    <w:rsid w:val="54C09711"/>
    <w:rsid w:val="54C1173F"/>
    <w:rsid w:val="54CF8576"/>
    <w:rsid w:val="54E0E24F"/>
    <w:rsid w:val="54F093AB"/>
    <w:rsid w:val="550A2F2B"/>
    <w:rsid w:val="551C5018"/>
    <w:rsid w:val="5530D516"/>
    <w:rsid w:val="553D62CA"/>
    <w:rsid w:val="553FC7AD"/>
    <w:rsid w:val="55500E95"/>
    <w:rsid w:val="55514BDE"/>
    <w:rsid w:val="55879C74"/>
    <w:rsid w:val="558E8157"/>
    <w:rsid w:val="559401D2"/>
    <w:rsid w:val="5597145A"/>
    <w:rsid w:val="559E698C"/>
    <w:rsid w:val="55B99C0C"/>
    <w:rsid w:val="55C18FEE"/>
    <w:rsid w:val="55D1DF10"/>
    <w:rsid w:val="55D33506"/>
    <w:rsid w:val="55E3C870"/>
    <w:rsid w:val="55EDF41D"/>
    <w:rsid w:val="55FFEDAF"/>
    <w:rsid w:val="561180E4"/>
    <w:rsid w:val="5611DDAB"/>
    <w:rsid w:val="561F99D5"/>
    <w:rsid w:val="56271ACB"/>
    <w:rsid w:val="56401B1B"/>
    <w:rsid w:val="5643768D"/>
    <w:rsid w:val="56573CCA"/>
    <w:rsid w:val="567258C2"/>
    <w:rsid w:val="567A9EC6"/>
    <w:rsid w:val="568F2CD1"/>
    <w:rsid w:val="56B87AF0"/>
    <w:rsid w:val="56C357CA"/>
    <w:rsid w:val="570EAD0A"/>
    <w:rsid w:val="572391D0"/>
    <w:rsid w:val="5727BEA9"/>
    <w:rsid w:val="572B3476"/>
    <w:rsid w:val="572E97C8"/>
    <w:rsid w:val="57304355"/>
    <w:rsid w:val="573CE299"/>
    <w:rsid w:val="57403E33"/>
    <w:rsid w:val="5742EFB8"/>
    <w:rsid w:val="574D34B1"/>
    <w:rsid w:val="577CFD99"/>
    <w:rsid w:val="57849598"/>
    <w:rsid w:val="57898B90"/>
    <w:rsid w:val="579059EA"/>
    <w:rsid w:val="5791588D"/>
    <w:rsid w:val="579A81AF"/>
    <w:rsid w:val="57C15A79"/>
    <w:rsid w:val="57D01BAD"/>
    <w:rsid w:val="57DC28F2"/>
    <w:rsid w:val="57DF7F0A"/>
    <w:rsid w:val="5802FE5E"/>
    <w:rsid w:val="58045C64"/>
    <w:rsid w:val="5806BC3B"/>
    <w:rsid w:val="58225190"/>
    <w:rsid w:val="5832B269"/>
    <w:rsid w:val="5836AC23"/>
    <w:rsid w:val="584112F2"/>
    <w:rsid w:val="5847762A"/>
    <w:rsid w:val="584FA7EF"/>
    <w:rsid w:val="585A0C81"/>
    <w:rsid w:val="58899303"/>
    <w:rsid w:val="588D6655"/>
    <w:rsid w:val="58A39D59"/>
    <w:rsid w:val="58AD81A1"/>
    <w:rsid w:val="58B04BFE"/>
    <w:rsid w:val="58CE31CE"/>
    <w:rsid w:val="58D64C55"/>
    <w:rsid w:val="58D8D250"/>
    <w:rsid w:val="591CC71E"/>
    <w:rsid w:val="591E7AF2"/>
    <w:rsid w:val="594135D0"/>
    <w:rsid w:val="594BCCF8"/>
    <w:rsid w:val="595A6714"/>
    <w:rsid w:val="595EE373"/>
    <w:rsid w:val="59600568"/>
    <w:rsid w:val="596C529E"/>
    <w:rsid w:val="5972C05D"/>
    <w:rsid w:val="597359F3"/>
    <w:rsid w:val="598946CE"/>
    <w:rsid w:val="59953034"/>
    <w:rsid w:val="5999EB09"/>
    <w:rsid w:val="59B005E7"/>
    <w:rsid w:val="59C57ECE"/>
    <w:rsid w:val="59D6C943"/>
    <w:rsid w:val="59DC0A0C"/>
    <w:rsid w:val="59E4C945"/>
    <w:rsid w:val="59EF66D2"/>
    <w:rsid w:val="5A00A59E"/>
    <w:rsid w:val="5A1F91DD"/>
    <w:rsid w:val="5A21928C"/>
    <w:rsid w:val="5A23E7A6"/>
    <w:rsid w:val="5A2638D1"/>
    <w:rsid w:val="5A2D9620"/>
    <w:rsid w:val="5A353E82"/>
    <w:rsid w:val="5A4CF88A"/>
    <w:rsid w:val="5A565D7B"/>
    <w:rsid w:val="5A5B8CB4"/>
    <w:rsid w:val="5A61291B"/>
    <w:rsid w:val="5A759C73"/>
    <w:rsid w:val="5A7F4287"/>
    <w:rsid w:val="5A968752"/>
    <w:rsid w:val="5A987232"/>
    <w:rsid w:val="5AA96C56"/>
    <w:rsid w:val="5AAC8885"/>
    <w:rsid w:val="5AB5DFBD"/>
    <w:rsid w:val="5AB6AF87"/>
    <w:rsid w:val="5AC3E80D"/>
    <w:rsid w:val="5AC80AA4"/>
    <w:rsid w:val="5AD1B745"/>
    <w:rsid w:val="5AF6582D"/>
    <w:rsid w:val="5AFA2EE2"/>
    <w:rsid w:val="5B120423"/>
    <w:rsid w:val="5B1B0DF0"/>
    <w:rsid w:val="5B422A93"/>
    <w:rsid w:val="5B49A178"/>
    <w:rsid w:val="5B4CCFDC"/>
    <w:rsid w:val="5B4DFA2E"/>
    <w:rsid w:val="5B5A5597"/>
    <w:rsid w:val="5B6E8002"/>
    <w:rsid w:val="5B8D5006"/>
    <w:rsid w:val="5BB1BACE"/>
    <w:rsid w:val="5BC8B581"/>
    <w:rsid w:val="5BCD827F"/>
    <w:rsid w:val="5BD32FCF"/>
    <w:rsid w:val="5BD600CA"/>
    <w:rsid w:val="5C0C1207"/>
    <w:rsid w:val="5C0EE833"/>
    <w:rsid w:val="5C1DC975"/>
    <w:rsid w:val="5C2C1B62"/>
    <w:rsid w:val="5C4595D0"/>
    <w:rsid w:val="5C7C1053"/>
    <w:rsid w:val="5CEE3CF9"/>
    <w:rsid w:val="5CFB5666"/>
    <w:rsid w:val="5CFD8F50"/>
    <w:rsid w:val="5D3780E9"/>
    <w:rsid w:val="5D43A68F"/>
    <w:rsid w:val="5D6442B1"/>
    <w:rsid w:val="5D8647FD"/>
    <w:rsid w:val="5D8FA3CC"/>
    <w:rsid w:val="5DA039C5"/>
    <w:rsid w:val="5DBFC5AD"/>
    <w:rsid w:val="5DD422D7"/>
    <w:rsid w:val="5E1608F2"/>
    <w:rsid w:val="5E1BA0CC"/>
    <w:rsid w:val="5E1F1098"/>
    <w:rsid w:val="5E29087B"/>
    <w:rsid w:val="5E2C3587"/>
    <w:rsid w:val="5E3844B4"/>
    <w:rsid w:val="5E3FF05F"/>
    <w:rsid w:val="5E40CF58"/>
    <w:rsid w:val="5E4B926C"/>
    <w:rsid w:val="5E6989EA"/>
    <w:rsid w:val="5E7421AC"/>
    <w:rsid w:val="5E807704"/>
    <w:rsid w:val="5E818784"/>
    <w:rsid w:val="5E96EAA4"/>
    <w:rsid w:val="5EA428C0"/>
    <w:rsid w:val="5EB3A81E"/>
    <w:rsid w:val="5ECE421A"/>
    <w:rsid w:val="5ED107AA"/>
    <w:rsid w:val="5EE02AA4"/>
    <w:rsid w:val="5EF279EA"/>
    <w:rsid w:val="5F40B346"/>
    <w:rsid w:val="5F653D49"/>
    <w:rsid w:val="5F6D3F18"/>
    <w:rsid w:val="5F6D51FE"/>
    <w:rsid w:val="5F87F8ED"/>
    <w:rsid w:val="5F90B0AB"/>
    <w:rsid w:val="5F9705CD"/>
    <w:rsid w:val="5F9BB464"/>
    <w:rsid w:val="5F9C413B"/>
    <w:rsid w:val="5FBACD2C"/>
    <w:rsid w:val="5FC0EA2B"/>
    <w:rsid w:val="60190CE9"/>
    <w:rsid w:val="6049E9E3"/>
    <w:rsid w:val="609F268F"/>
    <w:rsid w:val="60A3761D"/>
    <w:rsid w:val="60D5B37A"/>
    <w:rsid w:val="60EB30DA"/>
    <w:rsid w:val="60EC0154"/>
    <w:rsid w:val="60EC09A9"/>
    <w:rsid w:val="6105A937"/>
    <w:rsid w:val="6116B441"/>
    <w:rsid w:val="61190202"/>
    <w:rsid w:val="611C901B"/>
    <w:rsid w:val="612325EB"/>
    <w:rsid w:val="613A8CD7"/>
    <w:rsid w:val="61582FA8"/>
    <w:rsid w:val="617745B1"/>
    <w:rsid w:val="618BCCC8"/>
    <w:rsid w:val="61A6B1E0"/>
    <w:rsid w:val="61BDC4F4"/>
    <w:rsid w:val="61D9C7B1"/>
    <w:rsid w:val="61E42750"/>
    <w:rsid w:val="61EB7B2A"/>
    <w:rsid w:val="62092672"/>
    <w:rsid w:val="621B59EC"/>
    <w:rsid w:val="621E7C0C"/>
    <w:rsid w:val="622CBE0E"/>
    <w:rsid w:val="62346DD3"/>
    <w:rsid w:val="62385524"/>
    <w:rsid w:val="6252039C"/>
    <w:rsid w:val="625D3A0A"/>
    <w:rsid w:val="6275F2B8"/>
    <w:rsid w:val="627D4F5F"/>
    <w:rsid w:val="628D5743"/>
    <w:rsid w:val="62AC2C78"/>
    <w:rsid w:val="62AE7AED"/>
    <w:rsid w:val="62B90EDB"/>
    <w:rsid w:val="62C1C840"/>
    <w:rsid w:val="630477E7"/>
    <w:rsid w:val="632CDDD5"/>
    <w:rsid w:val="633AA1B0"/>
    <w:rsid w:val="6355A05D"/>
    <w:rsid w:val="635A16CC"/>
    <w:rsid w:val="6360D597"/>
    <w:rsid w:val="637FAC39"/>
    <w:rsid w:val="639F0CBC"/>
    <w:rsid w:val="63B5A083"/>
    <w:rsid w:val="63BBCA75"/>
    <w:rsid w:val="63C41C82"/>
    <w:rsid w:val="63D433A9"/>
    <w:rsid w:val="63F5AB8B"/>
    <w:rsid w:val="64230C8A"/>
    <w:rsid w:val="6446E5E0"/>
    <w:rsid w:val="645C1F55"/>
    <w:rsid w:val="6462D683"/>
    <w:rsid w:val="6468051A"/>
    <w:rsid w:val="64866855"/>
    <w:rsid w:val="64ACFAC6"/>
    <w:rsid w:val="64B7810E"/>
    <w:rsid w:val="64B947D9"/>
    <w:rsid w:val="650D7604"/>
    <w:rsid w:val="6515FBD3"/>
    <w:rsid w:val="651CD131"/>
    <w:rsid w:val="651EE03B"/>
    <w:rsid w:val="652B3DF5"/>
    <w:rsid w:val="653E94BD"/>
    <w:rsid w:val="655EBCE8"/>
    <w:rsid w:val="65601944"/>
    <w:rsid w:val="6571E2C0"/>
    <w:rsid w:val="657388A7"/>
    <w:rsid w:val="657AAE40"/>
    <w:rsid w:val="65870263"/>
    <w:rsid w:val="658E06C2"/>
    <w:rsid w:val="659B3DB8"/>
    <w:rsid w:val="659B843B"/>
    <w:rsid w:val="65B69FAA"/>
    <w:rsid w:val="65D30FC1"/>
    <w:rsid w:val="65F98307"/>
    <w:rsid w:val="660860E3"/>
    <w:rsid w:val="660C0D7D"/>
    <w:rsid w:val="662A07C1"/>
    <w:rsid w:val="662A4E30"/>
    <w:rsid w:val="662FCABB"/>
    <w:rsid w:val="663A8869"/>
    <w:rsid w:val="663EFC75"/>
    <w:rsid w:val="663F275E"/>
    <w:rsid w:val="66657765"/>
    <w:rsid w:val="6666202C"/>
    <w:rsid w:val="6687009E"/>
    <w:rsid w:val="6697D695"/>
    <w:rsid w:val="66A141AE"/>
    <w:rsid w:val="66F3AAAC"/>
    <w:rsid w:val="67013546"/>
    <w:rsid w:val="670CF6C2"/>
    <w:rsid w:val="67117BE0"/>
    <w:rsid w:val="67262908"/>
    <w:rsid w:val="672C9D41"/>
    <w:rsid w:val="6742C16F"/>
    <w:rsid w:val="675B774F"/>
    <w:rsid w:val="67717263"/>
    <w:rsid w:val="679EE9F7"/>
    <w:rsid w:val="67B0F051"/>
    <w:rsid w:val="67B6F6AB"/>
    <w:rsid w:val="67C49897"/>
    <w:rsid w:val="67C91103"/>
    <w:rsid w:val="67CB0717"/>
    <w:rsid w:val="67DC7630"/>
    <w:rsid w:val="67ED5106"/>
    <w:rsid w:val="67EF0E90"/>
    <w:rsid w:val="67F673A0"/>
    <w:rsid w:val="681520ED"/>
    <w:rsid w:val="681CAC3F"/>
    <w:rsid w:val="683AC6F1"/>
    <w:rsid w:val="683B2607"/>
    <w:rsid w:val="685C8450"/>
    <w:rsid w:val="686AAAB9"/>
    <w:rsid w:val="6873B5B8"/>
    <w:rsid w:val="687EA050"/>
    <w:rsid w:val="68B756A7"/>
    <w:rsid w:val="68C56932"/>
    <w:rsid w:val="68D3D14F"/>
    <w:rsid w:val="68D51F76"/>
    <w:rsid w:val="68DD2C57"/>
    <w:rsid w:val="68E739A4"/>
    <w:rsid w:val="690675F7"/>
    <w:rsid w:val="691F92AE"/>
    <w:rsid w:val="692E79A3"/>
    <w:rsid w:val="694D54E9"/>
    <w:rsid w:val="694ED007"/>
    <w:rsid w:val="69512041"/>
    <w:rsid w:val="695915F0"/>
    <w:rsid w:val="696AA982"/>
    <w:rsid w:val="697FD773"/>
    <w:rsid w:val="697FFFDD"/>
    <w:rsid w:val="69812086"/>
    <w:rsid w:val="69835E7B"/>
    <w:rsid w:val="6983FD98"/>
    <w:rsid w:val="6987067A"/>
    <w:rsid w:val="69B491F4"/>
    <w:rsid w:val="69D169F7"/>
    <w:rsid w:val="69DCD677"/>
    <w:rsid w:val="69DE751D"/>
    <w:rsid w:val="6A0DC679"/>
    <w:rsid w:val="6A3111F1"/>
    <w:rsid w:val="6A3C2825"/>
    <w:rsid w:val="6A5A9FA0"/>
    <w:rsid w:val="6A5D1018"/>
    <w:rsid w:val="6A67E3C0"/>
    <w:rsid w:val="6A7C1B6D"/>
    <w:rsid w:val="6A9962FA"/>
    <w:rsid w:val="6AACE98F"/>
    <w:rsid w:val="6ABD33C8"/>
    <w:rsid w:val="6AD7D41D"/>
    <w:rsid w:val="6AD846D6"/>
    <w:rsid w:val="6AD8C97A"/>
    <w:rsid w:val="6AD95275"/>
    <w:rsid w:val="6AE4ED3A"/>
    <w:rsid w:val="6AF4DE6F"/>
    <w:rsid w:val="6B00DE5C"/>
    <w:rsid w:val="6B0D9F43"/>
    <w:rsid w:val="6B126DA2"/>
    <w:rsid w:val="6B18F1D0"/>
    <w:rsid w:val="6B38BA09"/>
    <w:rsid w:val="6B39E5CA"/>
    <w:rsid w:val="6B47E0FC"/>
    <w:rsid w:val="6B49B14F"/>
    <w:rsid w:val="6B4E785D"/>
    <w:rsid w:val="6B60B838"/>
    <w:rsid w:val="6B651C08"/>
    <w:rsid w:val="6B6A870E"/>
    <w:rsid w:val="6B6CDA00"/>
    <w:rsid w:val="6B75E3F1"/>
    <w:rsid w:val="6B903711"/>
    <w:rsid w:val="6B9AC00D"/>
    <w:rsid w:val="6B9BA1BE"/>
    <w:rsid w:val="6BC4AF61"/>
    <w:rsid w:val="6BE73CC5"/>
    <w:rsid w:val="6C2A338C"/>
    <w:rsid w:val="6C349E14"/>
    <w:rsid w:val="6C469AA0"/>
    <w:rsid w:val="6C4DE797"/>
    <w:rsid w:val="6C4F56F8"/>
    <w:rsid w:val="6C5A8785"/>
    <w:rsid w:val="6C68C746"/>
    <w:rsid w:val="6CC9CE1D"/>
    <w:rsid w:val="6CD5BE73"/>
    <w:rsid w:val="6CE0E129"/>
    <w:rsid w:val="6CE26838"/>
    <w:rsid w:val="6CF9BDB4"/>
    <w:rsid w:val="6D1B6C11"/>
    <w:rsid w:val="6D4A63E0"/>
    <w:rsid w:val="6D636AE3"/>
    <w:rsid w:val="6D6E4833"/>
    <w:rsid w:val="6D76A63C"/>
    <w:rsid w:val="6D783CAC"/>
    <w:rsid w:val="6D7A3DF3"/>
    <w:rsid w:val="6D864CA9"/>
    <w:rsid w:val="6D8CF1AF"/>
    <w:rsid w:val="6D8DB713"/>
    <w:rsid w:val="6D959345"/>
    <w:rsid w:val="6D979722"/>
    <w:rsid w:val="6D9827C7"/>
    <w:rsid w:val="6D9EDB36"/>
    <w:rsid w:val="6DA0F1FB"/>
    <w:rsid w:val="6DAE844E"/>
    <w:rsid w:val="6DBEDC31"/>
    <w:rsid w:val="6DD1B0CD"/>
    <w:rsid w:val="6DDA8083"/>
    <w:rsid w:val="6DE2D20C"/>
    <w:rsid w:val="6DE46705"/>
    <w:rsid w:val="6DE4F656"/>
    <w:rsid w:val="6DEA6F3F"/>
    <w:rsid w:val="6DF0055A"/>
    <w:rsid w:val="6E0EE2C7"/>
    <w:rsid w:val="6E34BC6B"/>
    <w:rsid w:val="6E3B6269"/>
    <w:rsid w:val="6E442072"/>
    <w:rsid w:val="6E9542A7"/>
    <w:rsid w:val="6E95CD23"/>
    <w:rsid w:val="6E99F758"/>
    <w:rsid w:val="6E9A5798"/>
    <w:rsid w:val="6EAB02A5"/>
    <w:rsid w:val="6EBF026B"/>
    <w:rsid w:val="6EC2B9C7"/>
    <w:rsid w:val="6ECBCE10"/>
    <w:rsid w:val="6ED5C3A7"/>
    <w:rsid w:val="6EE78A98"/>
    <w:rsid w:val="6EF2970F"/>
    <w:rsid w:val="6F0D0B18"/>
    <w:rsid w:val="6F27F5DE"/>
    <w:rsid w:val="6F461939"/>
    <w:rsid w:val="6F4A705F"/>
    <w:rsid w:val="6FA0D3C7"/>
    <w:rsid w:val="6FA0FFC8"/>
    <w:rsid w:val="6FC3976B"/>
    <w:rsid w:val="6FCDE1EC"/>
    <w:rsid w:val="6FF8D989"/>
    <w:rsid w:val="6FF9B027"/>
    <w:rsid w:val="7009CEDC"/>
    <w:rsid w:val="7010A76D"/>
    <w:rsid w:val="70428132"/>
    <w:rsid w:val="7042A582"/>
    <w:rsid w:val="7050CFBD"/>
    <w:rsid w:val="706077F5"/>
    <w:rsid w:val="708EF9B5"/>
    <w:rsid w:val="70956CF4"/>
    <w:rsid w:val="7097E030"/>
    <w:rsid w:val="709AF52D"/>
    <w:rsid w:val="70A6CCF6"/>
    <w:rsid w:val="70A8D11E"/>
    <w:rsid w:val="70BF74FE"/>
    <w:rsid w:val="70D39C09"/>
    <w:rsid w:val="70EC3640"/>
    <w:rsid w:val="7136B0F8"/>
    <w:rsid w:val="7145286C"/>
    <w:rsid w:val="715EF372"/>
    <w:rsid w:val="717317F8"/>
    <w:rsid w:val="7177BBF6"/>
    <w:rsid w:val="7181A8C9"/>
    <w:rsid w:val="718F4786"/>
    <w:rsid w:val="718F7C7F"/>
    <w:rsid w:val="71A1A8A6"/>
    <w:rsid w:val="71AF1FC4"/>
    <w:rsid w:val="71AF713E"/>
    <w:rsid w:val="71C23E84"/>
    <w:rsid w:val="71E73A57"/>
    <w:rsid w:val="71EB6B3E"/>
    <w:rsid w:val="722828DD"/>
    <w:rsid w:val="723763E1"/>
    <w:rsid w:val="72434D6C"/>
    <w:rsid w:val="7245B035"/>
    <w:rsid w:val="724B29BC"/>
    <w:rsid w:val="726823C3"/>
    <w:rsid w:val="72690C87"/>
    <w:rsid w:val="727399B3"/>
    <w:rsid w:val="72948DB1"/>
    <w:rsid w:val="72A1392B"/>
    <w:rsid w:val="72A83C1E"/>
    <w:rsid w:val="72AA5077"/>
    <w:rsid w:val="72AF66F4"/>
    <w:rsid w:val="72C79578"/>
    <w:rsid w:val="72CBF1CB"/>
    <w:rsid w:val="72CE0292"/>
    <w:rsid w:val="72D9F00A"/>
    <w:rsid w:val="72DABBB5"/>
    <w:rsid w:val="72DECA57"/>
    <w:rsid w:val="7306E910"/>
    <w:rsid w:val="732C4461"/>
    <w:rsid w:val="7332F098"/>
    <w:rsid w:val="73354E24"/>
    <w:rsid w:val="736C937B"/>
    <w:rsid w:val="73A17868"/>
    <w:rsid w:val="73AAFBF1"/>
    <w:rsid w:val="73C6923D"/>
    <w:rsid w:val="73CAD472"/>
    <w:rsid w:val="73CB75EE"/>
    <w:rsid w:val="73CC4663"/>
    <w:rsid w:val="73E52813"/>
    <w:rsid w:val="73F6BDE0"/>
    <w:rsid w:val="74027D72"/>
    <w:rsid w:val="74375BA4"/>
    <w:rsid w:val="7447F578"/>
    <w:rsid w:val="74535863"/>
    <w:rsid w:val="745AE51A"/>
    <w:rsid w:val="745E5738"/>
    <w:rsid w:val="74615765"/>
    <w:rsid w:val="74651391"/>
    <w:rsid w:val="747A2227"/>
    <w:rsid w:val="748549F1"/>
    <w:rsid w:val="748C2CC9"/>
    <w:rsid w:val="7494A5F8"/>
    <w:rsid w:val="74A08A44"/>
    <w:rsid w:val="74BB990B"/>
    <w:rsid w:val="74F68763"/>
    <w:rsid w:val="74FB8F0B"/>
    <w:rsid w:val="75014655"/>
    <w:rsid w:val="75050268"/>
    <w:rsid w:val="750EA590"/>
    <w:rsid w:val="7549D160"/>
    <w:rsid w:val="75AEAB3B"/>
    <w:rsid w:val="75B613A9"/>
    <w:rsid w:val="75DDCCBA"/>
    <w:rsid w:val="75E30027"/>
    <w:rsid w:val="760294B9"/>
    <w:rsid w:val="760FBECF"/>
    <w:rsid w:val="76469A3D"/>
    <w:rsid w:val="764E5860"/>
    <w:rsid w:val="7659F301"/>
    <w:rsid w:val="76649419"/>
    <w:rsid w:val="7698B47C"/>
    <w:rsid w:val="76A0E0F6"/>
    <w:rsid w:val="76BB32D8"/>
    <w:rsid w:val="76C5A0B9"/>
    <w:rsid w:val="76CFBB04"/>
    <w:rsid w:val="76EDB55D"/>
    <w:rsid w:val="773489BA"/>
    <w:rsid w:val="7753652E"/>
    <w:rsid w:val="77774303"/>
    <w:rsid w:val="779C5896"/>
    <w:rsid w:val="779EA2F8"/>
    <w:rsid w:val="77A5C893"/>
    <w:rsid w:val="77BCF8D7"/>
    <w:rsid w:val="77D725E7"/>
    <w:rsid w:val="77F3D5D9"/>
    <w:rsid w:val="77F3EA4D"/>
    <w:rsid w:val="78296D18"/>
    <w:rsid w:val="783A5DFD"/>
    <w:rsid w:val="7857EE10"/>
    <w:rsid w:val="78748674"/>
    <w:rsid w:val="7883503A"/>
    <w:rsid w:val="78880B45"/>
    <w:rsid w:val="788BE408"/>
    <w:rsid w:val="789C68A5"/>
    <w:rsid w:val="78A838CB"/>
    <w:rsid w:val="78A849A6"/>
    <w:rsid w:val="78AAD43D"/>
    <w:rsid w:val="78AE2B21"/>
    <w:rsid w:val="78BAA300"/>
    <w:rsid w:val="78CF0D49"/>
    <w:rsid w:val="78F0C6CC"/>
    <w:rsid w:val="78FB3B8D"/>
    <w:rsid w:val="78FB5019"/>
    <w:rsid w:val="790AEBE7"/>
    <w:rsid w:val="790F08BF"/>
    <w:rsid w:val="797192DE"/>
    <w:rsid w:val="798064A2"/>
    <w:rsid w:val="79906FCC"/>
    <w:rsid w:val="79998700"/>
    <w:rsid w:val="79A673F8"/>
    <w:rsid w:val="79AFDB68"/>
    <w:rsid w:val="79B5BA64"/>
    <w:rsid w:val="79B83B72"/>
    <w:rsid w:val="79BA89AD"/>
    <w:rsid w:val="79D9C8B8"/>
    <w:rsid w:val="7A04FD2D"/>
    <w:rsid w:val="7A1244B8"/>
    <w:rsid w:val="7A1D58DB"/>
    <w:rsid w:val="7A2BC31C"/>
    <w:rsid w:val="7A36EBDE"/>
    <w:rsid w:val="7A476EAD"/>
    <w:rsid w:val="7A4FCD94"/>
    <w:rsid w:val="7A5017B5"/>
    <w:rsid w:val="7AA25B38"/>
    <w:rsid w:val="7AA56A1C"/>
    <w:rsid w:val="7AB36668"/>
    <w:rsid w:val="7AB8E2CD"/>
    <w:rsid w:val="7AD4AEDB"/>
    <w:rsid w:val="7AD886D1"/>
    <w:rsid w:val="7AE3CD8D"/>
    <w:rsid w:val="7AE70EFE"/>
    <w:rsid w:val="7AFD7960"/>
    <w:rsid w:val="7B248F60"/>
    <w:rsid w:val="7B26DD0F"/>
    <w:rsid w:val="7B3FB302"/>
    <w:rsid w:val="7B4312E5"/>
    <w:rsid w:val="7B5011BE"/>
    <w:rsid w:val="7B5FBE7B"/>
    <w:rsid w:val="7B6E195C"/>
    <w:rsid w:val="7B8F11D0"/>
    <w:rsid w:val="7B981053"/>
    <w:rsid w:val="7B9F37EE"/>
    <w:rsid w:val="7BE69CFB"/>
    <w:rsid w:val="7BECE43C"/>
    <w:rsid w:val="7BF7571C"/>
    <w:rsid w:val="7BFC5331"/>
    <w:rsid w:val="7BFDF01E"/>
    <w:rsid w:val="7C006970"/>
    <w:rsid w:val="7C01788D"/>
    <w:rsid w:val="7C0A706B"/>
    <w:rsid w:val="7C103F39"/>
    <w:rsid w:val="7C14EC8E"/>
    <w:rsid w:val="7C17C031"/>
    <w:rsid w:val="7C17DFB5"/>
    <w:rsid w:val="7C18103E"/>
    <w:rsid w:val="7C26EAB7"/>
    <w:rsid w:val="7C2F0785"/>
    <w:rsid w:val="7C4B08C9"/>
    <w:rsid w:val="7C4B178D"/>
    <w:rsid w:val="7C4BCF20"/>
    <w:rsid w:val="7C72F551"/>
    <w:rsid w:val="7C879B3D"/>
    <w:rsid w:val="7CA302A3"/>
    <w:rsid w:val="7CA6B766"/>
    <w:rsid w:val="7CC36A7D"/>
    <w:rsid w:val="7D0CB22A"/>
    <w:rsid w:val="7D3CFAE1"/>
    <w:rsid w:val="7D458EEE"/>
    <w:rsid w:val="7D653D3D"/>
    <w:rsid w:val="7D78BFDE"/>
    <w:rsid w:val="7D80CA56"/>
    <w:rsid w:val="7D847FF5"/>
    <w:rsid w:val="7D97A2A1"/>
    <w:rsid w:val="7D9D676A"/>
    <w:rsid w:val="7DAB4992"/>
    <w:rsid w:val="7DAC72D5"/>
    <w:rsid w:val="7DC0A7AC"/>
    <w:rsid w:val="7DEE68F3"/>
    <w:rsid w:val="7E01ABA6"/>
    <w:rsid w:val="7E08A1B4"/>
    <w:rsid w:val="7E1609DF"/>
    <w:rsid w:val="7E3A0820"/>
    <w:rsid w:val="7E525D26"/>
    <w:rsid w:val="7EA66B32"/>
    <w:rsid w:val="7EBE3630"/>
    <w:rsid w:val="7EEE60DE"/>
    <w:rsid w:val="7F01D3C8"/>
    <w:rsid w:val="7F0693B0"/>
    <w:rsid w:val="7F1386CF"/>
    <w:rsid w:val="7F375505"/>
    <w:rsid w:val="7F4E7232"/>
    <w:rsid w:val="7F4EB363"/>
    <w:rsid w:val="7F585B28"/>
    <w:rsid w:val="7F7DB6F0"/>
    <w:rsid w:val="7F80C3EA"/>
    <w:rsid w:val="7F866BA7"/>
    <w:rsid w:val="7F89F05B"/>
    <w:rsid w:val="7F8B2085"/>
    <w:rsid w:val="7F8E6641"/>
    <w:rsid w:val="7FA0667E"/>
    <w:rsid w:val="7FAA4D6C"/>
    <w:rsid w:val="7FB83CD8"/>
    <w:rsid w:val="7FE587BC"/>
    <w:rsid w:val="7FEA3280"/>
    <w:rsid w:val="7FFAF5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6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themeColor="text1"/>
        <w:lang w:val="en-AU" w:eastAsia="en-AU" w:bidi="ar-SA"/>
      </w:rPr>
    </w:rPrDefault>
    <w:pPrDefault>
      <w:pPr>
        <w:spacing w:before="160" w:after="160" w:line="26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3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13C"/>
    <w:pPr>
      <w:spacing w:line="259" w:lineRule="auto"/>
    </w:pPr>
  </w:style>
  <w:style w:type="paragraph" w:styleId="Heading1">
    <w:name w:val="heading 1"/>
    <w:basedOn w:val="Normal"/>
    <w:next w:val="Normal"/>
    <w:link w:val="Heading1Char"/>
    <w:qFormat/>
    <w:rsid w:val="0028513C"/>
    <w:pPr>
      <w:keepNext/>
      <w:keepLines/>
      <w:spacing w:before="360" w:line="240" w:lineRule="auto"/>
      <w:outlineLvl w:val="0"/>
    </w:pPr>
    <w:rPr>
      <w:rFonts w:eastAsiaTheme="majorEastAsia" w:cstheme="majorBidi"/>
      <w:bCs/>
      <w:color w:val="009364" w:themeColor="accent2"/>
      <w:sz w:val="48"/>
      <w:szCs w:val="40"/>
    </w:rPr>
  </w:style>
  <w:style w:type="paragraph" w:styleId="Heading2">
    <w:name w:val="heading 2"/>
    <w:basedOn w:val="Normal"/>
    <w:next w:val="Normal"/>
    <w:link w:val="Heading2Char"/>
    <w:qFormat/>
    <w:rsid w:val="0028513C"/>
    <w:pPr>
      <w:keepNext/>
      <w:keepLines/>
      <w:spacing w:before="360" w:line="240" w:lineRule="auto"/>
      <w:outlineLvl w:val="1"/>
    </w:pPr>
    <w:rPr>
      <w:rFonts w:eastAsiaTheme="majorEastAsia" w:cstheme="majorBidi"/>
      <w:b/>
      <w:bCs/>
      <w:color w:val="001032" w:themeColor="text2"/>
      <w:sz w:val="32"/>
      <w:szCs w:val="26"/>
    </w:rPr>
  </w:style>
  <w:style w:type="paragraph" w:styleId="Heading3">
    <w:name w:val="heading 3"/>
    <w:basedOn w:val="Normal"/>
    <w:next w:val="Normal"/>
    <w:link w:val="Heading3Char"/>
    <w:qFormat/>
    <w:rsid w:val="00E72AE2"/>
    <w:pPr>
      <w:keepNext/>
      <w:keepLines/>
      <w:spacing w:before="360" w:line="240" w:lineRule="auto"/>
      <w:outlineLvl w:val="2"/>
    </w:pPr>
    <w:rPr>
      <w:rFonts w:asciiTheme="majorHAnsi" w:eastAsiaTheme="majorEastAsia" w:hAnsiTheme="majorHAnsi" w:cstheme="majorBidi"/>
      <w:b/>
      <w:bCs/>
      <w:color w:val="009364" w:themeColor="accent2"/>
      <w:sz w:val="28"/>
    </w:rPr>
  </w:style>
  <w:style w:type="paragraph" w:styleId="Heading4">
    <w:name w:val="heading 4"/>
    <w:basedOn w:val="Normal"/>
    <w:next w:val="Normal"/>
    <w:link w:val="Heading4Char"/>
    <w:qFormat/>
    <w:rsid w:val="0028513C"/>
    <w:pPr>
      <w:keepNext/>
      <w:keepLines/>
      <w:spacing w:before="360" w:line="240" w:lineRule="auto"/>
      <w:outlineLvl w:val="3"/>
    </w:pPr>
    <w:rPr>
      <w:rFonts w:asciiTheme="majorHAnsi" w:eastAsiaTheme="majorEastAsia" w:hAnsiTheme="majorHAnsi" w:cstheme="majorBidi"/>
      <w:b/>
      <w:bCs/>
      <w:iCs/>
      <w:color w:val="001032" w:themeColor="text2"/>
      <w:sz w:val="24"/>
    </w:rPr>
  </w:style>
  <w:style w:type="paragraph" w:styleId="Heading5">
    <w:name w:val="heading 5"/>
    <w:basedOn w:val="Normal"/>
    <w:next w:val="Normal"/>
    <w:link w:val="Heading5Char"/>
    <w:qFormat/>
    <w:rsid w:val="0028513C"/>
    <w:pPr>
      <w:keepNext/>
      <w:keepLines/>
      <w:tabs>
        <w:tab w:val="left" w:pos="794"/>
      </w:tabs>
      <w:spacing w:before="360" w:line="240" w:lineRule="auto"/>
      <w:outlineLvl w:val="4"/>
    </w:pPr>
    <w:rPr>
      <w:rFonts w:asciiTheme="majorHAnsi" w:eastAsiaTheme="majorEastAsia" w:hAnsiTheme="majorHAnsi" w:cstheme="majorBidi"/>
      <w:b/>
      <w:color w:val="001032" w:themeColor="text2"/>
    </w:rPr>
  </w:style>
  <w:style w:type="paragraph" w:styleId="Heading6">
    <w:name w:val="heading 6"/>
    <w:basedOn w:val="Normal"/>
    <w:next w:val="Normal"/>
    <w:link w:val="Heading6Char"/>
    <w:semiHidden/>
    <w:qFormat/>
    <w:rsid w:val="00DB4DFF"/>
    <w:pPr>
      <w:keepNext/>
      <w:keepLines/>
      <w:spacing w:before="250" w:after="40"/>
      <w:outlineLvl w:val="5"/>
    </w:pPr>
    <w:rPr>
      <w:rFonts w:asciiTheme="majorHAnsi" w:eastAsiaTheme="majorEastAsia" w:hAnsiTheme="majorHAnsi" w:cstheme="majorBidi"/>
      <w:i/>
      <w:iCs/>
      <w:spacing w:val="4"/>
      <w:sz w:val="24"/>
      <w:lang w:eastAsia="en-US"/>
    </w:rPr>
  </w:style>
  <w:style w:type="paragraph" w:styleId="Heading7">
    <w:name w:val="heading 7"/>
    <w:basedOn w:val="Normal"/>
    <w:next w:val="Normal"/>
    <w:link w:val="Heading7Char"/>
    <w:semiHidden/>
    <w:unhideWhenUsed/>
    <w:qFormat/>
    <w:rsid w:val="00E05291"/>
    <w:pPr>
      <w:keepNext/>
      <w:keepLines/>
      <w:pageBreakBefore/>
      <w:spacing w:before="260" w:afterLines="100"/>
      <w:outlineLvl w:val="6"/>
    </w:pPr>
    <w:rPr>
      <w:rFonts w:ascii="Calibri Light" w:eastAsiaTheme="majorEastAsia" w:hAnsi="Calibri Light" w:cstheme="majorBidi"/>
      <w:i/>
      <w:iCs/>
      <w:sz w:val="24"/>
    </w:rPr>
  </w:style>
  <w:style w:type="paragraph" w:styleId="Heading8">
    <w:name w:val="heading 8"/>
    <w:basedOn w:val="Normal"/>
    <w:next w:val="Normal"/>
    <w:link w:val="Heading8Char"/>
    <w:semiHidden/>
    <w:rsid w:val="0058629F"/>
    <w:pPr>
      <w:keepNext/>
      <w:keepLines/>
      <w:pageBreakBefore/>
      <w:numPr>
        <w:numId w:val="2"/>
      </w:numPr>
      <w:tabs>
        <w:tab w:val="right" w:pos="9639"/>
      </w:tabs>
      <w:spacing w:after="320" w:line="240" w:lineRule="auto"/>
      <w:outlineLvl w:val="7"/>
    </w:pPr>
    <w:rPr>
      <w:rFonts w:asciiTheme="majorHAnsi" w:eastAsiaTheme="majorEastAsia" w:hAnsiTheme="majorHAnsi" w:cs="Arial"/>
      <w:caps/>
      <w:color w:val="001032" w:themeColor="text2"/>
      <w:sz w:val="36"/>
      <w:lang w:eastAsia="en-US"/>
    </w:rPr>
  </w:style>
  <w:style w:type="paragraph" w:styleId="Heading9">
    <w:name w:val="heading 9"/>
    <w:basedOn w:val="Normal"/>
    <w:next w:val="Normal"/>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unhideWhenUsed/>
    <w:rsid w:val="0028513C"/>
    <w:rPr>
      <w:rFonts w:eastAsiaTheme="minorEastAsia" w:cstheme="minorBidi"/>
      <w:iCs/>
    </w:rPr>
  </w:style>
  <w:style w:type="paragraph" w:styleId="BalloonText">
    <w:name w:val="Balloon Text"/>
    <w:basedOn w:val="Normal"/>
    <w:link w:val="BalloonTextChar"/>
    <w:uiPriority w:val="99"/>
    <w:semiHidden/>
    <w:unhideWhenUsed/>
    <w:rsid w:val="005862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31"/>
    <w:rsid w:val="00625F4C"/>
    <w:pPr>
      <w:tabs>
        <w:tab w:val="right" w:pos="9639"/>
      </w:tabs>
      <w:spacing w:before="0" w:after="0" w:line="240" w:lineRule="auto"/>
      <w:jc w:val="right"/>
    </w:pPr>
    <w:rPr>
      <w:b/>
    </w:rPr>
  </w:style>
  <w:style w:type="character" w:customStyle="1" w:styleId="FooterChar">
    <w:name w:val="Footer Char"/>
    <w:basedOn w:val="DefaultParagraphFont"/>
    <w:link w:val="Footer"/>
    <w:uiPriority w:val="31"/>
    <w:rsid w:val="00865D11"/>
    <w:rPr>
      <w:b/>
    </w:rPr>
  </w:style>
  <w:style w:type="numbering" w:customStyle="1" w:styleId="HangingList">
    <w:name w:val="HangingList"/>
    <w:uiPriority w:val="99"/>
    <w:rsid w:val="00B2011B"/>
    <w:pPr>
      <w:numPr>
        <w:numId w:val="1"/>
      </w:numPr>
    </w:pPr>
  </w:style>
  <w:style w:type="paragraph" w:styleId="Header">
    <w:name w:val="header"/>
    <w:basedOn w:val="Normal"/>
    <w:link w:val="HeaderChar"/>
    <w:uiPriority w:val="31"/>
    <w:rsid w:val="003B7771"/>
    <w:pPr>
      <w:tabs>
        <w:tab w:val="left" w:pos="1860"/>
        <w:tab w:val="left" w:pos="2730"/>
      </w:tabs>
      <w:spacing w:before="0" w:after="0" w:line="240" w:lineRule="auto"/>
    </w:pPr>
    <w:rPr>
      <w:spacing w:val="2"/>
      <w:sz w:val="16"/>
    </w:rPr>
  </w:style>
  <w:style w:type="character" w:customStyle="1" w:styleId="HeaderChar">
    <w:name w:val="Header Char"/>
    <w:basedOn w:val="DefaultParagraphFont"/>
    <w:link w:val="Header"/>
    <w:uiPriority w:val="31"/>
    <w:rsid w:val="00865D11"/>
    <w:rPr>
      <w:spacing w:val="2"/>
      <w:sz w:val="16"/>
    </w:rPr>
  </w:style>
  <w:style w:type="character" w:customStyle="1" w:styleId="Heading1Char">
    <w:name w:val="Heading 1 Char"/>
    <w:basedOn w:val="DefaultParagraphFont"/>
    <w:link w:val="Heading1"/>
    <w:rsid w:val="0028513C"/>
    <w:rPr>
      <w:rFonts w:eastAsiaTheme="majorEastAsia" w:cstheme="majorBidi"/>
      <w:bCs/>
      <w:color w:val="009364" w:themeColor="accent2"/>
      <w:sz w:val="48"/>
      <w:szCs w:val="40"/>
    </w:rPr>
  </w:style>
  <w:style w:type="character" w:customStyle="1" w:styleId="Heading2Char">
    <w:name w:val="Heading 2 Char"/>
    <w:basedOn w:val="DefaultParagraphFont"/>
    <w:link w:val="Heading2"/>
    <w:rsid w:val="0028513C"/>
    <w:rPr>
      <w:rFonts w:eastAsiaTheme="majorEastAsia" w:cstheme="majorBidi"/>
      <w:b/>
      <w:bCs/>
      <w:color w:val="001032" w:themeColor="text2"/>
      <w:sz w:val="32"/>
      <w:szCs w:val="26"/>
    </w:rPr>
  </w:style>
  <w:style w:type="character" w:customStyle="1" w:styleId="Heading3Char">
    <w:name w:val="Heading 3 Char"/>
    <w:basedOn w:val="DefaultParagraphFont"/>
    <w:link w:val="Heading3"/>
    <w:rsid w:val="00E72AE2"/>
    <w:rPr>
      <w:rFonts w:asciiTheme="majorHAnsi" w:eastAsiaTheme="majorEastAsia" w:hAnsiTheme="majorHAnsi" w:cstheme="majorBidi"/>
      <w:b/>
      <w:bCs/>
      <w:color w:val="009364" w:themeColor="accent2"/>
      <w:sz w:val="28"/>
    </w:rPr>
  </w:style>
  <w:style w:type="character" w:customStyle="1" w:styleId="Heading4Char">
    <w:name w:val="Heading 4 Char"/>
    <w:basedOn w:val="DefaultParagraphFont"/>
    <w:link w:val="Heading4"/>
    <w:rsid w:val="0028513C"/>
    <w:rPr>
      <w:rFonts w:asciiTheme="majorHAnsi" w:eastAsiaTheme="majorEastAsia" w:hAnsiTheme="majorHAnsi" w:cstheme="majorBidi"/>
      <w:b/>
      <w:bCs/>
      <w:iCs/>
      <w:color w:val="001032" w:themeColor="text2"/>
      <w:sz w:val="24"/>
    </w:rPr>
  </w:style>
  <w:style w:type="character" w:customStyle="1" w:styleId="Heading7Char">
    <w:name w:val="Heading 7 Char"/>
    <w:basedOn w:val="DefaultParagraphFont"/>
    <w:link w:val="Heading7"/>
    <w:semiHidden/>
    <w:rsid w:val="00E05291"/>
    <w:rPr>
      <w:rFonts w:ascii="Calibri Light" w:eastAsiaTheme="majorEastAsia" w:hAnsi="Calibri Light" w:cstheme="majorBidi"/>
      <w:i/>
      <w:iCs/>
      <w:sz w:val="24"/>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color w:val="001032" w:themeColor="text2"/>
      <w:sz w:val="36"/>
      <w:lang w:eastAsia="en-US"/>
    </w:rPr>
  </w:style>
  <w:style w:type="character" w:customStyle="1" w:styleId="Heading9Char">
    <w:name w:val="Heading 9 Char"/>
    <w:basedOn w:val="DefaultParagraphFont"/>
    <w:link w:val="Heading9"/>
    <w:semiHidden/>
    <w:rsid w:val="000809F5"/>
  </w:style>
  <w:style w:type="numbering" w:customStyle="1" w:styleId="LstStandardNumbering">
    <w:name w:val="Lst_StandardNumbering"/>
    <w:uiPriority w:val="99"/>
    <w:rsid w:val="00B44180"/>
    <w:pPr>
      <w:numPr>
        <w:numId w:val="5"/>
      </w:numPr>
    </w:pPr>
  </w:style>
  <w:style w:type="character" w:styleId="Hyperlink">
    <w:name w:val="Hyperlink"/>
    <w:basedOn w:val="DefaultParagraphFont"/>
    <w:uiPriority w:val="99"/>
    <w:unhideWhenUsed/>
    <w:rsid w:val="0028513C"/>
    <w:rPr>
      <w:color w:val="000000" w:themeColor="text1"/>
      <w:u w:val="single" w:color="009364" w:themeColor="accent2"/>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Normal"/>
    <w:qFormat/>
    <w:rsid w:val="0028513C"/>
    <w:pPr>
      <w:ind w:left="397" w:hanging="397"/>
    </w:pPr>
  </w:style>
  <w:style w:type="paragraph" w:styleId="ListBullet2">
    <w:name w:val="List Bullet 2"/>
    <w:basedOn w:val="ListBullet"/>
    <w:qFormat/>
    <w:rsid w:val="00156BC1"/>
  </w:style>
  <w:style w:type="paragraph" w:styleId="ListBullet3">
    <w:name w:val="List Bullet 3"/>
    <w:basedOn w:val="ListBullet2"/>
    <w:qFormat/>
    <w:rsid w:val="0058629F"/>
  </w:style>
  <w:style w:type="paragraph" w:styleId="ListContinue">
    <w:name w:val="List Continue"/>
    <w:basedOn w:val="ListContinue2"/>
    <w:qFormat/>
    <w:rsid w:val="00BA0796"/>
    <w:pPr>
      <w:numPr>
        <w:ilvl w:val="0"/>
      </w:numPr>
    </w:pPr>
  </w:style>
  <w:style w:type="paragraph" w:styleId="ListNumber">
    <w:name w:val="List Number"/>
    <w:basedOn w:val="Normal"/>
    <w:qFormat/>
    <w:rsid w:val="0028513C"/>
    <w:pPr>
      <w:ind w:left="397" w:hanging="397"/>
    </w:pPr>
  </w:style>
  <w:style w:type="paragraph" w:styleId="ListNumber2">
    <w:name w:val="List Number 2"/>
    <w:basedOn w:val="ListNumber"/>
    <w:qFormat/>
    <w:rsid w:val="00AB6CB2"/>
    <w:pPr>
      <w:ind w:left="964" w:hanging="567"/>
    </w:pPr>
  </w:style>
  <w:style w:type="paragraph" w:styleId="ListNumber3">
    <w:name w:val="List Number 3"/>
    <w:basedOn w:val="ListNumber2"/>
    <w:qFormat/>
    <w:rsid w:val="00AB6CB2"/>
    <w:pPr>
      <w:ind w:left="1701" w:hanging="737"/>
    </w:pPr>
  </w:style>
  <w:style w:type="paragraph" w:customStyle="1" w:styleId="DisclaimerTextinFrame">
    <w:name w:val="Disclaimer Text in Frame"/>
    <w:basedOn w:val="Normal"/>
    <w:uiPriority w:val="31"/>
    <w:rsid w:val="00625F4C"/>
    <w:pPr>
      <w:framePr w:w="9185" w:wrap="around" w:hAnchor="text" w:yAlign="bottom"/>
      <w:spacing w:after="100"/>
    </w:pPr>
  </w:style>
  <w:style w:type="character" w:styleId="PlaceholderText">
    <w:name w:val="Placeholder Text"/>
    <w:basedOn w:val="DefaultParagraphFont"/>
    <w:uiPriority w:val="99"/>
    <w:rsid w:val="0058629F"/>
    <w:rPr>
      <w:color w:val="808080"/>
    </w:rPr>
  </w:style>
  <w:style w:type="paragraph" w:styleId="Title">
    <w:name w:val="Title"/>
    <w:basedOn w:val="Normal"/>
    <w:next w:val="Normal"/>
    <w:link w:val="TitleChar"/>
    <w:uiPriority w:val="29"/>
    <w:rsid w:val="00057C60"/>
    <w:pPr>
      <w:spacing w:before="0" w:after="0" w:line="720" w:lineRule="atLeast"/>
      <w:contextualSpacing/>
    </w:pPr>
    <w:rPr>
      <w:rFonts w:asciiTheme="majorHAnsi" w:hAnsiTheme="majorHAnsi"/>
      <w:sz w:val="60"/>
    </w:rPr>
  </w:style>
  <w:style w:type="character" w:customStyle="1" w:styleId="TitleChar">
    <w:name w:val="Title Char"/>
    <w:basedOn w:val="DefaultParagraphFont"/>
    <w:link w:val="Title"/>
    <w:uiPriority w:val="29"/>
    <w:rsid w:val="00057C60"/>
    <w:rPr>
      <w:rFonts w:asciiTheme="majorHAnsi" w:hAnsiTheme="majorHAnsi"/>
      <w:sz w:val="60"/>
    </w:rPr>
  </w:style>
  <w:style w:type="paragraph" w:styleId="Subtitle">
    <w:name w:val="Subtitle"/>
    <w:basedOn w:val="Normal"/>
    <w:next w:val="Normal"/>
    <w:link w:val="SubtitleChar"/>
    <w:uiPriority w:val="30"/>
    <w:rsid w:val="00057C60"/>
    <w:pPr>
      <w:numPr>
        <w:ilvl w:val="1"/>
      </w:numPr>
      <w:spacing w:before="660" w:after="0" w:line="336" w:lineRule="atLeast"/>
      <w:contextualSpacing/>
    </w:pPr>
    <w:rPr>
      <w:rFonts w:eastAsiaTheme="majorEastAsia" w:cstheme="majorBidi"/>
      <w:iCs/>
      <w:sz w:val="28"/>
      <w:szCs w:val="24"/>
    </w:rPr>
  </w:style>
  <w:style w:type="paragraph" w:styleId="TOC5">
    <w:name w:val="toc 5"/>
    <w:basedOn w:val="Normal"/>
    <w:next w:val="Normal"/>
    <w:autoRedefine/>
    <w:semiHidden/>
    <w:rsid w:val="0058629F"/>
    <w:pPr>
      <w:spacing w:after="100"/>
      <w:ind w:left="720"/>
    </w:pPr>
  </w:style>
  <w:style w:type="paragraph" w:styleId="TOC6">
    <w:name w:val="toc 6"/>
    <w:basedOn w:val="Normal"/>
    <w:next w:val="Normal"/>
    <w:autoRedefine/>
    <w:semiHidden/>
    <w:rsid w:val="0058629F"/>
    <w:pPr>
      <w:spacing w:after="100"/>
      <w:ind w:left="900"/>
    </w:pPr>
  </w:style>
  <w:style w:type="paragraph" w:styleId="TOC7">
    <w:name w:val="toc 7"/>
    <w:basedOn w:val="Normal"/>
    <w:next w:val="Normal"/>
    <w:autoRedefine/>
    <w:semiHidden/>
    <w:rsid w:val="0058629F"/>
    <w:pPr>
      <w:spacing w:after="100"/>
      <w:ind w:left="1080"/>
    </w:pPr>
  </w:style>
  <w:style w:type="paragraph" w:styleId="TOC8">
    <w:name w:val="toc 8"/>
    <w:basedOn w:val="Normal"/>
    <w:next w:val="Normal"/>
    <w:autoRedefine/>
    <w:semiHidden/>
    <w:rsid w:val="0058629F"/>
    <w:pPr>
      <w:spacing w:after="100"/>
      <w:ind w:left="1260"/>
    </w:pPr>
  </w:style>
  <w:style w:type="character" w:customStyle="1" w:styleId="SubtitleChar">
    <w:name w:val="Subtitle Char"/>
    <w:basedOn w:val="DefaultParagraphFont"/>
    <w:link w:val="Subtitle"/>
    <w:uiPriority w:val="30"/>
    <w:rsid w:val="00057C60"/>
    <w:rPr>
      <w:rFonts w:eastAsiaTheme="majorEastAsia" w:cstheme="majorBidi"/>
      <w:iCs/>
      <w:sz w:val="28"/>
      <w:szCs w:val="24"/>
    </w:rPr>
  </w:style>
  <w:style w:type="paragraph" w:styleId="ListContinue2">
    <w:name w:val="List Continue 2"/>
    <w:basedOn w:val="ListContinue3"/>
    <w:qFormat/>
    <w:rsid w:val="00BA0796"/>
    <w:pPr>
      <w:numPr>
        <w:ilvl w:val="1"/>
      </w:numPr>
    </w:pPr>
  </w:style>
  <w:style w:type="paragraph" w:styleId="ListContinue3">
    <w:name w:val="List Continue 3"/>
    <w:basedOn w:val="Normal"/>
    <w:qFormat/>
    <w:rsid w:val="00DB4DFF"/>
    <w:pPr>
      <w:numPr>
        <w:ilvl w:val="2"/>
        <w:numId w:val="6"/>
      </w:numPr>
      <w:spacing w:before="90" w:after="90"/>
    </w:pPr>
  </w:style>
  <w:style w:type="paragraph" w:styleId="NoSpacing">
    <w:name w:val="No Spacing"/>
    <w:basedOn w:val="Normal"/>
    <w:qFormat/>
    <w:rsid w:val="00FB7293"/>
    <w:pPr>
      <w:spacing w:before="0" w:after="0"/>
    </w:pPr>
  </w:style>
  <w:style w:type="paragraph" w:customStyle="1" w:styleId="TableofFiguresHeading">
    <w:name w:val="Table of Figures Heading"/>
    <w:basedOn w:val="Normal"/>
    <w:uiPriority w:val="99"/>
    <w:semiHidden/>
    <w:rsid w:val="0058629F"/>
    <w:pPr>
      <w:spacing w:before="240" w:line="240" w:lineRule="auto"/>
    </w:pPr>
    <w:rPr>
      <w:b/>
      <w:bCs/>
      <w:noProof/>
    </w:rPr>
  </w:style>
  <w:style w:type="character" w:customStyle="1" w:styleId="Heading5Char">
    <w:name w:val="Heading 5 Char"/>
    <w:basedOn w:val="DefaultParagraphFont"/>
    <w:link w:val="Heading5"/>
    <w:rsid w:val="0028513C"/>
    <w:rPr>
      <w:rFonts w:asciiTheme="majorHAnsi" w:eastAsiaTheme="majorEastAsia" w:hAnsiTheme="majorHAnsi" w:cstheme="majorBidi"/>
      <w:b/>
      <w:color w:val="001032" w:themeColor="text2"/>
    </w:rPr>
  </w:style>
  <w:style w:type="character" w:customStyle="1" w:styleId="Heading6Char">
    <w:name w:val="Heading 6 Char"/>
    <w:basedOn w:val="DefaultParagraphFont"/>
    <w:link w:val="Heading6"/>
    <w:semiHidden/>
    <w:rsid w:val="00DB4DFF"/>
    <w:rPr>
      <w:rFonts w:asciiTheme="majorHAnsi" w:eastAsiaTheme="majorEastAsia" w:hAnsiTheme="majorHAnsi" w:cstheme="majorBidi"/>
      <w:i/>
      <w:iCs/>
      <w:spacing w:val="4"/>
      <w:sz w:val="24"/>
      <w:lang w:eastAsia="en-US"/>
    </w:rPr>
  </w:style>
  <w:style w:type="paragraph" w:styleId="Revision">
    <w:name w:val="Revision"/>
    <w:hidden/>
    <w:uiPriority w:val="99"/>
    <w:semiHidden/>
    <w:rsid w:val="009E7348"/>
    <w:pPr>
      <w:spacing w:line="240" w:lineRule="auto"/>
    </w:pPr>
    <w:rPr>
      <w:rFonts w:ascii="Calibri" w:eastAsia="Calibri" w:hAnsi="Calibri"/>
      <w:lang w:eastAsia="en-US"/>
    </w:rPr>
  </w:style>
  <w:style w:type="table" w:styleId="PlainTable2">
    <w:name w:val="Plain Table 2"/>
    <w:basedOn w:val="TableNormal"/>
    <w:uiPriority w:val="42"/>
    <w:semiHidden/>
    <w:rsid w:val="0058629F"/>
    <w:pPr>
      <w:spacing w:line="240" w:lineRule="exact"/>
    </w:pPr>
    <w:rPr>
      <w:sz w:val="18"/>
    </w:r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pPr>
      <w:spacing w:line="240" w:lineRule="auto"/>
    </w:pPr>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next w:val="Normal"/>
    <w:uiPriority w:val="39"/>
    <w:unhideWhenUsed/>
    <w:qFormat/>
    <w:rsid w:val="00F1218E"/>
    <w:pPr>
      <w:pageBreakBefore/>
      <w:spacing w:before="180" w:after="1080" w:line="240" w:lineRule="auto"/>
    </w:pPr>
    <w:rPr>
      <w:rFonts w:asciiTheme="majorHAnsi" w:hAnsiTheme="majorHAnsi"/>
      <w:bCs/>
      <w:color w:val="009364" w:themeColor="accent2"/>
      <w:sz w:val="52"/>
    </w:rPr>
  </w:style>
  <w:style w:type="paragraph" w:styleId="TOC1">
    <w:name w:val="toc 1"/>
    <w:basedOn w:val="Normal"/>
    <w:next w:val="Normal"/>
    <w:link w:val="TOC1Char"/>
    <w:autoRedefine/>
    <w:uiPriority w:val="39"/>
    <w:rsid w:val="00896146"/>
    <w:pPr>
      <w:tabs>
        <w:tab w:val="right" w:pos="9582"/>
      </w:tabs>
      <w:spacing w:before="360" w:after="240" w:line="292" w:lineRule="atLeast"/>
      <w:ind w:right="510"/>
    </w:pPr>
    <w:rPr>
      <w:rFonts w:eastAsiaTheme="majorEastAsia"/>
      <w:bCs/>
      <w:noProof/>
      <w:sz w:val="24"/>
    </w:rPr>
  </w:style>
  <w:style w:type="paragraph" w:styleId="TOC2">
    <w:name w:val="toc 2"/>
    <w:basedOn w:val="Normal"/>
    <w:next w:val="Normal"/>
    <w:autoRedefine/>
    <w:uiPriority w:val="39"/>
    <w:rsid w:val="00A218BB"/>
    <w:pPr>
      <w:tabs>
        <w:tab w:val="right" w:pos="9582"/>
      </w:tabs>
      <w:spacing w:before="240" w:after="240" w:line="292" w:lineRule="atLeast"/>
      <w:ind w:left="851" w:right="567" w:hanging="567"/>
    </w:pPr>
    <w:rPr>
      <w:rFonts w:eastAsiaTheme="minorEastAsia" w:cstheme="minorBidi"/>
      <w:noProof/>
      <w:sz w:val="24"/>
    </w:rPr>
  </w:style>
  <w:style w:type="table" w:customStyle="1" w:styleId="TablePlaceholder">
    <w:name w:val="Table Placeholder"/>
    <w:basedOn w:val="TableNormal"/>
    <w:uiPriority w:val="99"/>
    <w:rsid w:val="0058629F"/>
    <w:pPr>
      <w:spacing w:line="240" w:lineRule="auto"/>
    </w:pPr>
    <w:tblPr/>
  </w:style>
  <w:style w:type="paragraph" w:styleId="Caption">
    <w:name w:val="caption"/>
    <w:basedOn w:val="Normal"/>
    <w:next w:val="Normal"/>
    <w:qFormat/>
    <w:rsid w:val="00397986"/>
    <w:pPr>
      <w:keepNext/>
      <w:tabs>
        <w:tab w:val="left" w:pos="1134"/>
      </w:tabs>
      <w:spacing w:before="0"/>
    </w:pPr>
    <w:rPr>
      <w:b/>
      <w:iCs/>
      <w:color w:val="auto"/>
      <w:szCs w:val="18"/>
    </w:rPr>
  </w:style>
  <w:style w:type="paragraph" w:styleId="FootnoteText">
    <w:name w:val="footnote text"/>
    <w:basedOn w:val="Normal"/>
    <w:link w:val="FootnoteTextChar"/>
    <w:uiPriority w:val="99"/>
    <w:rsid w:val="00D96685"/>
    <w:pPr>
      <w:spacing w:before="40" w:after="0" w:line="220" w:lineRule="atLeast"/>
    </w:pPr>
    <w:rPr>
      <w:sz w:val="16"/>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pPr>
      <w:spacing w:line="240" w:lineRule="auto"/>
    </w:p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semiHidden/>
    <w:rsid w:val="0058629F"/>
    <w:pPr>
      <w:spacing w:line="240" w:lineRule="auto"/>
    </w:p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semiHidden/>
    <w:rsid w:val="0058629F"/>
    <w:pPr>
      <w:spacing w:line="240" w:lineRule="auto"/>
    </w:p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semiHidden/>
    <w:rsid w:val="0058629F"/>
    <w:pPr>
      <w:spacing w:line="240" w:lineRule="auto"/>
    </w:p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semiHidden/>
    <w:rsid w:val="0058629F"/>
    <w:pPr>
      <w:spacing w:line="240" w:lineRule="auto"/>
    </w:p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semiHidden/>
    <w:rsid w:val="0058629F"/>
    <w:pPr>
      <w:spacing w:line="240" w:lineRule="auto"/>
    </w:p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semiHidden/>
    <w:rsid w:val="0058629F"/>
    <w:pPr>
      <w:spacing w:line="240" w:lineRule="auto"/>
    </w:p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List">
    <w:name w:val="Colorful List"/>
    <w:basedOn w:val="TableNormal"/>
    <w:uiPriority w:val="72"/>
    <w:semiHidden/>
    <w:rsid w:val="0058629F"/>
    <w:pPr>
      <w:spacing w:line="240" w:lineRule="auto"/>
    </w:pPr>
    <w:tblPr/>
    <w:tblStylePr w:type="firstRow">
      <w:rPr>
        <w:b/>
        <w:bCs/>
        <w:color w:val="FFFFFF" w:themeColor="background1"/>
      </w:rPr>
    </w:tblStylePr>
    <w:tblStylePr w:type="lastRow">
      <w:rPr>
        <w:b/>
        <w:bCs/>
        <w:color w:val="00754F" w:themeColor="accent2" w:themeShade="CC"/>
      </w:rPr>
    </w:tblStylePr>
    <w:tblStylePr w:type="firstCol">
      <w:rPr>
        <w:b/>
        <w:bCs/>
      </w:rPr>
    </w:tblStylePr>
    <w:tblStylePr w:type="lastCol">
      <w:rPr>
        <w:b/>
        <w:bCs/>
      </w:rPr>
    </w:tblStylePr>
  </w:style>
  <w:style w:type="table" w:styleId="ColorfulList-Accent1">
    <w:name w:val="Colorful List Accent 1"/>
    <w:basedOn w:val="TableNormal"/>
    <w:uiPriority w:val="72"/>
    <w:semiHidden/>
    <w:rsid w:val="0058629F"/>
    <w:pPr>
      <w:spacing w:line="240" w:lineRule="auto"/>
    </w:pPr>
    <w:tblPr/>
    <w:tblStylePr w:type="firstRow">
      <w:rPr>
        <w:b/>
        <w:bCs/>
        <w:color w:val="FFFFFF" w:themeColor="background1"/>
      </w:rPr>
    </w:tblStylePr>
    <w:tblStylePr w:type="lastRow">
      <w:rPr>
        <w:b/>
        <w:bCs/>
        <w:color w:val="00754F" w:themeColor="accent2" w:themeShade="CC"/>
      </w:rPr>
    </w:tblStylePr>
    <w:tblStylePr w:type="firstCol">
      <w:rPr>
        <w:b/>
        <w:bCs/>
      </w:rPr>
    </w:tblStylePr>
    <w:tblStylePr w:type="lastCol">
      <w:rPr>
        <w:b/>
        <w:bCs/>
      </w:rPr>
    </w:tblStylePr>
  </w:style>
  <w:style w:type="table" w:styleId="ColorfulList-Accent2">
    <w:name w:val="Colorful List Accent 2"/>
    <w:basedOn w:val="TableNormal"/>
    <w:uiPriority w:val="72"/>
    <w:semiHidden/>
    <w:rsid w:val="0058629F"/>
    <w:pPr>
      <w:spacing w:line="240" w:lineRule="auto"/>
    </w:pPr>
    <w:tblPr/>
    <w:tblStylePr w:type="firstRow">
      <w:rPr>
        <w:b/>
        <w:bCs/>
        <w:color w:val="FFFFFF" w:themeColor="background1"/>
      </w:rPr>
    </w:tblStylePr>
    <w:tblStylePr w:type="lastRow">
      <w:rPr>
        <w:b/>
        <w:bCs/>
        <w:color w:val="00754F" w:themeColor="accent2" w:themeShade="CC"/>
      </w:rPr>
    </w:tblStylePr>
    <w:tblStylePr w:type="firstCol">
      <w:rPr>
        <w:b/>
        <w:bCs/>
      </w:rPr>
    </w:tblStylePr>
    <w:tblStylePr w:type="lastCol">
      <w:rPr>
        <w:b/>
        <w:bCs/>
      </w:rPr>
    </w:tblStylePr>
  </w:style>
  <w:style w:type="table" w:styleId="ColorfulList-Accent3">
    <w:name w:val="Colorful List Accent 3"/>
    <w:basedOn w:val="TableNormal"/>
    <w:uiPriority w:val="72"/>
    <w:semiHidden/>
    <w:rsid w:val="0058629F"/>
    <w:pPr>
      <w:spacing w:line="240" w:lineRule="auto"/>
    </w:pPr>
    <w:tblPr/>
    <w:tblStylePr w:type="firstRow">
      <w:rPr>
        <w:b/>
        <w:bCs/>
        <w:color w:val="FFFFFF" w:themeColor="background1"/>
      </w:rPr>
    </w:tblStylePr>
    <w:tblStylePr w:type="lastRow">
      <w:rPr>
        <w:b/>
        <w:bCs/>
        <w:color w:val="FFA62C" w:themeColor="accent4" w:themeShade="CC"/>
      </w:rPr>
    </w:tblStylePr>
    <w:tblStylePr w:type="firstCol">
      <w:rPr>
        <w:b/>
        <w:bCs/>
      </w:rPr>
    </w:tblStylePr>
    <w:tblStylePr w:type="lastCol">
      <w:rPr>
        <w:b/>
        <w:bCs/>
      </w:rPr>
    </w:tblStylePr>
  </w:style>
  <w:style w:type="table" w:styleId="ColorfulList-Accent4">
    <w:name w:val="Colorful List Accent 4"/>
    <w:basedOn w:val="TableNormal"/>
    <w:uiPriority w:val="72"/>
    <w:semiHidden/>
    <w:rsid w:val="0058629F"/>
    <w:pPr>
      <w:spacing w:line="240" w:lineRule="auto"/>
    </w:pPr>
    <w:tblPr/>
    <w:tblStylePr w:type="firstRow">
      <w:rPr>
        <w:b/>
        <w:bCs/>
        <w:color w:val="FFFFFF" w:themeColor="background1"/>
      </w:rPr>
    </w:tblStylePr>
    <w:tblStylePr w:type="lastRow">
      <w:rPr>
        <w:b/>
        <w:bCs/>
        <w:color w:val="F2D423" w:themeColor="accent3" w:themeShade="CC"/>
      </w:rPr>
    </w:tblStylePr>
    <w:tblStylePr w:type="firstCol">
      <w:rPr>
        <w:b/>
        <w:bCs/>
      </w:rPr>
    </w:tblStylePr>
    <w:tblStylePr w:type="lastCol">
      <w:rPr>
        <w:b/>
        <w:bCs/>
      </w:rPr>
    </w:tblStylePr>
  </w:style>
  <w:style w:type="table" w:styleId="ColorfulList-Accent5">
    <w:name w:val="Colorful List Accent 5"/>
    <w:basedOn w:val="TableNormal"/>
    <w:uiPriority w:val="72"/>
    <w:semiHidden/>
    <w:rsid w:val="0058629F"/>
    <w:pPr>
      <w:spacing w:line="240" w:lineRule="auto"/>
    </w:pPr>
    <w:tblPr/>
    <w:tblStylePr w:type="firstRow">
      <w:rPr>
        <w:b/>
        <w:bCs/>
        <w:color w:val="FFFFFF" w:themeColor="background1"/>
      </w:rPr>
    </w:tblStylePr>
    <w:tblStylePr w:type="lastRow">
      <w:rPr>
        <w:b/>
        <w:bCs/>
        <w:color w:val="E11122" w:themeColor="accent6" w:themeShade="CC"/>
      </w:rPr>
    </w:tblStylePr>
    <w:tblStylePr w:type="firstCol">
      <w:rPr>
        <w:b/>
        <w:bCs/>
      </w:rPr>
    </w:tblStylePr>
    <w:tblStylePr w:type="lastCol">
      <w:rPr>
        <w:b/>
        <w:bCs/>
      </w:rPr>
    </w:tblStylePr>
  </w:style>
  <w:style w:type="table" w:styleId="ColorfulList-Accent6">
    <w:name w:val="Colorful List Accent 6"/>
    <w:basedOn w:val="TableNormal"/>
    <w:uiPriority w:val="72"/>
    <w:semiHidden/>
    <w:rsid w:val="0058629F"/>
    <w:pPr>
      <w:spacing w:line="240" w:lineRule="auto"/>
    </w:pPr>
    <w:tblPr/>
    <w:tblStylePr w:type="firstRow">
      <w:rPr>
        <w:b/>
        <w:bCs/>
        <w:color w:val="FFFFFF" w:themeColor="background1"/>
      </w:rPr>
    </w:tblStylePr>
    <w:tblStylePr w:type="lastRow">
      <w:rPr>
        <w:b/>
        <w:bCs/>
        <w:color w:val="F55300" w:themeColor="accent5" w:themeShade="CC"/>
      </w:rPr>
    </w:tblStylePr>
    <w:tblStylePr w:type="firstCol">
      <w:rPr>
        <w:b/>
        <w:bCs/>
      </w:rPr>
    </w:tblStylePr>
    <w:tblStylePr w:type="lastCol">
      <w:rPr>
        <w:b/>
        <w:bCs/>
      </w:rPr>
    </w:tblStylePr>
  </w:style>
  <w:style w:type="table" w:styleId="ColorfulShading">
    <w:name w:val="Colorful Shading"/>
    <w:basedOn w:val="TableNormal"/>
    <w:uiPriority w:val="71"/>
    <w:semiHidden/>
    <w:rsid w:val="0058629F"/>
    <w:pPr>
      <w:spacing w:line="240" w:lineRule="auto"/>
    </w:p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629F"/>
    <w:pPr>
      <w:spacing w:line="240" w:lineRule="auto"/>
    </w:p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629F"/>
    <w:pPr>
      <w:spacing w:line="240" w:lineRule="auto"/>
    </w:p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629F"/>
    <w:pPr>
      <w:spacing w:line="240" w:lineRule="auto"/>
    </w:p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style>
  <w:style w:type="table" w:styleId="ColorfulShading-Accent4">
    <w:name w:val="Colorful Shading Accent 4"/>
    <w:basedOn w:val="TableNormal"/>
    <w:uiPriority w:val="71"/>
    <w:semiHidden/>
    <w:rsid w:val="0058629F"/>
    <w:pPr>
      <w:spacing w:line="240" w:lineRule="auto"/>
    </w:p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629F"/>
    <w:pPr>
      <w:spacing w:line="240" w:lineRule="auto"/>
    </w:p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629F"/>
    <w:pPr>
      <w:spacing w:line="240" w:lineRule="auto"/>
    </w:p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Pr w:type="firstRow">
      <w:rPr>
        <w:b/>
        <w:bCs/>
      </w:rPr>
    </w:tblStylePr>
  </w:style>
  <w:style w:type="table" w:styleId="DarkList-Accent1">
    <w:name w:val="Dark List Accent 1"/>
    <w:basedOn w:val="TableNormal"/>
    <w:uiPriority w:val="70"/>
    <w:semiHidden/>
    <w:rsid w:val="0058629F"/>
    <w:pPr>
      <w:spacing w:line="240" w:lineRule="auto"/>
    </w:pPr>
    <w:rPr>
      <w:color w:val="FFFFFF" w:themeColor="background1"/>
    </w:rPr>
    <w:tblPr/>
    <w:tblStylePr w:type="firstRow">
      <w:rPr>
        <w:b/>
        <w:bCs/>
      </w:rPr>
    </w:tblStylePr>
  </w:style>
  <w:style w:type="table" w:styleId="DarkList-Accent2">
    <w:name w:val="Dark List Accent 2"/>
    <w:basedOn w:val="TableNormal"/>
    <w:uiPriority w:val="70"/>
    <w:semiHidden/>
    <w:rsid w:val="0058629F"/>
    <w:pPr>
      <w:spacing w:line="240" w:lineRule="auto"/>
    </w:pPr>
    <w:rPr>
      <w:color w:val="FFFFFF" w:themeColor="background1"/>
    </w:rPr>
    <w:tblPr/>
    <w:tblStylePr w:type="firstRow">
      <w:rPr>
        <w:b/>
        <w:bCs/>
      </w:rPr>
    </w:tblStylePr>
  </w:style>
  <w:style w:type="table" w:styleId="DarkList-Accent3">
    <w:name w:val="Dark List Accent 3"/>
    <w:basedOn w:val="TableNormal"/>
    <w:uiPriority w:val="70"/>
    <w:semiHidden/>
    <w:rsid w:val="0058629F"/>
    <w:pPr>
      <w:spacing w:line="240" w:lineRule="auto"/>
    </w:pPr>
    <w:rPr>
      <w:color w:val="FFFFFF" w:themeColor="background1"/>
    </w:rPr>
    <w:tblPr/>
    <w:tblStylePr w:type="firstRow">
      <w:rPr>
        <w:b/>
        <w:bCs/>
      </w:rPr>
    </w:tblStylePr>
  </w:style>
  <w:style w:type="table" w:styleId="DarkList-Accent4">
    <w:name w:val="Dark List Accent 4"/>
    <w:basedOn w:val="TableNormal"/>
    <w:uiPriority w:val="70"/>
    <w:semiHidden/>
    <w:rsid w:val="0058629F"/>
    <w:pPr>
      <w:spacing w:line="240" w:lineRule="auto"/>
    </w:pPr>
    <w:rPr>
      <w:color w:val="FFFFFF" w:themeColor="background1"/>
    </w:rPr>
    <w:tblPr/>
    <w:tblStylePr w:type="firstRow">
      <w:rPr>
        <w:b/>
        <w:bCs/>
      </w:rPr>
    </w:tblStylePr>
  </w:style>
  <w:style w:type="table" w:styleId="DarkList-Accent5">
    <w:name w:val="Dark List Accent 5"/>
    <w:basedOn w:val="TableNormal"/>
    <w:uiPriority w:val="70"/>
    <w:semiHidden/>
    <w:rsid w:val="0058629F"/>
    <w:pPr>
      <w:spacing w:line="240" w:lineRule="auto"/>
    </w:pPr>
    <w:rPr>
      <w:color w:val="FFFFFF" w:themeColor="background1"/>
    </w:rPr>
    <w:tblPr/>
    <w:tblStylePr w:type="firstRow">
      <w:rPr>
        <w:b/>
        <w:bCs/>
      </w:rPr>
    </w:tblStylePr>
  </w:style>
  <w:style w:type="table" w:styleId="DarkList-Accent6">
    <w:name w:val="Dark List Accent 6"/>
    <w:basedOn w:val="TableNormal"/>
    <w:uiPriority w:val="70"/>
    <w:semiHidden/>
    <w:rsid w:val="0058629F"/>
    <w:pPr>
      <w:spacing w:line="240" w:lineRule="auto"/>
    </w:pPr>
    <w:rPr>
      <w:color w:val="FFFFFF" w:themeColor="background1"/>
    </w:rPr>
    <w:tblPr/>
    <w:tblStylePr w:type="firstRow">
      <w:rPr>
        <w:b/>
        <w:bCs/>
      </w:rPr>
    </w:tblStylePr>
  </w:style>
  <w:style w:type="table" w:styleId="GridTable1Light">
    <w:name w:val="Grid Table 1 Light"/>
    <w:basedOn w:val="TableNormal"/>
    <w:uiPriority w:val="46"/>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ridTable2">
    <w:name w:val="Grid Table 2"/>
    <w:basedOn w:val="TableNormal"/>
    <w:uiPriority w:val="47"/>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ridTable2-Accent1">
    <w:name w:val="Grid Table 2 Accent 1"/>
    <w:basedOn w:val="TableNormal"/>
    <w:uiPriority w:val="47"/>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ridTable2-Accent2">
    <w:name w:val="Grid Table 2 Accent 2"/>
    <w:basedOn w:val="TableNormal"/>
    <w:uiPriority w:val="47"/>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ridTable2-Accent3">
    <w:name w:val="Grid Table 2 Accent 3"/>
    <w:basedOn w:val="TableNormal"/>
    <w:uiPriority w:val="47"/>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ridTable2-Accent4">
    <w:name w:val="Grid Table 2 Accent 4"/>
    <w:basedOn w:val="TableNormal"/>
    <w:uiPriority w:val="47"/>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ridTable2-Accent5">
    <w:name w:val="Grid Table 2 Accent 5"/>
    <w:basedOn w:val="TableNormal"/>
    <w:uiPriority w:val="47"/>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ridTable2-Accent6">
    <w:name w:val="Grid Table 2 Accent 6"/>
    <w:basedOn w:val="TableNormal"/>
    <w:uiPriority w:val="47"/>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ridTable3">
    <w:name w:val="Grid Table 3"/>
    <w:basedOn w:val="TableNormal"/>
    <w:uiPriority w:val="48"/>
    <w:semiHidden/>
    <w:rsid w:val="0058629F"/>
    <w:pPr>
      <w:spacing w:line="240" w:lineRule="auto"/>
    </w:pP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styleId="GridTable3-Accent1">
    <w:name w:val="Grid Table 3 Accent 1"/>
    <w:basedOn w:val="TableNormal"/>
    <w:uiPriority w:val="48"/>
    <w:semiHidden/>
    <w:rsid w:val="0058629F"/>
    <w:pPr>
      <w:spacing w:line="240" w:lineRule="auto"/>
    </w:pP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styleId="GridTable3-Accent2">
    <w:name w:val="Grid Table 3 Accent 2"/>
    <w:basedOn w:val="TableNormal"/>
    <w:uiPriority w:val="48"/>
    <w:semiHidden/>
    <w:rsid w:val="0058629F"/>
    <w:pPr>
      <w:spacing w:line="240" w:lineRule="auto"/>
    </w:pP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styleId="GridTable3-Accent3">
    <w:name w:val="Grid Table 3 Accent 3"/>
    <w:basedOn w:val="TableNormal"/>
    <w:uiPriority w:val="48"/>
    <w:semiHidden/>
    <w:rsid w:val="0058629F"/>
    <w:pPr>
      <w:spacing w:line="240" w:lineRule="auto"/>
    </w:pP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styleId="GridTable3-Accent4">
    <w:name w:val="Grid Table 3 Accent 4"/>
    <w:basedOn w:val="TableNormal"/>
    <w:uiPriority w:val="48"/>
    <w:semiHidden/>
    <w:rsid w:val="0058629F"/>
    <w:pPr>
      <w:spacing w:line="240" w:lineRule="auto"/>
    </w:pP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styleId="GridTable3-Accent5">
    <w:name w:val="Grid Table 3 Accent 5"/>
    <w:basedOn w:val="TableNormal"/>
    <w:uiPriority w:val="48"/>
    <w:semiHidden/>
    <w:rsid w:val="0058629F"/>
    <w:pPr>
      <w:spacing w:line="240" w:lineRule="auto"/>
    </w:pP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styleId="GridTable3-Accent6">
    <w:name w:val="Grid Table 3 Accent 6"/>
    <w:basedOn w:val="TableNormal"/>
    <w:uiPriority w:val="48"/>
    <w:semiHidden/>
    <w:rsid w:val="0058629F"/>
    <w:pPr>
      <w:spacing w:line="240" w:lineRule="auto"/>
    </w:pP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styleId="GridTable4">
    <w:name w:val="Grid Table 4"/>
    <w:basedOn w:val="TableNormal"/>
    <w:uiPriority w:val="49"/>
    <w:semiHidden/>
    <w:rsid w:val="0058629F"/>
    <w:pPr>
      <w:spacing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semiHidden/>
    <w:rsid w:val="0058629F"/>
    <w:pPr>
      <w:spacing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2">
    <w:name w:val="Grid Table 4 Accent 2"/>
    <w:basedOn w:val="TableNormal"/>
    <w:uiPriority w:val="49"/>
    <w:semiHidden/>
    <w:rsid w:val="0058629F"/>
    <w:pPr>
      <w:spacing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3">
    <w:name w:val="Grid Table 4 Accent 3"/>
    <w:basedOn w:val="TableNormal"/>
    <w:uiPriority w:val="49"/>
    <w:semiHidden/>
    <w:rsid w:val="0058629F"/>
    <w:pPr>
      <w:spacing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4">
    <w:name w:val="Grid Table 4 Accent 4"/>
    <w:basedOn w:val="TableNormal"/>
    <w:uiPriority w:val="49"/>
    <w:semiHidden/>
    <w:rsid w:val="0058629F"/>
    <w:pPr>
      <w:spacing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5">
    <w:name w:val="Grid Table 4 Accent 5"/>
    <w:basedOn w:val="TableNormal"/>
    <w:uiPriority w:val="49"/>
    <w:semiHidden/>
    <w:rsid w:val="0058629F"/>
    <w:pPr>
      <w:spacing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6">
    <w:name w:val="Grid Table 4 Accent 6"/>
    <w:basedOn w:val="TableNormal"/>
    <w:uiPriority w:val="49"/>
    <w:semiHidden/>
    <w:rsid w:val="0058629F"/>
    <w:pPr>
      <w:spacing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5Dark">
    <w:name w:val="Grid Table 5 Dark"/>
    <w:basedOn w:val="TableNormal"/>
    <w:uiPriority w:val="50"/>
    <w:semiHidden/>
    <w:rsid w:val="0058629F"/>
    <w:pPr>
      <w:spacing w:line="240" w:lineRule="auto"/>
    </w:pPr>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1">
    <w:name w:val="Grid Table 5 Dark Accent 1"/>
    <w:basedOn w:val="TableNormal"/>
    <w:uiPriority w:val="50"/>
    <w:semiHidden/>
    <w:rsid w:val="0058629F"/>
    <w:pPr>
      <w:spacing w:line="240" w:lineRule="auto"/>
    </w:pPr>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2">
    <w:name w:val="Grid Table 5 Dark Accent 2"/>
    <w:basedOn w:val="TableNormal"/>
    <w:uiPriority w:val="50"/>
    <w:semiHidden/>
    <w:rsid w:val="0058629F"/>
    <w:pPr>
      <w:spacing w:line="240" w:lineRule="auto"/>
    </w:pPr>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3">
    <w:name w:val="Grid Table 5 Dark Accent 3"/>
    <w:basedOn w:val="TableNormal"/>
    <w:uiPriority w:val="50"/>
    <w:semiHidden/>
    <w:rsid w:val="0058629F"/>
    <w:pPr>
      <w:spacing w:line="240" w:lineRule="auto"/>
    </w:pPr>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4">
    <w:name w:val="Grid Table 5 Dark Accent 4"/>
    <w:basedOn w:val="TableNormal"/>
    <w:uiPriority w:val="50"/>
    <w:semiHidden/>
    <w:rsid w:val="0058629F"/>
    <w:pPr>
      <w:spacing w:line="240" w:lineRule="auto"/>
    </w:pPr>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5">
    <w:name w:val="Grid Table 5 Dark Accent 5"/>
    <w:basedOn w:val="TableNormal"/>
    <w:uiPriority w:val="50"/>
    <w:semiHidden/>
    <w:rsid w:val="0058629F"/>
    <w:pPr>
      <w:spacing w:line="240" w:lineRule="auto"/>
    </w:pPr>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6">
    <w:name w:val="Grid Table 5 Dark Accent 6"/>
    <w:basedOn w:val="TableNormal"/>
    <w:uiPriority w:val="50"/>
    <w:semiHidden/>
    <w:rsid w:val="0058629F"/>
    <w:pPr>
      <w:spacing w:line="240" w:lineRule="auto"/>
    </w:pPr>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6Colorful">
    <w:name w:val="Grid Table 6 Colorful"/>
    <w:basedOn w:val="TableNormal"/>
    <w:uiPriority w:val="51"/>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ridTable6Colorful-Accent1">
    <w:name w:val="Grid Table 6 Colorful Accent 1"/>
    <w:basedOn w:val="TableNormal"/>
    <w:uiPriority w:val="51"/>
    <w:semiHidden/>
    <w:rsid w:val="0058629F"/>
    <w:pPr>
      <w:spacing w:line="240" w:lineRule="auto"/>
    </w:pPr>
    <w:rPr>
      <w:color w:val="0C2B28" w:themeColor="accent1" w:themeShade="BF"/>
    </w:rPr>
    <w:tblPr/>
    <w:tblStylePr w:type="firstRow">
      <w:rPr>
        <w:b/>
        <w:bCs/>
      </w:rPr>
    </w:tblStylePr>
    <w:tblStylePr w:type="lastRow">
      <w:rPr>
        <w:b/>
        <w:bCs/>
      </w:rPr>
    </w:tblStylePr>
    <w:tblStylePr w:type="firstCol">
      <w:rPr>
        <w:b/>
        <w:bCs/>
      </w:rPr>
    </w:tblStylePr>
    <w:tblStylePr w:type="lastCol">
      <w:rPr>
        <w:b/>
        <w:bCs/>
      </w:rPr>
    </w:tblStylePr>
  </w:style>
  <w:style w:type="table" w:styleId="GridTable6Colorful-Accent2">
    <w:name w:val="Grid Table 6 Colorful Accent 2"/>
    <w:basedOn w:val="TableNormal"/>
    <w:uiPriority w:val="51"/>
    <w:semiHidden/>
    <w:rsid w:val="0058629F"/>
    <w:pPr>
      <w:spacing w:line="240" w:lineRule="auto"/>
    </w:pPr>
    <w:rPr>
      <w:color w:val="006E4A" w:themeColor="accent2" w:themeShade="BF"/>
    </w:rPr>
    <w:tblPr/>
    <w:tblStylePr w:type="firstRow">
      <w:rPr>
        <w:b/>
        <w:bCs/>
      </w:rPr>
    </w:tblStylePr>
    <w:tblStylePr w:type="lastRow">
      <w:rPr>
        <w:b/>
        <w:bCs/>
      </w:rPr>
    </w:tblStylePr>
    <w:tblStylePr w:type="firstCol">
      <w:rPr>
        <w:b/>
        <w:bCs/>
      </w:rPr>
    </w:tblStylePr>
    <w:tblStylePr w:type="lastCol">
      <w:rPr>
        <w:b/>
        <w:bCs/>
      </w:rPr>
    </w:tblStylePr>
  </w:style>
  <w:style w:type="table" w:styleId="GridTable6Colorful-Accent3">
    <w:name w:val="Grid Table 6 Colorful Accent 3"/>
    <w:basedOn w:val="TableNormal"/>
    <w:uiPriority w:val="51"/>
    <w:semiHidden/>
    <w:rsid w:val="0058629F"/>
    <w:pPr>
      <w:spacing w:line="240" w:lineRule="auto"/>
    </w:pPr>
    <w:rPr>
      <w:color w:val="F1D112" w:themeColor="accent3" w:themeShade="BF"/>
    </w:rPr>
    <w:tblPr/>
    <w:tblStylePr w:type="firstRow">
      <w:rPr>
        <w:b/>
        <w:bCs/>
      </w:rPr>
    </w:tblStylePr>
    <w:tblStylePr w:type="lastRow">
      <w:rPr>
        <w:b/>
        <w:bCs/>
      </w:rPr>
    </w:tblStylePr>
    <w:tblStylePr w:type="firstCol">
      <w:rPr>
        <w:b/>
        <w:bCs/>
      </w:rPr>
    </w:tblStylePr>
    <w:tblStylePr w:type="lastCol">
      <w:rPr>
        <w:b/>
        <w:bCs/>
      </w:rPr>
    </w:tblStylePr>
  </w:style>
  <w:style w:type="table" w:styleId="GridTable6Colorful-Accent4">
    <w:name w:val="Grid Table 6 Colorful Accent 4"/>
    <w:basedOn w:val="TableNormal"/>
    <w:uiPriority w:val="51"/>
    <w:semiHidden/>
    <w:rsid w:val="0058629F"/>
    <w:pPr>
      <w:spacing w:line="240" w:lineRule="auto"/>
    </w:pPr>
    <w:rPr>
      <w:color w:val="FF9E19" w:themeColor="accent4" w:themeShade="BF"/>
    </w:rPr>
    <w:tblPr/>
    <w:tblStylePr w:type="firstRow">
      <w:rPr>
        <w:b/>
        <w:bCs/>
      </w:rPr>
    </w:tblStylePr>
    <w:tblStylePr w:type="lastRow">
      <w:rPr>
        <w:b/>
        <w:bCs/>
      </w:rPr>
    </w:tblStylePr>
    <w:tblStylePr w:type="firstCol">
      <w:rPr>
        <w:b/>
        <w:bCs/>
      </w:rPr>
    </w:tblStylePr>
    <w:tblStylePr w:type="lastCol">
      <w:rPr>
        <w:b/>
        <w:bCs/>
      </w:rPr>
    </w:tblStylePr>
  </w:style>
  <w:style w:type="table" w:styleId="GridTable6Colorful-Accent5">
    <w:name w:val="Grid Table 6 Colorful Accent 5"/>
    <w:basedOn w:val="TableNormal"/>
    <w:uiPriority w:val="51"/>
    <w:semiHidden/>
    <w:rsid w:val="0058629F"/>
    <w:pPr>
      <w:spacing w:line="240" w:lineRule="auto"/>
    </w:pPr>
    <w:rPr>
      <w:color w:val="E54E00" w:themeColor="accent5" w:themeShade="BF"/>
    </w:rPr>
    <w:tblPr/>
    <w:tblStylePr w:type="firstRow">
      <w:rPr>
        <w:b/>
        <w:bCs/>
      </w:rPr>
    </w:tblStylePr>
    <w:tblStylePr w:type="lastRow">
      <w:rPr>
        <w:b/>
        <w:bCs/>
      </w:rPr>
    </w:tblStylePr>
    <w:tblStylePr w:type="firstCol">
      <w:rPr>
        <w:b/>
        <w:bCs/>
      </w:rPr>
    </w:tblStylePr>
    <w:tblStylePr w:type="lastCol">
      <w:rPr>
        <w:b/>
        <w:bCs/>
      </w:rPr>
    </w:tblStylePr>
  </w:style>
  <w:style w:type="table" w:styleId="GridTable6Colorful-Accent6">
    <w:name w:val="Grid Table 6 Colorful Accent 6"/>
    <w:basedOn w:val="TableNormal"/>
    <w:uiPriority w:val="51"/>
    <w:semiHidden/>
    <w:rsid w:val="0058629F"/>
    <w:pPr>
      <w:spacing w:line="240" w:lineRule="auto"/>
    </w:pPr>
    <w:rPr>
      <w:color w:val="D31020" w:themeColor="accent6" w:themeShade="BF"/>
    </w:rPr>
    <w:tblPr/>
    <w:tblStylePr w:type="firstRow">
      <w:rPr>
        <w:b/>
        <w:bCs/>
      </w:rPr>
    </w:tblStylePr>
    <w:tblStylePr w:type="lastRow">
      <w:rPr>
        <w:b/>
        <w:bCs/>
      </w:rPr>
    </w:tblStylePr>
    <w:tblStylePr w:type="firstCol">
      <w:rPr>
        <w:b/>
        <w:bCs/>
      </w:rPr>
    </w:tblStylePr>
    <w:tblStylePr w:type="lastCol">
      <w:rPr>
        <w:b/>
        <w:bCs/>
      </w:rPr>
    </w:tblStylePr>
  </w:style>
  <w:style w:type="table" w:styleId="GridTable7Colorful">
    <w:name w:val="Grid Table 7 Colorful"/>
    <w:basedOn w:val="TableNormal"/>
    <w:uiPriority w:val="52"/>
    <w:semiHidden/>
    <w:rsid w:val="0058629F"/>
    <w:pPr>
      <w:spacing w:line="240" w:lineRule="auto"/>
    </w:pP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styleId="GridTable7Colorful-Accent1">
    <w:name w:val="Grid Table 7 Colorful Accent 1"/>
    <w:basedOn w:val="TableNormal"/>
    <w:uiPriority w:val="52"/>
    <w:semiHidden/>
    <w:rsid w:val="0058629F"/>
    <w:pPr>
      <w:spacing w:line="240" w:lineRule="auto"/>
    </w:pPr>
    <w:rPr>
      <w:color w:val="0C2B28" w:themeColor="accent1" w:themeShade="BF"/>
    </w:rP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styleId="GridTable7Colorful-Accent2">
    <w:name w:val="Grid Table 7 Colorful Accent 2"/>
    <w:basedOn w:val="TableNormal"/>
    <w:uiPriority w:val="52"/>
    <w:semiHidden/>
    <w:rsid w:val="0058629F"/>
    <w:pPr>
      <w:spacing w:line="240" w:lineRule="auto"/>
    </w:pPr>
    <w:rPr>
      <w:color w:val="006E4A" w:themeColor="accent2" w:themeShade="BF"/>
    </w:rP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styleId="GridTable7Colorful-Accent3">
    <w:name w:val="Grid Table 7 Colorful Accent 3"/>
    <w:basedOn w:val="TableNormal"/>
    <w:uiPriority w:val="52"/>
    <w:semiHidden/>
    <w:rsid w:val="0058629F"/>
    <w:pPr>
      <w:spacing w:line="240" w:lineRule="auto"/>
    </w:pPr>
    <w:rPr>
      <w:color w:val="F1D112" w:themeColor="accent3" w:themeShade="BF"/>
    </w:rP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styleId="GridTable7Colorful-Accent4">
    <w:name w:val="Grid Table 7 Colorful Accent 4"/>
    <w:basedOn w:val="TableNormal"/>
    <w:uiPriority w:val="52"/>
    <w:semiHidden/>
    <w:rsid w:val="0058629F"/>
    <w:pPr>
      <w:spacing w:line="240" w:lineRule="auto"/>
    </w:pPr>
    <w:rPr>
      <w:color w:val="FF9E19" w:themeColor="accent4" w:themeShade="BF"/>
    </w:rP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styleId="GridTable7Colorful-Accent5">
    <w:name w:val="Grid Table 7 Colorful Accent 5"/>
    <w:basedOn w:val="TableNormal"/>
    <w:uiPriority w:val="52"/>
    <w:semiHidden/>
    <w:rsid w:val="0058629F"/>
    <w:pPr>
      <w:spacing w:line="240" w:lineRule="auto"/>
    </w:pPr>
    <w:rPr>
      <w:color w:val="E54E00" w:themeColor="accent5" w:themeShade="BF"/>
    </w:rP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styleId="GridTable7Colorful-Accent6">
    <w:name w:val="Grid Table 7 Colorful Accent 6"/>
    <w:basedOn w:val="TableNormal"/>
    <w:uiPriority w:val="52"/>
    <w:semiHidden/>
    <w:rsid w:val="0058629F"/>
    <w:pPr>
      <w:spacing w:line="240" w:lineRule="auto"/>
    </w:pPr>
    <w:rPr>
      <w:color w:val="D31020" w:themeColor="accent6" w:themeShade="BF"/>
    </w:rP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styleId="LightGrid">
    <w:name w:val="Light Grid"/>
    <w:basedOn w:val="TableNormal"/>
    <w:uiPriority w:val="62"/>
    <w:semiHidden/>
    <w:rsid w:val="0058629F"/>
    <w:pPr>
      <w:spacing w:line="240" w:lineRule="auto"/>
    </w:pPr>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1">
    <w:name w:val="Light Grid Accent 1"/>
    <w:basedOn w:val="TableNormal"/>
    <w:uiPriority w:val="62"/>
    <w:semiHidden/>
    <w:rsid w:val="0058629F"/>
    <w:pPr>
      <w:spacing w:line="240" w:lineRule="auto"/>
    </w:pPr>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2">
    <w:name w:val="Light Grid Accent 2"/>
    <w:basedOn w:val="TableNormal"/>
    <w:uiPriority w:val="62"/>
    <w:semiHidden/>
    <w:rsid w:val="0058629F"/>
    <w:pPr>
      <w:spacing w:line="240" w:lineRule="auto"/>
    </w:pPr>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3">
    <w:name w:val="Light Grid Accent 3"/>
    <w:basedOn w:val="TableNormal"/>
    <w:uiPriority w:val="62"/>
    <w:semiHidden/>
    <w:rsid w:val="0058629F"/>
    <w:pPr>
      <w:spacing w:line="240" w:lineRule="auto"/>
    </w:pPr>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4">
    <w:name w:val="Light Grid Accent 4"/>
    <w:basedOn w:val="TableNormal"/>
    <w:uiPriority w:val="62"/>
    <w:semiHidden/>
    <w:rsid w:val="0058629F"/>
    <w:pPr>
      <w:spacing w:line="240" w:lineRule="auto"/>
    </w:pPr>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5">
    <w:name w:val="Light Grid Accent 5"/>
    <w:basedOn w:val="TableNormal"/>
    <w:uiPriority w:val="62"/>
    <w:semiHidden/>
    <w:rsid w:val="0058629F"/>
    <w:pPr>
      <w:spacing w:line="240" w:lineRule="auto"/>
    </w:pPr>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6">
    <w:name w:val="Light Grid Accent 6"/>
    <w:basedOn w:val="TableNormal"/>
    <w:uiPriority w:val="62"/>
    <w:semiHidden/>
    <w:rsid w:val="0058629F"/>
    <w:pPr>
      <w:spacing w:line="240" w:lineRule="auto"/>
    </w:pPr>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List">
    <w:name w:val="Light List"/>
    <w:basedOn w:val="TableNormal"/>
    <w:uiPriority w:val="61"/>
    <w:semiHidden/>
    <w:rsid w:val="0058629F"/>
    <w:pPr>
      <w:spacing w:line="240" w:lineRule="auto"/>
    </w:p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semiHidden/>
    <w:rsid w:val="0058629F"/>
    <w:pPr>
      <w:spacing w:line="240" w:lineRule="auto"/>
    </w:p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semiHidden/>
    <w:rsid w:val="0058629F"/>
    <w:pPr>
      <w:spacing w:line="240" w:lineRule="auto"/>
    </w:p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semiHidden/>
    <w:rsid w:val="0058629F"/>
    <w:pPr>
      <w:spacing w:line="240" w:lineRule="auto"/>
    </w:p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semiHidden/>
    <w:rsid w:val="0058629F"/>
    <w:pPr>
      <w:spacing w:line="240" w:lineRule="auto"/>
    </w:p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semiHidden/>
    <w:rsid w:val="0058629F"/>
    <w:pPr>
      <w:spacing w:line="240" w:lineRule="auto"/>
    </w:p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semiHidden/>
    <w:rsid w:val="0058629F"/>
    <w:pPr>
      <w:spacing w:line="240" w:lineRule="auto"/>
    </w:p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
    <w:name w:val="Light Shading"/>
    <w:basedOn w:val="TableNormal"/>
    <w:uiPriority w:val="60"/>
    <w:semiHidden/>
    <w:rsid w:val="0058629F"/>
    <w:pPr>
      <w:spacing w:line="240" w:lineRule="auto"/>
    </w:pPr>
    <w:rPr>
      <w:color w:val="000000" w:themeColor="text1" w:themeShade="BF"/>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1">
    <w:name w:val="Light Shading Accent 1"/>
    <w:basedOn w:val="TableNormal"/>
    <w:uiPriority w:val="60"/>
    <w:semiHidden/>
    <w:rsid w:val="0058629F"/>
    <w:pPr>
      <w:spacing w:line="240" w:lineRule="auto"/>
    </w:pPr>
    <w:rPr>
      <w:color w:val="0C2B28" w:themeColor="accent1" w:themeShade="BF"/>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2">
    <w:name w:val="Light Shading Accent 2"/>
    <w:basedOn w:val="TableNormal"/>
    <w:uiPriority w:val="60"/>
    <w:semiHidden/>
    <w:rsid w:val="0058629F"/>
    <w:pPr>
      <w:spacing w:line="240" w:lineRule="auto"/>
    </w:pPr>
    <w:rPr>
      <w:color w:val="006E4A" w:themeColor="accent2" w:themeShade="BF"/>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3">
    <w:name w:val="Light Shading Accent 3"/>
    <w:basedOn w:val="TableNormal"/>
    <w:uiPriority w:val="60"/>
    <w:semiHidden/>
    <w:rsid w:val="0058629F"/>
    <w:pPr>
      <w:spacing w:line="240" w:lineRule="auto"/>
    </w:pPr>
    <w:rPr>
      <w:color w:val="F1D112" w:themeColor="accent3" w:themeShade="BF"/>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4">
    <w:name w:val="Light Shading Accent 4"/>
    <w:basedOn w:val="TableNormal"/>
    <w:uiPriority w:val="60"/>
    <w:semiHidden/>
    <w:rsid w:val="0058629F"/>
    <w:pPr>
      <w:spacing w:line="240" w:lineRule="auto"/>
    </w:pPr>
    <w:rPr>
      <w:color w:val="FF9E19" w:themeColor="accent4" w:themeShade="BF"/>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5">
    <w:name w:val="Light Shading Accent 5"/>
    <w:basedOn w:val="TableNormal"/>
    <w:uiPriority w:val="60"/>
    <w:semiHidden/>
    <w:rsid w:val="0058629F"/>
    <w:pPr>
      <w:spacing w:line="240" w:lineRule="auto"/>
    </w:pPr>
    <w:rPr>
      <w:color w:val="E54E00" w:themeColor="accent5" w:themeShade="BF"/>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6">
    <w:name w:val="Light Shading Accent 6"/>
    <w:basedOn w:val="TableNormal"/>
    <w:uiPriority w:val="60"/>
    <w:semiHidden/>
    <w:rsid w:val="0058629F"/>
    <w:pPr>
      <w:spacing w:line="240" w:lineRule="auto"/>
    </w:pPr>
    <w:rPr>
      <w:color w:val="D31020" w:themeColor="accent6" w:themeShade="BF"/>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stTable1Light">
    <w:name w:val="List Table 1 Light"/>
    <w:basedOn w:val="TableNormal"/>
    <w:uiPriority w:val="46"/>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1Light-Accent1">
    <w:name w:val="List Table 1 Light Accent 1"/>
    <w:basedOn w:val="TableNormal"/>
    <w:uiPriority w:val="46"/>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1Light-Accent2">
    <w:name w:val="List Table 1 Light Accent 2"/>
    <w:basedOn w:val="TableNormal"/>
    <w:uiPriority w:val="46"/>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1Light-Accent3">
    <w:name w:val="List Table 1 Light Accent 3"/>
    <w:basedOn w:val="TableNormal"/>
    <w:uiPriority w:val="46"/>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1Light-Accent4">
    <w:name w:val="List Table 1 Light Accent 4"/>
    <w:basedOn w:val="TableNormal"/>
    <w:uiPriority w:val="46"/>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1Light-Accent5">
    <w:name w:val="List Table 1 Light Accent 5"/>
    <w:basedOn w:val="TableNormal"/>
    <w:uiPriority w:val="46"/>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1Light-Accent6">
    <w:name w:val="List Table 1 Light Accent 6"/>
    <w:basedOn w:val="TableNormal"/>
    <w:uiPriority w:val="46"/>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2">
    <w:name w:val="List Table 2"/>
    <w:basedOn w:val="TableNormal"/>
    <w:uiPriority w:val="47"/>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semiHidden/>
    <w:rsid w:val="0058629F"/>
    <w:pPr>
      <w:spacing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stTable3-Accent1">
    <w:name w:val="List Table 3 Accent 1"/>
    <w:basedOn w:val="TableNormal"/>
    <w:uiPriority w:val="48"/>
    <w:semiHidden/>
    <w:rsid w:val="0058629F"/>
    <w:pPr>
      <w:spacing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stTable3-Accent2">
    <w:name w:val="List Table 3 Accent 2"/>
    <w:basedOn w:val="TableNormal"/>
    <w:uiPriority w:val="48"/>
    <w:semiHidden/>
    <w:rsid w:val="0058629F"/>
    <w:pPr>
      <w:spacing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stTable3-Accent3">
    <w:name w:val="List Table 3 Accent 3"/>
    <w:basedOn w:val="TableNormal"/>
    <w:uiPriority w:val="48"/>
    <w:semiHidden/>
    <w:rsid w:val="0058629F"/>
    <w:pPr>
      <w:spacing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stTable3-Accent4">
    <w:name w:val="List Table 3 Accent 4"/>
    <w:basedOn w:val="TableNormal"/>
    <w:uiPriority w:val="48"/>
    <w:semiHidden/>
    <w:rsid w:val="0058629F"/>
    <w:pPr>
      <w:spacing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stTable3-Accent5">
    <w:name w:val="List Table 3 Accent 5"/>
    <w:basedOn w:val="TableNormal"/>
    <w:uiPriority w:val="48"/>
    <w:semiHidden/>
    <w:rsid w:val="0058629F"/>
    <w:pPr>
      <w:spacing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stTable3-Accent6">
    <w:name w:val="List Table 3 Accent 6"/>
    <w:basedOn w:val="TableNormal"/>
    <w:uiPriority w:val="48"/>
    <w:semiHidden/>
    <w:rsid w:val="0058629F"/>
    <w:pPr>
      <w:spacing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stTable4">
    <w:name w:val="List Table 4"/>
    <w:basedOn w:val="TableNormal"/>
    <w:uiPriority w:val="49"/>
    <w:semiHidden/>
    <w:rsid w:val="0058629F"/>
    <w:pPr>
      <w:spacing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stTable4-Accent1">
    <w:name w:val="List Table 4 Accent 1"/>
    <w:basedOn w:val="TableNormal"/>
    <w:uiPriority w:val="49"/>
    <w:semiHidden/>
    <w:rsid w:val="0058629F"/>
    <w:pPr>
      <w:spacing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stTable4-Accent2">
    <w:name w:val="List Table 4 Accent 2"/>
    <w:basedOn w:val="TableNormal"/>
    <w:uiPriority w:val="49"/>
    <w:semiHidden/>
    <w:rsid w:val="0058629F"/>
    <w:pPr>
      <w:spacing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stTable4-Accent3">
    <w:name w:val="List Table 4 Accent 3"/>
    <w:basedOn w:val="TableNormal"/>
    <w:uiPriority w:val="49"/>
    <w:semiHidden/>
    <w:rsid w:val="0058629F"/>
    <w:pPr>
      <w:spacing w:line="240" w:lineRule="auto"/>
    </w:pPr>
    <w:tblPr>
      <w:tblStyleRowBandSize w:val="1"/>
      <w:tblStyleColBandSize w:val="1"/>
      <w:tblBorders>
        <w:top w:val="single" w:sz="4" w:space="0" w:color="F9EDA2" w:themeColor="accent3" w:themeTint="99"/>
        <w:left w:val="single" w:sz="4" w:space="0" w:color="F9EDA2" w:themeColor="accent3" w:themeTint="99"/>
        <w:bottom w:val="single" w:sz="4" w:space="0" w:color="F9EDA2" w:themeColor="accent3" w:themeTint="99"/>
        <w:right w:val="single" w:sz="4" w:space="0" w:color="F9EDA2" w:themeColor="accent3" w:themeTint="99"/>
        <w:insideH w:val="single" w:sz="4" w:space="0" w:color="F9EDA2" w:themeColor="accent3" w:themeTint="99"/>
      </w:tblBorders>
    </w:tblPr>
    <w:tblStylePr w:type="firstRow">
      <w:rPr>
        <w:b/>
        <w:bCs/>
        <w:color w:val="FFFFFF" w:themeColor="background1"/>
      </w:rPr>
      <w:tblPr/>
      <w:tcPr>
        <w:tcBorders>
          <w:top w:val="single" w:sz="4" w:space="0" w:color="F6E265" w:themeColor="accent3"/>
          <w:left w:val="single" w:sz="4" w:space="0" w:color="F6E265" w:themeColor="accent3"/>
          <w:bottom w:val="single" w:sz="4" w:space="0" w:color="F6E265" w:themeColor="accent3"/>
          <w:right w:val="single" w:sz="4" w:space="0" w:color="F6E265" w:themeColor="accent3"/>
          <w:insideH w:val="nil"/>
        </w:tcBorders>
        <w:shd w:val="clear" w:color="auto" w:fill="F6E265" w:themeFill="accent3"/>
      </w:tcPr>
    </w:tblStylePr>
    <w:tblStylePr w:type="lastRow">
      <w:rPr>
        <w:b/>
        <w:bCs/>
      </w:rPr>
      <w:tblPr/>
      <w:tcPr>
        <w:tcBorders>
          <w:top w:val="double" w:sz="4" w:space="0" w:color="F9EDA2" w:themeColor="accent3" w:themeTint="99"/>
        </w:tcBorders>
      </w:tcPr>
    </w:tblStylePr>
    <w:tblStylePr w:type="firstCol">
      <w:rPr>
        <w:b/>
        <w:bCs/>
      </w:rPr>
    </w:tblStylePr>
    <w:tblStylePr w:type="lastCol">
      <w:rPr>
        <w:b/>
        <w:bCs/>
      </w:rPr>
    </w:tblStylePr>
    <w:tblStylePr w:type="band1Vert">
      <w:tblPr/>
      <w:tcPr>
        <w:shd w:val="clear" w:color="auto" w:fill="FDF9E0" w:themeFill="accent3" w:themeFillTint="33"/>
      </w:tcPr>
    </w:tblStylePr>
    <w:tblStylePr w:type="band1Horz">
      <w:tblPr/>
      <w:tcPr>
        <w:shd w:val="clear" w:color="auto" w:fill="FDF9E0" w:themeFill="accent3" w:themeFillTint="33"/>
      </w:tcPr>
    </w:tblStylePr>
  </w:style>
  <w:style w:type="table" w:styleId="ListTable4-Accent4">
    <w:name w:val="List Table 4 Accent 4"/>
    <w:basedOn w:val="TableNormal"/>
    <w:uiPriority w:val="49"/>
    <w:semiHidden/>
    <w:rsid w:val="0058629F"/>
    <w:pPr>
      <w:spacing w:line="240" w:lineRule="auto"/>
    </w:pPr>
    <w:tblPr>
      <w:tblStyleRowBandSize w:val="1"/>
      <w:tblStyleColBandSize w:val="1"/>
      <w:tblBorders>
        <w:top w:val="single" w:sz="4" w:space="0" w:color="FFDCAD" w:themeColor="accent4" w:themeTint="99"/>
        <w:left w:val="single" w:sz="4" w:space="0" w:color="FFDCAD" w:themeColor="accent4" w:themeTint="99"/>
        <w:bottom w:val="single" w:sz="4" w:space="0" w:color="FFDCAD" w:themeColor="accent4" w:themeTint="99"/>
        <w:right w:val="single" w:sz="4" w:space="0" w:color="FFDCAD" w:themeColor="accent4" w:themeTint="99"/>
        <w:insideH w:val="single" w:sz="4" w:space="0" w:color="FFDCAD" w:themeColor="accent4" w:themeTint="99"/>
      </w:tblBorders>
    </w:tblPr>
    <w:tblStylePr w:type="firstRow">
      <w:rPr>
        <w:b/>
        <w:bCs/>
        <w:color w:val="FFFFFF" w:themeColor="background1"/>
      </w:rPr>
      <w:tblPr/>
      <w:tcPr>
        <w:tcBorders>
          <w:top w:val="single" w:sz="4" w:space="0" w:color="FFC677" w:themeColor="accent4"/>
          <w:left w:val="single" w:sz="4" w:space="0" w:color="FFC677" w:themeColor="accent4"/>
          <w:bottom w:val="single" w:sz="4" w:space="0" w:color="FFC677" w:themeColor="accent4"/>
          <w:right w:val="single" w:sz="4" w:space="0" w:color="FFC677" w:themeColor="accent4"/>
          <w:insideH w:val="nil"/>
        </w:tcBorders>
        <w:shd w:val="clear" w:color="auto" w:fill="FFC677" w:themeFill="accent4"/>
      </w:tcPr>
    </w:tblStylePr>
    <w:tblStylePr w:type="lastRow">
      <w:rPr>
        <w:b/>
        <w:bCs/>
      </w:rPr>
      <w:tblPr/>
      <w:tcPr>
        <w:tcBorders>
          <w:top w:val="double" w:sz="4" w:space="0" w:color="FFDCAD" w:themeColor="accent4" w:themeTint="99"/>
        </w:tcBorders>
      </w:tcPr>
    </w:tblStylePr>
    <w:tblStylePr w:type="firstCol">
      <w:rPr>
        <w:b/>
        <w:bCs/>
      </w:rPr>
    </w:tblStylePr>
    <w:tblStylePr w:type="lastCol">
      <w:rPr>
        <w:b/>
        <w:bCs/>
      </w:rPr>
    </w:tblStylePr>
    <w:tblStylePr w:type="band1Vert">
      <w:tblPr/>
      <w:tcPr>
        <w:shd w:val="clear" w:color="auto" w:fill="FFF3E3" w:themeFill="accent4" w:themeFillTint="33"/>
      </w:tcPr>
    </w:tblStylePr>
    <w:tblStylePr w:type="band1Horz">
      <w:tblPr/>
      <w:tcPr>
        <w:shd w:val="clear" w:color="auto" w:fill="FFF3E3" w:themeFill="accent4" w:themeFillTint="33"/>
      </w:tcPr>
    </w:tblStylePr>
  </w:style>
  <w:style w:type="table" w:styleId="ListTable4-Accent5">
    <w:name w:val="List Table 4 Accent 5"/>
    <w:basedOn w:val="TableNormal"/>
    <w:uiPriority w:val="49"/>
    <w:semiHidden/>
    <w:rsid w:val="0058629F"/>
    <w:pPr>
      <w:spacing w:line="240" w:lineRule="auto"/>
    </w:pPr>
    <w:tblPr>
      <w:tblStyleRowBandSize w:val="1"/>
      <w:tblStyleColBandSize w:val="1"/>
      <w:tblBorders>
        <w:top w:val="single" w:sz="4" w:space="0" w:color="FFAE85" w:themeColor="accent5" w:themeTint="99"/>
        <w:left w:val="single" w:sz="4" w:space="0" w:color="FFAE85" w:themeColor="accent5" w:themeTint="99"/>
        <w:bottom w:val="single" w:sz="4" w:space="0" w:color="FFAE85" w:themeColor="accent5" w:themeTint="99"/>
        <w:right w:val="single" w:sz="4" w:space="0" w:color="FFAE85" w:themeColor="accent5" w:themeTint="99"/>
        <w:insideH w:val="single" w:sz="4" w:space="0" w:color="FFAE85" w:themeColor="accent5" w:themeTint="99"/>
      </w:tblBorders>
    </w:tblPr>
    <w:tblStylePr w:type="firstRow">
      <w:rPr>
        <w:b/>
        <w:bCs/>
        <w:color w:val="FFFFFF" w:themeColor="background1"/>
      </w:rPr>
      <w:tblPr/>
      <w:tcPr>
        <w:tcBorders>
          <w:top w:val="single" w:sz="4" w:space="0" w:color="FF7A34" w:themeColor="accent5"/>
          <w:left w:val="single" w:sz="4" w:space="0" w:color="FF7A34" w:themeColor="accent5"/>
          <w:bottom w:val="single" w:sz="4" w:space="0" w:color="FF7A34" w:themeColor="accent5"/>
          <w:right w:val="single" w:sz="4" w:space="0" w:color="FF7A34" w:themeColor="accent5"/>
          <w:insideH w:val="nil"/>
        </w:tcBorders>
        <w:shd w:val="clear" w:color="auto" w:fill="FF7A34" w:themeFill="accent5"/>
      </w:tcPr>
    </w:tblStylePr>
    <w:tblStylePr w:type="lastRow">
      <w:rPr>
        <w:b/>
        <w:bCs/>
      </w:rPr>
      <w:tblPr/>
      <w:tcPr>
        <w:tcBorders>
          <w:top w:val="double" w:sz="4" w:space="0" w:color="FFAE85" w:themeColor="accent5" w:themeTint="99"/>
        </w:tcBorders>
      </w:tcPr>
    </w:tblStylePr>
    <w:tblStylePr w:type="firstCol">
      <w:rPr>
        <w:b/>
        <w:bCs/>
      </w:rPr>
    </w:tblStylePr>
    <w:tblStylePr w:type="lastCol">
      <w:rPr>
        <w:b/>
        <w:bCs/>
      </w:rPr>
    </w:tblStylePr>
    <w:tblStylePr w:type="band1Vert">
      <w:tblPr/>
      <w:tcPr>
        <w:shd w:val="clear" w:color="auto" w:fill="FFE4D6" w:themeFill="accent5" w:themeFillTint="33"/>
      </w:tcPr>
    </w:tblStylePr>
    <w:tblStylePr w:type="band1Horz">
      <w:tblPr/>
      <w:tcPr>
        <w:shd w:val="clear" w:color="auto" w:fill="FFE4D6" w:themeFill="accent5" w:themeFillTint="33"/>
      </w:tcPr>
    </w:tblStylePr>
  </w:style>
  <w:style w:type="table" w:styleId="ListTable4-Accent6">
    <w:name w:val="List Table 4 Accent 6"/>
    <w:basedOn w:val="TableNormal"/>
    <w:uiPriority w:val="49"/>
    <w:semiHidden/>
    <w:rsid w:val="0058629F"/>
    <w:pPr>
      <w:spacing w:line="240" w:lineRule="auto"/>
    </w:pPr>
    <w:tblPr>
      <w:tblStyleRowBandSize w:val="1"/>
      <w:tblStyleColBandSize w:val="1"/>
      <w:tblBorders>
        <w:top w:val="single" w:sz="4" w:space="0" w:color="F68C95" w:themeColor="accent6" w:themeTint="99"/>
        <w:left w:val="single" w:sz="4" w:space="0" w:color="F68C95" w:themeColor="accent6" w:themeTint="99"/>
        <w:bottom w:val="single" w:sz="4" w:space="0" w:color="F68C95" w:themeColor="accent6" w:themeTint="99"/>
        <w:right w:val="single" w:sz="4" w:space="0" w:color="F68C95" w:themeColor="accent6" w:themeTint="99"/>
        <w:insideH w:val="single" w:sz="4" w:space="0" w:color="F68C95" w:themeColor="accent6" w:themeTint="99"/>
      </w:tblBorders>
    </w:tblPr>
    <w:tblStylePr w:type="firstRow">
      <w:rPr>
        <w:b/>
        <w:bCs/>
        <w:color w:val="FFFFFF" w:themeColor="background1"/>
      </w:rPr>
      <w:tblPr/>
      <w:tcPr>
        <w:tcBorders>
          <w:top w:val="single" w:sz="4" w:space="0" w:color="F0404F" w:themeColor="accent6"/>
          <w:left w:val="single" w:sz="4" w:space="0" w:color="F0404F" w:themeColor="accent6"/>
          <w:bottom w:val="single" w:sz="4" w:space="0" w:color="F0404F" w:themeColor="accent6"/>
          <w:right w:val="single" w:sz="4" w:space="0" w:color="F0404F" w:themeColor="accent6"/>
          <w:insideH w:val="nil"/>
        </w:tcBorders>
        <w:shd w:val="clear" w:color="auto" w:fill="F0404F" w:themeFill="accent6"/>
      </w:tcPr>
    </w:tblStylePr>
    <w:tblStylePr w:type="lastRow">
      <w:rPr>
        <w:b/>
        <w:bCs/>
      </w:rPr>
      <w:tblPr/>
      <w:tcPr>
        <w:tcBorders>
          <w:top w:val="double" w:sz="4" w:space="0" w:color="F68C95" w:themeColor="accent6" w:themeTint="99"/>
        </w:tcBorders>
      </w:tcPr>
    </w:tblStylePr>
    <w:tblStylePr w:type="firstCol">
      <w:rPr>
        <w:b/>
        <w:bCs/>
      </w:rPr>
    </w:tblStylePr>
    <w:tblStylePr w:type="lastCol">
      <w:rPr>
        <w:b/>
        <w:bCs/>
      </w:rPr>
    </w:tblStylePr>
    <w:tblStylePr w:type="band1Vert">
      <w:tblPr/>
      <w:tcPr>
        <w:shd w:val="clear" w:color="auto" w:fill="FCD8DB" w:themeFill="accent6" w:themeFillTint="33"/>
      </w:tcPr>
    </w:tblStylePr>
    <w:tblStylePr w:type="band1Horz">
      <w:tblPr/>
      <w:tcPr>
        <w:shd w:val="clear" w:color="auto" w:fill="FCD8DB" w:themeFill="accent6" w:themeFillTint="33"/>
      </w:tcPr>
    </w:tblStylePr>
  </w:style>
  <w:style w:type="table" w:styleId="ListTable5Dark">
    <w:name w:val="List Table 5 Dark"/>
    <w:basedOn w:val="TableNormal"/>
    <w:uiPriority w:val="50"/>
    <w:semiHidden/>
    <w:rsid w:val="0058629F"/>
    <w:pPr>
      <w:spacing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pPr>
      <w:spacing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103A3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pPr>
      <w:spacing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00936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pPr>
      <w:spacing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F6E26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pPr>
      <w:spacing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FFC6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pPr>
      <w:spacing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FF7A3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pPr>
      <w:spacing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F0404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8629F"/>
    <w:pPr>
      <w:spacing w:line="240" w:lineRule="auto"/>
    </w:pPr>
    <w:rPr>
      <w:color w:val="0C2B28" w:themeColor="accent1" w:themeShade="BF"/>
    </w:rPr>
    <w:tblPr>
      <w:tblStyleRowBandSize w:val="1"/>
      <w:tblStyleColBandSize w:val="1"/>
      <w:tblBorders>
        <w:top w:val="single" w:sz="4" w:space="0" w:color="103A36" w:themeColor="accent1"/>
        <w:bottom w:val="single" w:sz="4" w:space="0" w:color="103A36" w:themeColor="accent1"/>
      </w:tblBorders>
    </w:tblPr>
    <w:tblStylePr w:type="firstRow">
      <w:rPr>
        <w:b/>
        <w:bCs/>
      </w:rPr>
      <w:tblPr/>
      <w:tcPr>
        <w:tcBorders>
          <w:bottom w:val="single" w:sz="4" w:space="0" w:color="103A36" w:themeColor="accent1"/>
        </w:tcBorders>
      </w:tcPr>
    </w:tblStylePr>
    <w:tblStylePr w:type="lastRow">
      <w:rPr>
        <w:b/>
        <w:bCs/>
      </w:rPr>
      <w:tblPr/>
      <w:tcPr>
        <w:tcBorders>
          <w:top w:val="double" w:sz="4" w:space="0" w:color="103A36" w:themeColor="accent1"/>
        </w:tcBorders>
      </w:tcPr>
    </w:tblStylePr>
    <w:tblStylePr w:type="firstCol">
      <w:rPr>
        <w:b/>
        <w:bCs/>
      </w:rPr>
    </w:tblStylePr>
    <w:tblStylePr w:type="lastCol">
      <w:rPr>
        <w:b/>
        <w:bCs/>
      </w:rPr>
    </w:tblStylePr>
    <w:tblStylePr w:type="band1Vert">
      <w:tblPr/>
      <w:tcPr>
        <w:shd w:val="clear" w:color="auto" w:fill="BAECE7" w:themeFill="accent1" w:themeFillTint="33"/>
      </w:tcPr>
    </w:tblStylePr>
    <w:tblStylePr w:type="band1Horz">
      <w:tblPr/>
      <w:tcPr>
        <w:shd w:val="clear" w:color="auto" w:fill="BAECE7" w:themeFill="accent1" w:themeFillTint="33"/>
      </w:tcPr>
    </w:tblStylePr>
  </w:style>
  <w:style w:type="table" w:styleId="ListTable6Colorful-Accent2">
    <w:name w:val="List Table 6 Colorful Accent 2"/>
    <w:basedOn w:val="TableNormal"/>
    <w:uiPriority w:val="51"/>
    <w:semiHidden/>
    <w:rsid w:val="0058629F"/>
    <w:pPr>
      <w:spacing w:line="240" w:lineRule="auto"/>
    </w:pPr>
    <w:rPr>
      <w:color w:val="006E4A" w:themeColor="accent2" w:themeShade="BF"/>
    </w:rPr>
    <w:tblPr>
      <w:tblStyleRowBandSize w:val="1"/>
      <w:tblStyleColBandSize w:val="1"/>
      <w:tblBorders>
        <w:top w:val="single" w:sz="4" w:space="0" w:color="009364" w:themeColor="accent2"/>
        <w:bottom w:val="single" w:sz="4" w:space="0" w:color="009364" w:themeColor="accent2"/>
      </w:tblBorders>
    </w:tblPr>
    <w:tblStylePr w:type="firstRow">
      <w:rPr>
        <w:b/>
        <w:bCs/>
      </w:rPr>
      <w:tblPr/>
      <w:tcPr>
        <w:tcBorders>
          <w:bottom w:val="single" w:sz="4" w:space="0" w:color="009364" w:themeColor="accent2"/>
        </w:tcBorders>
      </w:tcPr>
    </w:tblStylePr>
    <w:tblStylePr w:type="lastRow">
      <w:rPr>
        <w:b/>
        <w:bCs/>
      </w:rPr>
      <w:tblPr/>
      <w:tcPr>
        <w:tcBorders>
          <w:top w:val="double" w:sz="4" w:space="0" w:color="009364" w:themeColor="accent2"/>
        </w:tcBorders>
      </w:tcPr>
    </w:tblStylePr>
    <w:tblStylePr w:type="firstCol">
      <w:rPr>
        <w:b/>
        <w:bCs/>
      </w:rPr>
    </w:tblStylePr>
    <w:tblStylePr w:type="lastCol">
      <w:rPr>
        <w:b/>
        <w:bCs/>
      </w:rPr>
    </w:tblStylePr>
    <w:tblStylePr w:type="band1Vert">
      <w:tblPr/>
      <w:tcPr>
        <w:shd w:val="clear" w:color="auto" w:fill="B6FFE7" w:themeFill="accent2" w:themeFillTint="33"/>
      </w:tcPr>
    </w:tblStylePr>
    <w:tblStylePr w:type="band1Horz">
      <w:tblPr/>
      <w:tcPr>
        <w:shd w:val="clear" w:color="auto" w:fill="B6FFE7" w:themeFill="accent2" w:themeFillTint="33"/>
      </w:tcPr>
    </w:tblStylePr>
  </w:style>
  <w:style w:type="table" w:styleId="ListTable6Colorful-Accent3">
    <w:name w:val="List Table 6 Colorful Accent 3"/>
    <w:basedOn w:val="TableNormal"/>
    <w:uiPriority w:val="51"/>
    <w:semiHidden/>
    <w:rsid w:val="0058629F"/>
    <w:pPr>
      <w:spacing w:line="240" w:lineRule="auto"/>
    </w:pPr>
    <w:rPr>
      <w:color w:val="F1D112" w:themeColor="accent3" w:themeShade="BF"/>
    </w:rPr>
    <w:tblPr>
      <w:tblStyleRowBandSize w:val="1"/>
      <w:tblStyleColBandSize w:val="1"/>
      <w:tblBorders>
        <w:top w:val="single" w:sz="4" w:space="0" w:color="F6E265" w:themeColor="accent3"/>
        <w:bottom w:val="single" w:sz="4" w:space="0" w:color="F6E265" w:themeColor="accent3"/>
      </w:tblBorders>
    </w:tblPr>
    <w:tblStylePr w:type="firstRow">
      <w:rPr>
        <w:b/>
        <w:bCs/>
      </w:rPr>
      <w:tblPr/>
      <w:tcPr>
        <w:tcBorders>
          <w:bottom w:val="single" w:sz="4" w:space="0" w:color="F6E265" w:themeColor="accent3"/>
        </w:tcBorders>
      </w:tcPr>
    </w:tblStylePr>
    <w:tblStylePr w:type="lastRow">
      <w:rPr>
        <w:b/>
        <w:bCs/>
      </w:rPr>
      <w:tblPr/>
      <w:tcPr>
        <w:tcBorders>
          <w:top w:val="double" w:sz="4" w:space="0" w:color="F6E265" w:themeColor="accent3"/>
        </w:tcBorders>
      </w:tcPr>
    </w:tblStylePr>
    <w:tblStylePr w:type="firstCol">
      <w:rPr>
        <w:b/>
        <w:bCs/>
      </w:rPr>
    </w:tblStylePr>
    <w:tblStylePr w:type="lastCol">
      <w:rPr>
        <w:b/>
        <w:bCs/>
      </w:rPr>
    </w:tblStylePr>
    <w:tblStylePr w:type="band1Vert">
      <w:tblPr/>
      <w:tcPr>
        <w:shd w:val="clear" w:color="auto" w:fill="FDF9E0" w:themeFill="accent3" w:themeFillTint="33"/>
      </w:tcPr>
    </w:tblStylePr>
    <w:tblStylePr w:type="band1Horz">
      <w:tblPr/>
      <w:tcPr>
        <w:shd w:val="clear" w:color="auto" w:fill="FDF9E0" w:themeFill="accent3" w:themeFillTint="33"/>
      </w:tcPr>
    </w:tblStylePr>
  </w:style>
  <w:style w:type="table" w:styleId="ListTable6Colorful-Accent4">
    <w:name w:val="List Table 6 Colorful Accent 4"/>
    <w:basedOn w:val="TableNormal"/>
    <w:uiPriority w:val="51"/>
    <w:semiHidden/>
    <w:rsid w:val="0058629F"/>
    <w:pPr>
      <w:spacing w:line="240" w:lineRule="auto"/>
    </w:pPr>
    <w:rPr>
      <w:color w:val="FF9E19" w:themeColor="accent4" w:themeShade="BF"/>
    </w:rPr>
    <w:tblPr>
      <w:tblStyleRowBandSize w:val="1"/>
      <w:tblStyleColBandSize w:val="1"/>
      <w:tblBorders>
        <w:top w:val="single" w:sz="4" w:space="0" w:color="FFC677" w:themeColor="accent4"/>
        <w:bottom w:val="single" w:sz="4" w:space="0" w:color="FFC677" w:themeColor="accent4"/>
      </w:tblBorders>
    </w:tblPr>
    <w:tblStylePr w:type="firstRow">
      <w:rPr>
        <w:b/>
        <w:bCs/>
      </w:rPr>
      <w:tblPr/>
      <w:tcPr>
        <w:tcBorders>
          <w:bottom w:val="single" w:sz="4" w:space="0" w:color="FFC677" w:themeColor="accent4"/>
        </w:tcBorders>
      </w:tcPr>
    </w:tblStylePr>
    <w:tblStylePr w:type="lastRow">
      <w:rPr>
        <w:b/>
        <w:bCs/>
      </w:rPr>
      <w:tblPr/>
      <w:tcPr>
        <w:tcBorders>
          <w:top w:val="double" w:sz="4" w:space="0" w:color="FFC677" w:themeColor="accent4"/>
        </w:tcBorders>
      </w:tcPr>
    </w:tblStylePr>
    <w:tblStylePr w:type="firstCol">
      <w:rPr>
        <w:b/>
        <w:bCs/>
      </w:rPr>
    </w:tblStylePr>
    <w:tblStylePr w:type="lastCol">
      <w:rPr>
        <w:b/>
        <w:bCs/>
      </w:rPr>
    </w:tblStylePr>
    <w:tblStylePr w:type="band1Vert">
      <w:tblPr/>
      <w:tcPr>
        <w:shd w:val="clear" w:color="auto" w:fill="FFF3E3" w:themeFill="accent4" w:themeFillTint="33"/>
      </w:tcPr>
    </w:tblStylePr>
    <w:tblStylePr w:type="band1Horz">
      <w:tblPr/>
      <w:tcPr>
        <w:shd w:val="clear" w:color="auto" w:fill="FFF3E3" w:themeFill="accent4" w:themeFillTint="33"/>
      </w:tcPr>
    </w:tblStylePr>
  </w:style>
  <w:style w:type="table" w:styleId="ListTable6Colorful-Accent5">
    <w:name w:val="List Table 6 Colorful Accent 5"/>
    <w:basedOn w:val="TableNormal"/>
    <w:uiPriority w:val="51"/>
    <w:semiHidden/>
    <w:rsid w:val="0058629F"/>
    <w:pPr>
      <w:spacing w:line="240" w:lineRule="auto"/>
    </w:pPr>
    <w:rPr>
      <w:color w:val="E54E00" w:themeColor="accent5" w:themeShade="BF"/>
    </w:rPr>
    <w:tblPr>
      <w:tblStyleRowBandSize w:val="1"/>
      <w:tblStyleColBandSize w:val="1"/>
      <w:tblBorders>
        <w:top w:val="single" w:sz="4" w:space="0" w:color="FF7A34" w:themeColor="accent5"/>
        <w:bottom w:val="single" w:sz="4" w:space="0" w:color="FF7A34" w:themeColor="accent5"/>
      </w:tblBorders>
    </w:tblPr>
    <w:tblStylePr w:type="firstRow">
      <w:rPr>
        <w:b/>
        <w:bCs/>
      </w:rPr>
      <w:tblPr/>
      <w:tcPr>
        <w:tcBorders>
          <w:bottom w:val="single" w:sz="4" w:space="0" w:color="FF7A34" w:themeColor="accent5"/>
        </w:tcBorders>
      </w:tcPr>
    </w:tblStylePr>
    <w:tblStylePr w:type="lastRow">
      <w:rPr>
        <w:b/>
        <w:bCs/>
      </w:rPr>
      <w:tblPr/>
      <w:tcPr>
        <w:tcBorders>
          <w:top w:val="double" w:sz="4" w:space="0" w:color="FF7A34" w:themeColor="accent5"/>
        </w:tcBorders>
      </w:tcPr>
    </w:tblStylePr>
    <w:tblStylePr w:type="firstCol">
      <w:rPr>
        <w:b/>
        <w:bCs/>
      </w:rPr>
    </w:tblStylePr>
    <w:tblStylePr w:type="lastCol">
      <w:rPr>
        <w:b/>
        <w:bCs/>
      </w:rPr>
    </w:tblStylePr>
    <w:tblStylePr w:type="band1Vert">
      <w:tblPr/>
      <w:tcPr>
        <w:shd w:val="clear" w:color="auto" w:fill="FFE4D6" w:themeFill="accent5" w:themeFillTint="33"/>
      </w:tcPr>
    </w:tblStylePr>
    <w:tblStylePr w:type="band1Horz">
      <w:tblPr/>
      <w:tcPr>
        <w:shd w:val="clear" w:color="auto" w:fill="FFE4D6" w:themeFill="accent5" w:themeFillTint="33"/>
      </w:tcPr>
    </w:tblStylePr>
  </w:style>
  <w:style w:type="table" w:styleId="ListTable6Colorful-Accent6">
    <w:name w:val="List Table 6 Colorful Accent 6"/>
    <w:basedOn w:val="TableNormal"/>
    <w:uiPriority w:val="51"/>
    <w:semiHidden/>
    <w:rsid w:val="0058629F"/>
    <w:pPr>
      <w:spacing w:line="240" w:lineRule="auto"/>
    </w:pPr>
    <w:rPr>
      <w:color w:val="D31020" w:themeColor="accent6" w:themeShade="BF"/>
    </w:rPr>
    <w:tblPr>
      <w:tblStyleRowBandSize w:val="1"/>
      <w:tblStyleColBandSize w:val="1"/>
      <w:tblBorders>
        <w:top w:val="single" w:sz="4" w:space="0" w:color="F0404F" w:themeColor="accent6"/>
        <w:bottom w:val="single" w:sz="4" w:space="0" w:color="F0404F" w:themeColor="accent6"/>
      </w:tblBorders>
    </w:tblPr>
    <w:tblStylePr w:type="firstRow">
      <w:rPr>
        <w:b/>
        <w:bCs/>
      </w:rPr>
      <w:tblPr/>
      <w:tcPr>
        <w:tcBorders>
          <w:bottom w:val="single" w:sz="4" w:space="0" w:color="F0404F" w:themeColor="accent6"/>
        </w:tcBorders>
      </w:tcPr>
    </w:tblStylePr>
    <w:tblStylePr w:type="lastRow">
      <w:rPr>
        <w:b/>
        <w:bCs/>
      </w:rPr>
      <w:tblPr/>
      <w:tcPr>
        <w:tcBorders>
          <w:top w:val="double" w:sz="4" w:space="0" w:color="F0404F" w:themeColor="accent6"/>
        </w:tcBorders>
      </w:tcPr>
    </w:tblStylePr>
    <w:tblStylePr w:type="firstCol">
      <w:rPr>
        <w:b/>
        <w:bCs/>
      </w:rPr>
    </w:tblStylePr>
    <w:tblStylePr w:type="lastCol">
      <w:rPr>
        <w:b/>
        <w:bCs/>
      </w:rPr>
    </w:tblStylePr>
    <w:tblStylePr w:type="band1Vert">
      <w:tblPr/>
      <w:tcPr>
        <w:shd w:val="clear" w:color="auto" w:fill="FCD8DB" w:themeFill="accent6" w:themeFillTint="33"/>
      </w:tcPr>
    </w:tblStylePr>
    <w:tblStylePr w:type="band1Horz">
      <w:tblPr/>
      <w:tcPr>
        <w:shd w:val="clear" w:color="auto" w:fill="FCD8DB" w:themeFill="accent6" w:themeFillTint="33"/>
      </w:tcPr>
    </w:tblStylePr>
  </w:style>
  <w:style w:type="table" w:styleId="ListTable7Colorful">
    <w:name w:val="List Table 7 Colorful"/>
    <w:basedOn w:val="TableNormal"/>
    <w:uiPriority w:val="52"/>
    <w:semiHidden/>
    <w:rsid w:val="0058629F"/>
    <w:pPr>
      <w:spacing w:line="240" w:lineRule="auto"/>
    </w:pPr>
    <w:tblPr>
      <w:tblStyleRowBandSize w:val="1"/>
      <w:tblStyleColBandSize w:val="1"/>
    </w:tblPr>
    <w:tcPr>
      <w:tcBorders>
        <w:left w:val="single" w:sz="4" w:space="0" w:color="000000" w:themeColor="text1"/>
        <w:right w:val="single" w:sz="4" w:space="0" w:color="000000" w:themeColor="text1"/>
      </w:tcBorders>
      <w:shd w:val="clear" w:color="auto" w:fill="CCCCCC" w:themeFill="text1"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styleId="ListTable7Colorful-Accent1">
    <w:name w:val="List Table 7 Colorful Accent 1"/>
    <w:basedOn w:val="TableNormal"/>
    <w:uiPriority w:val="52"/>
    <w:semiHidden/>
    <w:rsid w:val="0058629F"/>
    <w:pPr>
      <w:spacing w:line="240" w:lineRule="auto"/>
    </w:pPr>
    <w:rPr>
      <w:color w:val="0C2B28" w:themeColor="accent1" w:themeShade="BF"/>
    </w:rPr>
    <w:tblPr>
      <w:tblStyleRowBandSize w:val="1"/>
      <w:tblStyleColBandSize w:val="1"/>
    </w:tblPr>
    <w:tcPr>
      <w:tcBorders>
        <w:left w:val="single" w:sz="4" w:space="0" w:color="103A36" w:themeColor="accent1"/>
        <w:right w:val="single" w:sz="4" w:space="0" w:color="103A36" w:themeColor="accent1"/>
      </w:tcBorders>
      <w:shd w:val="clear" w:color="auto" w:fill="BAECE7" w:themeFill="accent1"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styleId="ListTable7Colorful-Accent2">
    <w:name w:val="List Table 7 Colorful Accent 2"/>
    <w:basedOn w:val="TableNormal"/>
    <w:uiPriority w:val="52"/>
    <w:semiHidden/>
    <w:rsid w:val="0058629F"/>
    <w:pPr>
      <w:spacing w:line="240" w:lineRule="auto"/>
    </w:pPr>
    <w:rPr>
      <w:color w:val="006E4A" w:themeColor="accent2" w:themeShade="BF"/>
    </w:rPr>
    <w:tblPr>
      <w:tblStyleRowBandSize w:val="1"/>
      <w:tblStyleColBandSize w:val="1"/>
    </w:tblPr>
    <w:tcPr>
      <w:tcBorders>
        <w:left w:val="single" w:sz="4" w:space="0" w:color="009364" w:themeColor="accent2"/>
        <w:right w:val="single" w:sz="4" w:space="0" w:color="009364" w:themeColor="accent2"/>
      </w:tcBorders>
      <w:shd w:val="clear" w:color="auto" w:fill="B6FFE7" w:themeFill="accent2"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styleId="ListTable7Colorful-Accent3">
    <w:name w:val="List Table 7 Colorful Accent 3"/>
    <w:basedOn w:val="TableNormal"/>
    <w:uiPriority w:val="52"/>
    <w:semiHidden/>
    <w:rsid w:val="0058629F"/>
    <w:pPr>
      <w:spacing w:line="240" w:lineRule="auto"/>
    </w:pPr>
    <w:rPr>
      <w:color w:val="F1D112" w:themeColor="accent3" w:themeShade="BF"/>
    </w:rPr>
    <w:tblPr>
      <w:tblStyleRowBandSize w:val="1"/>
      <w:tblStyleColBandSize w:val="1"/>
    </w:tblPr>
    <w:tcPr>
      <w:tcBorders>
        <w:left w:val="single" w:sz="4" w:space="0" w:color="F6E265" w:themeColor="accent3"/>
        <w:right w:val="single" w:sz="4" w:space="0" w:color="F6E265" w:themeColor="accent3"/>
      </w:tcBorders>
      <w:shd w:val="clear" w:color="auto" w:fill="FDF9E0" w:themeFill="accent3"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styleId="ListTable7Colorful-Accent4">
    <w:name w:val="List Table 7 Colorful Accent 4"/>
    <w:basedOn w:val="TableNormal"/>
    <w:uiPriority w:val="52"/>
    <w:semiHidden/>
    <w:rsid w:val="0058629F"/>
    <w:pPr>
      <w:spacing w:line="240" w:lineRule="auto"/>
    </w:pPr>
    <w:rPr>
      <w:color w:val="FF9E19" w:themeColor="accent4" w:themeShade="BF"/>
    </w:rPr>
    <w:tblPr>
      <w:tblStyleRowBandSize w:val="1"/>
      <w:tblStyleColBandSize w:val="1"/>
    </w:tblPr>
    <w:tcPr>
      <w:tcBorders>
        <w:left w:val="single" w:sz="4" w:space="0" w:color="FFC677" w:themeColor="accent4"/>
        <w:right w:val="single" w:sz="4" w:space="0" w:color="FFC677" w:themeColor="accent4"/>
      </w:tcBorders>
      <w:shd w:val="clear" w:color="auto" w:fill="FFF3E3" w:themeFill="accent4"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styleId="ListTable7Colorful-Accent5">
    <w:name w:val="List Table 7 Colorful Accent 5"/>
    <w:basedOn w:val="TableNormal"/>
    <w:uiPriority w:val="52"/>
    <w:semiHidden/>
    <w:rsid w:val="0058629F"/>
    <w:pPr>
      <w:spacing w:line="240" w:lineRule="auto"/>
    </w:pPr>
    <w:rPr>
      <w:color w:val="E54E00" w:themeColor="accent5" w:themeShade="BF"/>
    </w:rPr>
    <w:tblPr>
      <w:tblStyleRowBandSize w:val="1"/>
      <w:tblStyleColBandSize w:val="1"/>
    </w:tblPr>
    <w:tcPr>
      <w:tcBorders>
        <w:left w:val="single" w:sz="4" w:space="0" w:color="FF7A34" w:themeColor="accent5"/>
        <w:right w:val="single" w:sz="4" w:space="0" w:color="FF7A34" w:themeColor="accent5"/>
      </w:tcBorders>
      <w:shd w:val="clear" w:color="auto" w:fill="FFE4D6" w:themeFill="accent5"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styleId="ListTable7Colorful-Accent6">
    <w:name w:val="List Table 7 Colorful Accent 6"/>
    <w:basedOn w:val="TableNormal"/>
    <w:uiPriority w:val="52"/>
    <w:semiHidden/>
    <w:rsid w:val="0058629F"/>
    <w:pPr>
      <w:spacing w:line="240" w:lineRule="auto"/>
    </w:pPr>
    <w:rPr>
      <w:color w:val="D31020" w:themeColor="accent6" w:themeShade="BF"/>
    </w:rPr>
    <w:tblPr>
      <w:tblStyleRowBandSize w:val="1"/>
      <w:tblStyleColBandSize w:val="1"/>
    </w:tblPr>
    <w:tcPr>
      <w:tcBorders>
        <w:left w:val="single" w:sz="4" w:space="0" w:color="F0404F" w:themeColor="accent6"/>
        <w:right w:val="single" w:sz="4" w:space="0" w:color="F0404F" w:themeColor="accent6"/>
      </w:tcBorders>
      <w:shd w:val="clear" w:color="auto" w:fill="FCD8DB" w:themeFill="accent6"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sz="8" w:space="0" w:color="278F85" w:themeColor="accent1" w:themeTint="BF"/>
        <w:left w:val="single" w:sz="8" w:space="0" w:color="278F85" w:themeColor="accent1" w:themeTint="BF"/>
        <w:bottom w:val="single" w:sz="8" w:space="0" w:color="278F85" w:themeColor="accent1" w:themeTint="BF"/>
        <w:right w:val="single" w:sz="8" w:space="0" w:color="278F85" w:themeColor="accent1" w:themeTint="BF"/>
        <w:insideH w:val="single" w:sz="8" w:space="0" w:color="278F85" w:themeColor="accent1" w:themeTint="BF"/>
        <w:insideV w:val="single" w:sz="8" w:space="0" w:color="278F85" w:themeColor="accent1" w:themeTint="BF"/>
      </w:tblBorders>
    </w:tblPr>
    <w:tcPr>
      <w:shd w:val="clear" w:color="auto" w:fill="AAE7E1" w:themeFill="accent1" w:themeFillTint="3F"/>
    </w:tcPr>
    <w:tblStylePr w:type="firstRow">
      <w:rPr>
        <w:b/>
        <w:bCs/>
      </w:rPr>
    </w:tblStylePr>
    <w:tblStylePr w:type="lastRow">
      <w:rPr>
        <w:b/>
        <w:bCs/>
      </w:rPr>
      <w:tblPr/>
      <w:tcPr>
        <w:tcBorders>
          <w:top w:val="single" w:sz="18" w:space="0" w:color="278F85" w:themeColor="accent1" w:themeTint="BF"/>
        </w:tcBorders>
      </w:tcPr>
    </w:tblStylePr>
    <w:tblStylePr w:type="firstCol">
      <w:rPr>
        <w:b/>
        <w:bCs/>
      </w:rPr>
    </w:tblStylePr>
    <w:tblStylePr w:type="lastCol">
      <w:rPr>
        <w:b/>
        <w:bCs/>
      </w:rPr>
    </w:tblStylePr>
    <w:tblStylePr w:type="band1Vert">
      <w:tblPr/>
      <w:tcPr>
        <w:shd w:val="clear" w:color="auto" w:fill="54D0C3" w:themeFill="accent1" w:themeFillTint="7F"/>
      </w:tcPr>
    </w:tblStylePr>
    <w:tblStylePr w:type="band1Horz">
      <w:tblPr/>
      <w:tcPr>
        <w:shd w:val="clear" w:color="auto" w:fill="54D0C3"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sz="8" w:space="0" w:color="00EEA1" w:themeColor="accent2" w:themeTint="BF"/>
        <w:left w:val="single" w:sz="8" w:space="0" w:color="00EEA1" w:themeColor="accent2" w:themeTint="BF"/>
        <w:bottom w:val="single" w:sz="8" w:space="0" w:color="00EEA1" w:themeColor="accent2" w:themeTint="BF"/>
        <w:right w:val="single" w:sz="8" w:space="0" w:color="00EEA1" w:themeColor="accent2" w:themeTint="BF"/>
        <w:insideH w:val="single" w:sz="8" w:space="0" w:color="00EEA1" w:themeColor="accent2" w:themeTint="BF"/>
        <w:insideV w:val="single" w:sz="8" w:space="0" w:color="00EEA1" w:themeColor="accent2" w:themeTint="BF"/>
      </w:tblBorders>
    </w:tblPr>
    <w:tcPr>
      <w:shd w:val="clear" w:color="auto" w:fill="A5FFE2" w:themeFill="accent2" w:themeFillTint="3F"/>
    </w:tcPr>
    <w:tblStylePr w:type="firstRow">
      <w:rPr>
        <w:b/>
        <w:bCs/>
      </w:rPr>
    </w:tblStylePr>
    <w:tblStylePr w:type="lastRow">
      <w:rPr>
        <w:b/>
        <w:bCs/>
      </w:rPr>
      <w:tblPr/>
      <w:tcPr>
        <w:tcBorders>
          <w:top w:val="single" w:sz="18" w:space="0" w:color="00EEA1" w:themeColor="accent2" w:themeTint="BF"/>
        </w:tcBorders>
      </w:tcPr>
    </w:tblStylePr>
    <w:tblStylePr w:type="firstCol">
      <w:rPr>
        <w:b/>
        <w:bCs/>
      </w:rPr>
    </w:tblStylePr>
    <w:tblStylePr w:type="lastCol">
      <w:rPr>
        <w:b/>
        <w:bCs/>
      </w:rPr>
    </w:tblStylePr>
    <w:tblStylePr w:type="band1Vert">
      <w:tblPr/>
      <w:tcPr>
        <w:shd w:val="clear" w:color="auto" w:fill="4AFFC4" w:themeFill="accent2" w:themeFillTint="7F"/>
      </w:tcPr>
    </w:tblStylePr>
    <w:tblStylePr w:type="band1Horz">
      <w:tblPr/>
      <w:tcPr>
        <w:shd w:val="clear" w:color="auto" w:fill="4AFFC4"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sz="8" w:space="0" w:color="F8E88B" w:themeColor="accent3" w:themeTint="BF"/>
        <w:left w:val="single" w:sz="8" w:space="0" w:color="F8E88B" w:themeColor="accent3" w:themeTint="BF"/>
        <w:bottom w:val="single" w:sz="8" w:space="0" w:color="F8E88B" w:themeColor="accent3" w:themeTint="BF"/>
        <w:right w:val="single" w:sz="8" w:space="0" w:color="F8E88B" w:themeColor="accent3" w:themeTint="BF"/>
        <w:insideH w:val="single" w:sz="8" w:space="0" w:color="F8E88B" w:themeColor="accent3" w:themeTint="BF"/>
        <w:insideV w:val="single" w:sz="8" w:space="0" w:color="F8E88B" w:themeColor="accent3" w:themeTint="BF"/>
      </w:tblBorders>
    </w:tblPr>
    <w:tcPr>
      <w:shd w:val="clear" w:color="auto" w:fill="FCF7D8" w:themeFill="accent3" w:themeFillTint="3F"/>
    </w:tcPr>
    <w:tblStylePr w:type="firstRow">
      <w:rPr>
        <w:b/>
        <w:bCs/>
      </w:rPr>
    </w:tblStylePr>
    <w:tblStylePr w:type="lastRow">
      <w:rPr>
        <w:b/>
        <w:bCs/>
      </w:rPr>
      <w:tblPr/>
      <w:tcPr>
        <w:tcBorders>
          <w:top w:val="single" w:sz="18" w:space="0" w:color="F8E88B" w:themeColor="accent3" w:themeTint="BF"/>
        </w:tcBorders>
      </w:tcPr>
    </w:tblStylePr>
    <w:tblStylePr w:type="firstCol">
      <w:rPr>
        <w:b/>
        <w:bCs/>
      </w:rPr>
    </w:tblStylePr>
    <w:tblStylePr w:type="lastCol">
      <w:rPr>
        <w:b/>
        <w:bCs/>
      </w:rPr>
    </w:tblStylePr>
    <w:tblStylePr w:type="band1Vert">
      <w:tblPr/>
      <w:tcPr>
        <w:shd w:val="clear" w:color="auto" w:fill="FAF0B2" w:themeFill="accent3" w:themeFillTint="7F"/>
      </w:tcPr>
    </w:tblStylePr>
    <w:tblStylePr w:type="band1Horz">
      <w:tblPr/>
      <w:tcPr>
        <w:shd w:val="clear" w:color="auto" w:fill="FAF0B2"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sz="8" w:space="0" w:color="FFD499" w:themeColor="accent4" w:themeTint="BF"/>
        <w:left w:val="single" w:sz="8" w:space="0" w:color="FFD499" w:themeColor="accent4" w:themeTint="BF"/>
        <w:bottom w:val="single" w:sz="8" w:space="0" w:color="FFD499" w:themeColor="accent4" w:themeTint="BF"/>
        <w:right w:val="single" w:sz="8" w:space="0" w:color="FFD499" w:themeColor="accent4" w:themeTint="BF"/>
        <w:insideH w:val="single" w:sz="8" w:space="0" w:color="FFD499" w:themeColor="accent4" w:themeTint="BF"/>
        <w:insideV w:val="single" w:sz="8" w:space="0" w:color="FFD499" w:themeColor="accent4" w:themeTint="BF"/>
      </w:tblBorders>
    </w:tblPr>
    <w:tcPr>
      <w:shd w:val="clear" w:color="auto" w:fill="FFF0DD" w:themeFill="accent4" w:themeFillTint="3F"/>
    </w:tcPr>
    <w:tblStylePr w:type="firstRow">
      <w:rPr>
        <w:b/>
        <w:bCs/>
      </w:rPr>
    </w:tblStylePr>
    <w:tblStylePr w:type="lastRow">
      <w:rPr>
        <w:b/>
        <w:bCs/>
      </w:rPr>
      <w:tblPr/>
      <w:tcPr>
        <w:tcBorders>
          <w:top w:val="single" w:sz="18" w:space="0" w:color="FFD499" w:themeColor="accent4" w:themeTint="BF"/>
        </w:tcBorders>
      </w:tcPr>
    </w:tblStylePr>
    <w:tblStylePr w:type="firstCol">
      <w:rPr>
        <w:b/>
        <w:bCs/>
      </w:rPr>
    </w:tblStylePr>
    <w:tblStylePr w:type="lastCol">
      <w:rPr>
        <w:b/>
        <w:bCs/>
      </w:rPr>
    </w:tblStylePr>
    <w:tblStylePr w:type="band1Vert">
      <w:tblPr/>
      <w:tcPr>
        <w:shd w:val="clear" w:color="auto" w:fill="FFE2BB" w:themeFill="accent4" w:themeFillTint="7F"/>
      </w:tcPr>
    </w:tblStylePr>
    <w:tblStylePr w:type="band1Horz">
      <w:tblPr/>
      <w:tcPr>
        <w:shd w:val="clear" w:color="auto" w:fill="FFE2BB"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sz="8" w:space="0" w:color="FF9A66" w:themeColor="accent5" w:themeTint="BF"/>
        <w:left w:val="single" w:sz="8" w:space="0" w:color="FF9A66" w:themeColor="accent5" w:themeTint="BF"/>
        <w:bottom w:val="single" w:sz="8" w:space="0" w:color="FF9A66" w:themeColor="accent5" w:themeTint="BF"/>
        <w:right w:val="single" w:sz="8" w:space="0" w:color="FF9A66" w:themeColor="accent5" w:themeTint="BF"/>
        <w:insideH w:val="single" w:sz="8" w:space="0" w:color="FF9A66" w:themeColor="accent5" w:themeTint="BF"/>
        <w:insideV w:val="single" w:sz="8" w:space="0" w:color="FF9A66" w:themeColor="accent5" w:themeTint="BF"/>
      </w:tblBorders>
    </w:tblPr>
    <w:tcPr>
      <w:shd w:val="clear" w:color="auto" w:fill="FFDDCC" w:themeFill="accent5" w:themeFillTint="3F"/>
    </w:tcPr>
    <w:tblStylePr w:type="firstRow">
      <w:rPr>
        <w:b/>
        <w:bCs/>
      </w:rPr>
    </w:tblStylePr>
    <w:tblStylePr w:type="lastRow">
      <w:rPr>
        <w:b/>
        <w:bCs/>
      </w:rPr>
      <w:tblPr/>
      <w:tcPr>
        <w:tcBorders>
          <w:top w:val="single" w:sz="18" w:space="0" w:color="FF9A66" w:themeColor="accent5" w:themeTint="BF"/>
        </w:tcBorders>
      </w:tcPr>
    </w:tblStylePr>
    <w:tblStylePr w:type="firstCol">
      <w:rPr>
        <w:b/>
        <w:bCs/>
      </w:rPr>
    </w:tblStylePr>
    <w:tblStylePr w:type="lastCol">
      <w:rPr>
        <w:b/>
        <w:bCs/>
      </w:rPr>
    </w:tblStylePr>
    <w:tblStylePr w:type="band1Vert">
      <w:tblPr/>
      <w:tcPr>
        <w:shd w:val="clear" w:color="auto" w:fill="FFBC99" w:themeFill="accent5" w:themeFillTint="7F"/>
      </w:tcPr>
    </w:tblStylePr>
    <w:tblStylePr w:type="band1Horz">
      <w:tblPr/>
      <w:tcPr>
        <w:shd w:val="clear" w:color="auto" w:fill="FFBC99"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sz="8" w:space="0" w:color="F36F7A" w:themeColor="accent6" w:themeTint="BF"/>
        <w:left w:val="single" w:sz="8" w:space="0" w:color="F36F7A" w:themeColor="accent6" w:themeTint="BF"/>
        <w:bottom w:val="single" w:sz="8" w:space="0" w:color="F36F7A" w:themeColor="accent6" w:themeTint="BF"/>
        <w:right w:val="single" w:sz="8" w:space="0" w:color="F36F7A" w:themeColor="accent6" w:themeTint="BF"/>
        <w:insideH w:val="single" w:sz="8" w:space="0" w:color="F36F7A" w:themeColor="accent6" w:themeTint="BF"/>
        <w:insideV w:val="single" w:sz="8" w:space="0" w:color="F36F7A" w:themeColor="accent6" w:themeTint="BF"/>
      </w:tblBorders>
    </w:tblPr>
    <w:tcPr>
      <w:shd w:val="clear" w:color="auto" w:fill="FBCFD3" w:themeFill="accent6" w:themeFillTint="3F"/>
    </w:tcPr>
    <w:tblStylePr w:type="firstRow">
      <w:rPr>
        <w:b/>
        <w:bCs/>
      </w:rPr>
    </w:tblStylePr>
    <w:tblStylePr w:type="lastRow">
      <w:rPr>
        <w:b/>
        <w:bCs/>
      </w:rPr>
      <w:tblPr/>
      <w:tcPr>
        <w:tcBorders>
          <w:top w:val="single" w:sz="18" w:space="0" w:color="F36F7A" w:themeColor="accent6" w:themeTint="BF"/>
        </w:tcBorders>
      </w:tcPr>
    </w:tblStylePr>
    <w:tblStylePr w:type="firstCol">
      <w:rPr>
        <w:b/>
        <w:bCs/>
      </w:rPr>
    </w:tblStylePr>
    <w:tblStylePr w:type="lastCol">
      <w:rPr>
        <w:b/>
        <w:bCs/>
      </w:rPr>
    </w:tblStylePr>
    <w:tblStylePr w:type="band1Vert">
      <w:tblPr/>
      <w:tcPr>
        <w:shd w:val="clear" w:color="auto" w:fill="F79FA6" w:themeFill="accent6" w:themeFillTint="7F"/>
      </w:tcPr>
    </w:tblStylePr>
    <w:tblStylePr w:type="band1Horz">
      <w:tblPr/>
      <w:tcPr>
        <w:shd w:val="clear" w:color="auto" w:fill="F79FA6" w:themeFill="accent6" w:themeFillTint="7F"/>
      </w:tcPr>
    </w:tblStylePr>
  </w:style>
  <w:style w:type="table" w:styleId="MediumGrid2">
    <w:name w:val="Medium Grid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Pr>
    <w:tcPr>
      <w:shd w:val="clear" w:color="auto" w:fill="AAE7E1" w:themeFill="accent1" w:themeFillTint="3F"/>
    </w:tcPr>
    <w:tblStylePr w:type="firstRow">
      <w:rPr>
        <w:b/>
        <w:bCs/>
        <w:color w:val="000000" w:themeColor="text1"/>
      </w:rPr>
      <w:tblPr/>
      <w:tcPr>
        <w:shd w:val="clear" w:color="auto" w:fill="DDF5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CE7" w:themeFill="accent1" w:themeFillTint="33"/>
      </w:tcPr>
    </w:tblStylePr>
    <w:tblStylePr w:type="band1Vert">
      <w:tblPr/>
      <w:tcPr>
        <w:shd w:val="clear" w:color="auto" w:fill="54D0C3" w:themeFill="accent1" w:themeFillTint="7F"/>
      </w:tcPr>
    </w:tblStylePr>
    <w:tblStylePr w:type="band1Horz">
      <w:tblPr/>
      <w:tcPr>
        <w:tcBorders>
          <w:insideH w:val="single" w:sz="6" w:space="0" w:color="103A36" w:themeColor="accent1"/>
          <w:insideV w:val="single" w:sz="6" w:space="0" w:color="103A36" w:themeColor="accent1"/>
        </w:tcBorders>
        <w:shd w:val="clear" w:color="auto" w:fill="54D0C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Pr>
    <w:tcPr>
      <w:shd w:val="clear" w:color="auto" w:fill="A5FFE2" w:themeFill="accent2" w:themeFillTint="3F"/>
    </w:tcPr>
    <w:tblStylePr w:type="firstRow">
      <w:rPr>
        <w:b/>
        <w:bCs/>
        <w:color w:val="000000" w:themeColor="text1"/>
      </w:rPr>
      <w:tblPr/>
      <w:tcPr>
        <w:shd w:val="clear" w:color="auto" w:fill="DBFF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FFE7" w:themeFill="accent2" w:themeFillTint="33"/>
      </w:tcPr>
    </w:tblStylePr>
    <w:tblStylePr w:type="band1Vert">
      <w:tblPr/>
      <w:tcPr>
        <w:shd w:val="clear" w:color="auto" w:fill="4AFFC4" w:themeFill="accent2" w:themeFillTint="7F"/>
      </w:tcPr>
    </w:tblStylePr>
    <w:tblStylePr w:type="band1Horz">
      <w:tblPr/>
      <w:tcPr>
        <w:tcBorders>
          <w:insideH w:val="single" w:sz="6" w:space="0" w:color="009364" w:themeColor="accent2"/>
          <w:insideV w:val="single" w:sz="6" w:space="0" w:color="009364" w:themeColor="accent2"/>
        </w:tcBorders>
        <w:shd w:val="clear" w:color="auto" w:fill="4AFFC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Pr>
    <w:tcPr>
      <w:shd w:val="clear" w:color="auto" w:fill="FCF7D8" w:themeFill="accent3" w:themeFillTint="3F"/>
    </w:tcPr>
    <w:tblStylePr w:type="firstRow">
      <w:rPr>
        <w:b/>
        <w:bCs/>
        <w:color w:val="000000" w:themeColor="text1"/>
      </w:rPr>
      <w:tblPr/>
      <w:tcPr>
        <w:shd w:val="clear" w:color="auto" w:fill="FEFC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E0" w:themeFill="accent3" w:themeFillTint="33"/>
      </w:tcPr>
    </w:tblStylePr>
    <w:tblStylePr w:type="band1Vert">
      <w:tblPr/>
      <w:tcPr>
        <w:shd w:val="clear" w:color="auto" w:fill="FAF0B2" w:themeFill="accent3" w:themeFillTint="7F"/>
      </w:tcPr>
    </w:tblStylePr>
    <w:tblStylePr w:type="band1Horz">
      <w:tblPr/>
      <w:tcPr>
        <w:tcBorders>
          <w:insideH w:val="single" w:sz="6" w:space="0" w:color="F6E265" w:themeColor="accent3"/>
          <w:insideV w:val="single" w:sz="6" w:space="0" w:color="F6E265" w:themeColor="accent3"/>
        </w:tcBorders>
        <w:shd w:val="clear" w:color="auto" w:fill="FAF0B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Pr>
    <w:tcPr>
      <w:shd w:val="clear" w:color="auto" w:fill="FFF0DD" w:themeFill="accent4" w:themeFillTint="3F"/>
    </w:tcPr>
    <w:tblStylePr w:type="firstRow">
      <w:rPr>
        <w:b/>
        <w:bCs/>
        <w:color w:val="000000" w:themeColor="text1"/>
      </w:rPr>
      <w:tblPr/>
      <w:tcPr>
        <w:shd w:val="clear" w:color="auto" w:fill="FFF9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E3" w:themeFill="accent4" w:themeFillTint="33"/>
      </w:tcPr>
    </w:tblStylePr>
    <w:tblStylePr w:type="band1Vert">
      <w:tblPr/>
      <w:tcPr>
        <w:shd w:val="clear" w:color="auto" w:fill="FFE2BB" w:themeFill="accent4" w:themeFillTint="7F"/>
      </w:tcPr>
    </w:tblStylePr>
    <w:tblStylePr w:type="band1Horz">
      <w:tblPr/>
      <w:tcPr>
        <w:tcBorders>
          <w:insideH w:val="single" w:sz="6" w:space="0" w:color="FFC677" w:themeColor="accent4"/>
          <w:insideV w:val="single" w:sz="6" w:space="0" w:color="FFC677" w:themeColor="accent4"/>
        </w:tcBorders>
        <w:shd w:val="clear" w:color="auto" w:fill="FFE2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Pr>
    <w:tcPr>
      <w:shd w:val="clear" w:color="auto" w:fill="FFDDCC" w:themeFill="accent5" w:themeFillTint="3F"/>
    </w:tcPr>
    <w:tblStylePr w:type="firstRow">
      <w:rPr>
        <w:b/>
        <w:bCs/>
        <w:color w:val="000000" w:themeColor="text1"/>
      </w:rPr>
      <w:tblPr/>
      <w:tcPr>
        <w:shd w:val="clear" w:color="auto" w:fill="FFF1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D6" w:themeFill="accent5" w:themeFillTint="33"/>
      </w:tcPr>
    </w:tblStylePr>
    <w:tblStylePr w:type="band1Vert">
      <w:tblPr/>
      <w:tcPr>
        <w:shd w:val="clear" w:color="auto" w:fill="FFBC99" w:themeFill="accent5" w:themeFillTint="7F"/>
      </w:tcPr>
    </w:tblStylePr>
    <w:tblStylePr w:type="band1Horz">
      <w:tblPr/>
      <w:tcPr>
        <w:tcBorders>
          <w:insideH w:val="single" w:sz="6" w:space="0" w:color="FF7A34" w:themeColor="accent5"/>
          <w:insideV w:val="single" w:sz="6" w:space="0" w:color="FF7A34" w:themeColor="accent5"/>
        </w:tcBorders>
        <w:shd w:val="clear" w:color="auto" w:fill="FFBC9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Pr>
    <w:tcPr>
      <w:shd w:val="clear" w:color="auto" w:fill="FBCFD3" w:themeFill="accent6" w:themeFillTint="3F"/>
    </w:tcPr>
    <w:tblStylePr w:type="firstRow">
      <w:rPr>
        <w:b/>
        <w:bCs/>
        <w:color w:val="000000" w:themeColor="text1"/>
      </w:rPr>
      <w:tblPr/>
      <w:tcPr>
        <w:shd w:val="clear" w:color="auto" w:fill="FDEC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8DB" w:themeFill="accent6" w:themeFillTint="33"/>
      </w:tcPr>
    </w:tblStylePr>
    <w:tblStylePr w:type="band1Vert">
      <w:tblPr/>
      <w:tcPr>
        <w:shd w:val="clear" w:color="auto" w:fill="F79FA6" w:themeFill="accent6" w:themeFillTint="7F"/>
      </w:tcPr>
    </w:tblStylePr>
    <w:tblStylePr w:type="band1Horz">
      <w:tblPr/>
      <w:tcPr>
        <w:tcBorders>
          <w:insideH w:val="single" w:sz="6" w:space="0" w:color="F0404F" w:themeColor="accent6"/>
          <w:insideV w:val="single" w:sz="6" w:space="0" w:color="F0404F" w:themeColor="accent6"/>
        </w:tcBorders>
        <w:shd w:val="clear" w:color="auto" w:fill="F79F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AE7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3A3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3A3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3A3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3A3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D0C3"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5FF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36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36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36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36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AFFC4"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CF7D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26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26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26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26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B2"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0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6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6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6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6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BB"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DD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A3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A3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A3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A3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C99"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BCF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04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04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04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04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9FA6"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10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Pr>
    <w:tcPr>
      <w:tcBorders>
        <w:top w:val="single" w:sz="8" w:space="0" w:color="103A36" w:themeColor="accent1"/>
        <w:bottom w:val="single" w:sz="8" w:space="0" w:color="103A36" w:themeColor="accent1"/>
      </w:tcBorders>
      <w:shd w:val="clear" w:color="auto" w:fill="AAE7E1" w:themeFill="accent1" w:themeFillTint="3F"/>
    </w:tcPr>
    <w:tblStylePr w:type="firstRow">
      <w:rPr>
        <w:rFonts w:asciiTheme="majorHAnsi" w:eastAsiaTheme="majorEastAsia" w:hAnsiTheme="majorHAnsi" w:cstheme="majorBidi"/>
      </w:rPr>
      <w:tblPr/>
      <w:tcPr>
        <w:tcBorders>
          <w:top w:val="nil"/>
          <w:bottom w:val="single" w:sz="8" w:space="0" w:color="103A36" w:themeColor="accent1"/>
        </w:tcBorders>
      </w:tcPr>
    </w:tblStylePr>
    <w:tblStylePr w:type="lastRow">
      <w:rPr>
        <w:b/>
        <w:bCs/>
        <w:color w:val="001032" w:themeColor="text2"/>
      </w:rPr>
      <w:tblPr/>
      <w:tcPr>
        <w:tcBorders>
          <w:top w:val="single" w:sz="8" w:space="0" w:color="103A36" w:themeColor="accent1"/>
          <w:bottom w:val="single" w:sz="8" w:space="0" w:color="103A36" w:themeColor="accent1"/>
        </w:tcBorders>
      </w:tcPr>
    </w:tblStylePr>
    <w:tblStylePr w:type="firstCol">
      <w:rPr>
        <w:b/>
        <w:bCs/>
      </w:rPr>
    </w:tblStylePr>
    <w:tblStylePr w:type="lastCol">
      <w:rPr>
        <w:b/>
        <w:bCs/>
      </w:r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Pr>
    <w:tcPr>
      <w:tcBorders>
        <w:top w:val="single" w:sz="8" w:space="0" w:color="009364" w:themeColor="accent2"/>
        <w:bottom w:val="single" w:sz="8" w:space="0" w:color="009364" w:themeColor="accent2"/>
      </w:tcBorders>
      <w:shd w:val="clear" w:color="auto" w:fill="A5FFE2" w:themeFill="accent2" w:themeFillTint="3F"/>
    </w:tcPr>
    <w:tblStylePr w:type="firstRow">
      <w:rPr>
        <w:rFonts w:asciiTheme="majorHAnsi" w:eastAsiaTheme="majorEastAsia" w:hAnsiTheme="majorHAnsi" w:cstheme="majorBidi"/>
      </w:rPr>
      <w:tblPr/>
      <w:tcPr>
        <w:tcBorders>
          <w:top w:val="nil"/>
          <w:bottom w:val="single" w:sz="8" w:space="0" w:color="009364" w:themeColor="accent2"/>
        </w:tcBorders>
      </w:tcPr>
    </w:tblStylePr>
    <w:tblStylePr w:type="lastRow">
      <w:rPr>
        <w:b/>
        <w:bCs/>
        <w:color w:val="001032" w:themeColor="text2"/>
      </w:rPr>
      <w:tblPr/>
      <w:tcPr>
        <w:tcBorders>
          <w:top w:val="single" w:sz="8" w:space="0" w:color="009364" w:themeColor="accent2"/>
          <w:bottom w:val="single" w:sz="8" w:space="0" w:color="009364" w:themeColor="accent2"/>
        </w:tcBorders>
      </w:tcPr>
    </w:tblStylePr>
    <w:tblStylePr w:type="firstCol">
      <w:rPr>
        <w:b/>
        <w:bCs/>
      </w:rPr>
    </w:tblStylePr>
    <w:tblStylePr w:type="lastCol">
      <w:rPr>
        <w:b/>
        <w:bCs/>
      </w:r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Pr>
    <w:tcPr>
      <w:tcBorders>
        <w:top w:val="single" w:sz="8" w:space="0" w:color="F6E265" w:themeColor="accent3"/>
        <w:bottom w:val="single" w:sz="8" w:space="0" w:color="F6E265" w:themeColor="accent3"/>
      </w:tcBorders>
      <w:shd w:val="clear" w:color="auto" w:fill="FCF7D8" w:themeFill="accent3" w:themeFillTint="3F"/>
    </w:tcPr>
    <w:tblStylePr w:type="firstRow">
      <w:rPr>
        <w:rFonts w:asciiTheme="majorHAnsi" w:eastAsiaTheme="majorEastAsia" w:hAnsiTheme="majorHAnsi" w:cstheme="majorBidi"/>
      </w:rPr>
      <w:tblPr/>
      <w:tcPr>
        <w:tcBorders>
          <w:top w:val="nil"/>
          <w:bottom w:val="single" w:sz="8" w:space="0" w:color="F6E265" w:themeColor="accent3"/>
        </w:tcBorders>
      </w:tcPr>
    </w:tblStylePr>
    <w:tblStylePr w:type="lastRow">
      <w:rPr>
        <w:b/>
        <w:bCs/>
        <w:color w:val="001032" w:themeColor="text2"/>
      </w:rPr>
      <w:tblPr/>
      <w:tcPr>
        <w:tcBorders>
          <w:top w:val="single" w:sz="8" w:space="0" w:color="F6E265" w:themeColor="accent3"/>
          <w:bottom w:val="single" w:sz="8" w:space="0" w:color="F6E265" w:themeColor="accent3"/>
        </w:tcBorders>
      </w:tcPr>
    </w:tblStylePr>
    <w:tblStylePr w:type="firstCol">
      <w:rPr>
        <w:b/>
        <w:bCs/>
      </w:rPr>
    </w:tblStylePr>
    <w:tblStylePr w:type="lastCol">
      <w:rPr>
        <w:b/>
        <w:bCs/>
      </w:r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Pr>
    <w:tcPr>
      <w:tcBorders>
        <w:top w:val="single" w:sz="8" w:space="0" w:color="FFC677" w:themeColor="accent4"/>
        <w:bottom w:val="single" w:sz="8" w:space="0" w:color="FFC677" w:themeColor="accent4"/>
      </w:tcBorders>
      <w:shd w:val="clear" w:color="auto" w:fill="FFF0DD" w:themeFill="accent4" w:themeFillTint="3F"/>
    </w:tcPr>
    <w:tblStylePr w:type="firstRow">
      <w:rPr>
        <w:rFonts w:asciiTheme="majorHAnsi" w:eastAsiaTheme="majorEastAsia" w:hAnsiTheme="majorHAnsi" w:cstheme="majorBidi"/>
      </w:rPr>
      <w:tblPr/>
      <w:tcPr>
        <w:tcBorders>
          <w:top w:val="nil"/>
          <w:bottom w:val="single" w:sz="8" w:space="0" w:color="FFC677" w:themeColor="accent4"/>
        </w:tcBorders>
      </w:tcPr>
    </w:tblStylePr>
    <w:tblStylePr w:type="lastRow">
      <w:rPr>
        <w:b/>
        <w:bCs/>
        <w:color w:val="001032" w:themeColor="text2"/>
      </w:rPr>
      <w:tblPr/>
      <w:tcPr>
        <w:tcBorders>
          <w:top w:val="single" w:sz="8" w:space="0" w:color="FFC677" w:themeColor="accent4"/>
          <w:bottom w:val="single" w:sz="8" w:space="0" w:color="FFC677" w:themeColor="accent4"/>
        </w:tcBorders>
      </w:tcPr>
    </w:tblStylePr>
    <w:tblStylePr w:type="firstCol">
      <w:rPr>
        <w:b/>
        <w:bCs/>
      </w:rPr>
    </w:tblStylePr>
    <w:tblStylePr w:type="lastCol">
      <w:rPr>
        <w:b/>
        <w:bCs/>
      </w:r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Pr>
    <w:tcPr>
      <w:tcBorders>
        <w:top w:val="single" w:sz="8" w:space="0" w:color="FF7A34" w:themeColor="accent5"/>
        <w:bottom w:val="single" w:sz="8" w:space="0" w:color="FF7A34" w:themeColor="accent5"/>
      </w:tcBorders>
      <w:shd w:val="clear" w:color="auto" w:fill="FFDDCC" w:themeFill="accent5" w:themeFillTint="3F"/>
    </w:tcPr>
    <w:tblStylePr w:type="firstRow">
      <w:rPr>
        <w:rFonts w:asciiTheme="majorHAnsi" w:eastAsiaTheme="majorEastAsia" w:hAnsiTheme="majorHAnsi" w:cstheme="majorBidi"/>
      </w:rPr>
      <w:tblPr/>
      <w:tcPr>
        <w:tcBorders>
          <w:top w:val="nil"/>
          <w:bottom w:val="single" w:sz="8" w:space="0" w:color="FF7A34" w:themeColor="accent5"/>
        </w:tcBorders>
      </w:tcPr>
    </w:tblStylePr>
    <w:tblStylePr w:type="lastRow">
      <w:rPr>
        <w:b/>
        <w:bCs/>
        <w:color w:val="001032" w:themeColor="text2"/>
      </w:rPr>
      <w:tblPr/>
      <w:tcPr>
        <w:tcBorders>
          <w:top w:val="single" w:sz="8" w:space="0" w:color="FF7A34" w:themeColor="accent5"/>
          <w:bottom w:val="single" w:sz="8" w:space="0" w:color="FF7A34" w:themeColor="accent5"/>
        </w:tcBorders>
      </w:tcPr>
    </w:tblStylePr>
    <w:tblStylePr w:type="firstCol">
      <w:rPr>
        <w:b/>
        <w:bCs/>
      </w:rPr>
    </w:tblStylePr>
    <w:tblStylePr w:type="lastCol">
      <w:rPr>
        <w:b/>
        <w:bCs/>
      </w:r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Pr>
    <w:tcPr>
      <w:tcBorders>
        <w:top w:val="single" w:sz="8" w:space="0" w:color="F0404F" w:themeColor="accent6"/>
        <w:bottom w:val="single" w:sz="8" w:space="0" w:color="F0404F" w:themeColor="accent6"/>
      </w:tcBorders>
      <w:shd w:val="clear" w:color="auto" w:fill="FBCFD3" w:themeFill="accent6" w:themeFillTint="3F"/>
    </w:tcPr>
    <w:tblStylePr w:type="firstRow">
      <w:rPr>
        <w:rFonts w:asciiTheme="majorHAnsi" w:eastAsiaTheme="majorEastAsia" w:hAnsiTheme="majorHAnsi" w:cstheme="majorBidi"/>
      </w:rPr>
      <w:tblPr/>
      <w:tcPr>
        <w:tcBorders>
          <w:top w:val="nil"/>
          <w:bottom w:val="single" w:sz="8" w:space="0" w:color="F0404F" w:themeColor="accent6"/>
        </w:tcBorders>
      </w:tcPr>
    </w:tblStylePr>
    <w:tblStylePr w:type="lastRow">
      <w:rPr>
        <w:b/>
        <w:bCs/>
        <w:color w:val="001032" w:themeColor="text2"/>
      </w:rPr>
      <w:tblPr/>
      <w:tcPr>
        <w:tcBorders>
          <w:top w:val="single" w:sz="8" w:space="0" w:color="F0404F" w:themeColor="accent6"/>
          <w:bottom w:val="single" w:sz="8" w:space="0" w:color="F0404F" w:themeColor="accent6"/>
        </w:tcBorders>
      </w:tcPr>
    </w:tblStylePr>
    <w:tblStylePr w:type="firstCol">
      <w:rPr>
        <w:b/>
        <w:bCs/>
      </w:rPr>
    </w:tblStylePr>
    <w:tblStylePr w:type="lastCol">
      <w:rPr>
        <w:b/>
        <w:bCs/>
      </w:rPr>
    </w:tblStylePr>
  </w:style>
  <w:style w:type="table" w:styleId="MediumList2">
    <w:name w:val="Medium Lis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Pr>
    <w:tblStylePr w:type="firstRow">
      <w:rPr>
        <w:sz w:val="24"/>
        <w:szCs w:val="24"/>
      </w:rPr>
      <w:tblPr/>
      <w:tcPr>
        <w:tcBorders>
          <w:top w:val="nil"/>
          <w:left w:val="nil"/>
          <w:bottom w:val="single" w:sz="24" w:space="0" w:color="103A36" w:themeColor="accent1"/>
          <w:right w:val="nil"/>
          <w:insideH w:val="nil"/>
          <w:insideV w:val="nil"/>
        </w:tcBorders>
        <w:shd w:val="clear" w:color="auto" w:fill="FFFFFF" w:themeFill="background1"/>
      </w:tcPr>
    </w:tblStylePr>
    <w:tblStylePr w:type="lastRow">
      <w:tblPr/>
      <w:tcPr>
        <w:tcBorders>
          <w:top w:val="single" w:sz="8" w:space="0" w:color="103A3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3A36" w:themeColor="accent1"/>
          <w:insideH w:val="nil"/>
          <w:insideV w:val="nil"/>
        </w:tcBorders>
        <w:shd w:val="clear" w:color="auto" w:fill="FFFFFF" w:themeFill="background1"/>
      </w:tcPr>
    </w:tblStylePr>
    <w:tblStylePr w:type="lastCol">
      <w:tblPr/>
      <w:tcPr>
        <w:tcBorders>
          <w:top w:val="nil"/>
          <w:left w:val="single" w:sz="8" w:space="0" w:color="103A3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E7E1" w:themeFill="accent1" w:themeFillTint="3F"/>
      </w:tcPr>
    </w:tblStylePr>
    <w:tblStylePr w:type="band1Horz">
      <w:tblPr/>
      <w:tcPr>
        <w:tcBorders>
          <w:top w:val="nil"/>
          <w:bottom w:val="nil"/>
          <w:insideH w:val="nil"/>
          <w:insideV w:val="nil"/>
        </w:tcBorders>
        <w:shd w:val="clear" w:color="auto" w:fill="AAE7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Pr>
    <w:tblStylePr w:type="firstRow">
      <w:rPr>
        <w:sz w:val="24"/>
        <w:szCs w:val="24"/>
      </w:rPr>
      <w:tblPr/>
      <w:tcPr>
        <w:tcBorders>
          <w:top w:val="nil"/>
          <w:left w:val="nil"/>
          <w:bottom w:val="single" w:sz="24" w:space="0" w:color="009364" w:themeColor="accent2"/>
          <w:right w:val="nil"/>
          <w:insideH w:val="nil"/>
          <w:insideV w:val="nil"/>
        </w:tcBorders>
        <w:shd w:val="clear" w:color="auto" w:fill="FFFFFF" w:themeFill="background1"/>
      </w:tcPr>
    </w:tblStylePr>
    <w:tblStylePr w:type="lastRow">
      <w:tblPr/>
      <w:tcPr>
        <w:tcBorders>
          <w:top w:val="single" w:sz="8" w:space="0" w:color="00936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364" w:themeColor="accent2"/>
          <w:insideH w:val="nil"/>
          <w:insideV w:val="nil"/>
        </w:tcBorders>
        <w:shd w:val="clear" w:color="auto" w:fill="FFFFFF" w:themeFill="background1"/>
      </w:tcPr>
    </w:tblStylePr>
    <w:tblStylePr w:type="lastCol">
      <w:tblPr/>
      <w:tcPr>
        <w:tcBorders>
          <w:top w:val="nil"/>
          <w:left w:val="single" w:sz="8" w:space="0" w:color="00936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FFE2" w:themeFill="accent2" w:themeFillTint="3F"/>
      </w:tcPr>
    </w:tblStylePr>
    <w:tblStylePr w:type="band1Horz">
      <w:tblPr/>
      <w:tcPr>
        <w:tcBorders>
          <w:top w:val="nil"/>
          <w:bottom w:val="nil"/>
          <w:insideH w:val="nil"/>
          <w:insideV w:val="nil"/>
        </w:tcBorders>
        <w:shd w:val="clear" w:color="auto" w:fill="A5FF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Pr>
    <w:tblStylePr w:type="firstRow">
      <w:rPr>
        <w:sz w:val="24"/>
        <w:szCs w:val="24"/>
      </w:rPr>
      <w:tblPr/>
      <w:tcPr>
        <w:tcBorders>
          <w:top w:val="nil"/>
          <w:left w:val="nil"/>
          <w:bottom w:val="single" w:sz="24" w:space="0" w:color="F6E265" w:themeColor="accent3"/>
          <w:right w:val="nil"/>
          <w:insideH w:val="nil"/>
          <w:insideV w:val="nil"/>
        </w:tcBorders>
        <w:shd w:val="clear" w:color="auto" w:fill="FFFFFF" w:themeFill="background1"/>
      </w:tcPr>
    </w:tblStylePr>
    <w:tblStylePr w:type="lastRow">
      <w:tblPr/>
      <w:tcPr>
        <w:tcBorders>
          <w:top w:val="single" w:sz="8" w:space="0" w:color="F6E26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265" w:themeColor="accent3"/>
          <w:insideH w:val="nil"/>
          <w:insideV w:val="nil"/>
        </w:tcBorders>
        <w:shd w:val="clear" w:color="auto" w:fill="FFFFFF" w:themeFill="background1"/>
      </w:tcPr>
    </w:tblStylePr>
    <w:tblStylePr w:type="lastCol">
      <w:tblPr/>
      <w:tcPr>
        <w:tcBorders>
          <w:top w:val="nil"/>
          <w:left w:val="single" w:sz="8" w:space="0" w:color="F6E26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D8" w:themeFill="accent3" w:themeFillTint="3F"/>
      </w:tcPr>
    </w:tblStylePr>
    <w:tblStylePr w:type="band1Horz">
      <w:tblPr/>
      <w:tcPr>
        <w:tcBorders>
          <w:top w:val="nil"/>
          <w:bottom w:val="nil"/>
          <w:insideH w:val="nil"/>
          <w:insideV w:val="nil"/>
        </w:tcBorders>
        <w:shd w:val="clear" w:color="auto" w:fill="FCF7D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Pr>
    <w:tblStylePr w:type="firstRow">
      <w:rPr>
        <w:sz w:val="24"/>
        <w:szCs w:val="24"/>
      </w:rPr>
      <w:tblPr/>
      <w:tcPr>
        <w:tcBorders>
          <w:top w:val="nil"/>
          <w:left w:val="nil"/>
          <w:bottom w:val="single" w:sz="24" w:space="0" w:color="FFC677" w:themeColor="accent4"/>
          <w:right w:val="nil"/>
          <w:insideH w:val="nil"/>
          <w:insideV w:val="nil"/>
        </w:tcBorders>
        <w:shd w:val="clear" w:color="auto" w:fill="FFFFFF" w:themeFill="background1"/>
      </w:tcPr>
    </w:tblStylePr>
    <w:tblStylePr w:type="lastRow">
      <w:tblPr/>
      <w:tcPr>
        <w:tcBorders>
          <w:top w:val="single" w:sz="8" w:space="0" w:color="FFC67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677" w:themeColor="accent4"/>
          <w:insideH w:val="nil"/>
          <w:insideV w:val="nil"/>
        </w:tcBorders>
        <w:shd w:val="clear" w:color="auto" w:fill="FFFFFF" w:themeFill="background1"/>
      </w:tcPr>
    </w:tblStylePr>
    <w:tblStylePr w:type="lastCol">
      <w:tblPr/>
      <w:tcPr>
        <w:tcBorders>
          <w:top w:val="nil"/>
          <w:left w:val="single" w:sz="8" w:space="0" w:color="FFC6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DD" w:themeFill="accent4" w:themeFillTint="3F"/>
      </w:tcPr>
    </w:tblStylePr>
    <w:tblStylePr w:type="band1Horz">
      <w:tblPr/>
      <w:tcPr>
        <w:tcBorders>
          <w:top w:val="nil"/>
          <w:bottom w:val="nil"/>
          <w:insideH w:val="nil"/>
          <w:insideV w:val="nil"/>
        </w:tcBorders>
        <w:shd w:val="clear" w:color="auto" w:fill="FFF0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Pr>
    <w:tblStylePr w:type="firstRow">
      <w:rPr>
        <w:sz w:val="24"/>
        <w:szCs w:val="24"/>
      </w:rPr>
      <w:tblPr/>
      <w:tcPr>
        <w:tcBorders>
          <w:top w:val="nil"/>
          <w:left w:val="nil"/>
          <w:bottom w:val="single" w:sz="24" w:space="0" w:color="FF7A34" w:themeColor="accent5"/>
          <w:right w:val="nil"/>
          <w:insideH w:val="nil"/>
          <w:insideV w:val="nil"/>
        </w:tcBorders>
        <w:shd w:val="clear" w:color="auto" w:fill="FFFFFF" w:themeFill="background1"/>
      </w:tcPr>
    </w:tblStylePr>
    <w:tblStylePr w:type="lastRow">
      <w:tblPr/>
      <w:tcPr>
        <w:tcBorders>
          <w:top w:val="single" w:sz="8" w:space="0" w:color="FF7A3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A34" w:themeColor="accent5"/>
          <w:insideH w:val="nil"/>
          <w:insideV w:val="nil"/>
        </w:tcBorders>
        <w:shd w:val="clear" w:color="auto" w:fill="FFFFFF" w:themeFill="background1"/>
      </w:tcPr>
    </w:tblStylePr>
    <w:tblStylePr w:type="lastCol">
      <w:tblPr/>
      <w:tcPr>
        <w:tcBorders>
          <w:top w:val="nil"/>
          <w:left w:val="single" w:sz="8" w:space="0" w:color="FF7A3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DCC" w:themeFill="accent5" w:themeFillTint="3F"/>
      </w:tcPr>
    </w:tblStylePr>
    <w:tblStylePr w:type="band1Horz">
      <w:tblPr/>
      <w:tcPr>
        <w:tcBorders>
          <w:top w:val="nil"/>
          <w:bottom w:val="nil"/>
          <w:insideH w:val="nil"/>
          <w:insideV w:val="nil"/>
        </w:tcBorders>
        <w:shd w:val="clear" w:color="auto" w:fill="FFDD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Pr>
    <w:tblStylePr w:type="firstRow">
      <w:rPr>
        <w:sz w:val="24"/>
        <w:szCs w:val="24"/>
      </w:rPr>
      <w:tblPr/>
      <w:tcPr>
        <w:tcBorders>
          <w:top w:val="nil"/>
          <w:left w:val="nil"/>
          <w:bottom w:val="single" w:sz="24" w:space="0" w:color="F0404F" w:themeColor="accent6"/>
          <w:right w:val="nil"/>
          <w:insideH w:val="nil"/>
          <w:insideV w:val="nil"/>
        </w:tcBorders>
        <w:shd w:val="clear" w:color="auto" w:fill="FFFFFF" w:themeFill="background1"/>
      </w:tcPr>
    </w:tblStylePr>
    <w:tblStylePr w:type="lastRow">
      <w:tblPr/>
      <w:tcPr>
        <w:tcBorders>
          <w:top w:val="single" w:sz="8" w:space="0" w:color="F0404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04F" w:themeColor="accent6"/>
          <w:insideH w:val="nil"/>
          <w:insideV w:val="nil"/>
        </w:tcBorders>
        <w:shd w:val="clear" w:color="auto" w:fill="FFFFFF" w:themeFill="background1"/>
      </w:tcPr>
    </w:tblStylePr>
    <w:tblStylePr w:type="lastCol">
      <w:tblPr/>
      <w:tcPr>
        <w:tcBorders>
          <w:top w:val="nil"/>
          <w:left w:val="single" w:sz="8" w:space="0" w:color="F0404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CFD3" w:themeFill="accent6" w:themeFillTint="3F"/>
      </w:tcPr>
    </w:tblStylePr>
    <w:tblStylePr w:type="band1Horz">
      <w:tblPr/>
      <w:tcPr>
        <w:tcBorders>
          <w:top w:val="nil"/>
          <w:bottom w:val="nil"/>
          <w:insideH w:val="nil"/>
          <w:insideV w:val="nil"/>
        </w:tcBorders>
        <w:shd w:val="clear" w:color="auto" w:fill="FBCF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Pr>
    <w:tcPr>
      <w:tcBorders>
        <w:left w:val="single" w:sz="8" w:space="0" w:color="404040" w:themeColor="text1" w:themeTint="BF"/>
        <w:right w:val="single" w:sz="8" w:space="0" w:color="404040" w:themeColor="text1" w:themeTint="BF"/>
      </w:tcBorders>
      <w:shd w:val="clear" w:color="auto" w:fill="C0C0C0"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Pr>
    <w:tcPr>
      <w:tcBorders>
        <w:left w:val="single" w:sz="8" w:space="0" w:color="278F85" w:themeColor="accent1" w:themeTint="BF"/>
        <w:right w:val="single" w:sz="8" w:space="0" w:color="278F85" w:themeColor="accent1" w:themeTint="BF"/>
      </w:tcBorders>
      <w:shd w:val="clear" w:color="auto" w:fill="AAE7E1"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Pr>
    <w:tcPr>
      <w:tcBorders>
        <w:left w:val="single" w:sz="8" w:space="0" w:color="00EEA1" w:themeColor="accent2" w:themeTint="BF"/>
        <w:right w:val="single" w:sz="8" w:space="0" w:color="00EEA1" w:themeColor="accent2" w:themeTint="BF"/>
      </w:tcBorders>
      <w:shd w:val="clear" w:color="auto" w:fill="A5FFE2"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Pr>
    <w:tcPr>
      <w:tcBorders>
        <w:left w:val="single" w:sz="8" w:space="0" w:color="F8E88B" w:themeColor="accent3" w:themeTint="BF"/>
        <w:right w:val="single" w:sz="8" w:space="0" w:color="F8E88B" w:themeColor="accent3" w:themeTint="BF"/>
      </w:tcBorders>
      <w:shd w:val="clear" w:color="auto" w:fill="FCF7D8" w:themeFill="accent3"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Pr>
    <w:tcPr>
      <w:tcBorders>
        <w:left w:val="single" w:sz="8" w:space="0" w:color="FFD499" w:themeColor="accent4" w:themeTint="BF"/>
        <w:right w:val="single" w:sz="8" w:space="0" w:color="FFD499" w:themeColor="accent4" w:themeTint="BF"/>
      </w:tcBorders>
      <w:shd w:val="clear" w:color="auto" w:fill="FFF0DD"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Pr>
    <w:tcPr>
      <w:tcBorders>
        <w:left w:val="single" w:sz="8" w:space="0" w:color="FF9A66" w:themeColor="accent5" w:themeTint="BF"/>
        <w:right w:val="single" w:sz="8" w:space="0" w:color="FF9A66" w:themeColor="accent5" w:themeTint="BF"/>
      </w:tcBorders>
      <w:shd w:val="clear" w:color="auto" w:fill="FFDDCC"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Pr>
    <w:tcPr>
      <w:tcBorders>
        <w:left w:val="single" w:sz="8" w:space="0" w:color="F36F7A" w:themeColor="accent6" w:themeTint="BF"/>
        <w:right w:val="single" w:sz="8" w:space="0" w:color="F36F7A" w:themeColor="accent6" w:themeTint="BF"/>
      </w:tcBorders>
      <w:shd w:val="clear" w:color="auto" w:fill="FBCFD3" w:themeFill="accent6"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3A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3A36" w:themeFill="accent1"/>
      </w:tcPr>
    </w:tblStylePr>
    <w:tblStylePr w:type="lastCol">
      <w:rPr>
        <w:b/>
        <w:bCs/>
        <w:color w:val="FFFFFF" w:themeColor="background1"/>
      </w:rPr>
      <w:tblPr/>
      <w:tcPr>
        <w:tcBorders>
          <w:left w:val="nil"/>
          <w:right w:val="nil"/>
          <w:insideH w:val="nil"/>
          <w:insideV w:val="nil"/>
        </w:tcBorders>
        <w:shd w:val="clear" w:color="auto" w:fill="103A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36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364" w:themeFill="accent2"/>
      </w:tcPr>
    </w:tblStylePr>
    <w:tblStylePr w:type="lastCol">
      <w:rPr>
        <w:b/>
        <w:bCs/>
        <w:color w:val="FFFFFF" w:themeColor="background1"/>
      </w:rPr>
      <w:tblPr/>
      <w:tcPr>
        <w:tcBorders>
          <w:left w:val="nil"/>
          <w:right w:val="nil"/>
          <w:insideH w:val="nil"/>
          <w:insideV w:val="nil"/>
        </w:tcBorders>
        <w:shd w:val="clear" w:color="auto" w:fill="00936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26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E265" w:themeFill="accent3"/>
      </w:tcPr>
    </w:tblStylePr>
    <w:tblStylePr w:type="lastCol">
      <w:rPr>
        <w:b/>
        <w:bCs/>
        <w:color w:val="FFFFFF" w:themeColor="background1"/>
      </w:rPr>
      <w:tblPr/>
      <w:tcPr>
        <w:tcBorders>
          <w:left w:val="nil"/>
          <w:right w:val="nil"/>
          <w:insideH w:val="nil"/>
          <w:insideV w:val="nil"/>
        </w:tcBorders>
        <w:shd w:val="clear" w:color="auto" w:fill="F6E26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6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677" w:themeFill="accent4"/>
      </w:tcPr>
    </w:tblStylePr>
    <w:tblStylePr w:type="lastCol">
      <w:rPr>
        <w:b/>
        <w:bCs/>
        <w:color w:val="FFFFFF" w:themeColor="background1"/>
      </w:rPr>
      <w:tblPr/>
      <w:tcPr>
        <w:tcBorders>
          <w:left w:val="nil"/>
          <w:right w:val="nil"/>
          <w:insideH w:val="nil"/>
          <w:insideV w:val="nil"/>
        </w:tcBorders>
        <w:shd w:val="clear" w:color="auto" w:fill="FFC6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A3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7A34" w:themeFill="accent5"/>
      </w:tcPr>
    </w:tblStylePr>
    <w:tblStylePr w:type="lastCol">
      <w:rPr>
        <w:b/>
        <w:bCs/>
        <w:color w:val="FFFFFF" w:themeColor="background1"/>
      </w:rPr>
      <w:tblPr/>
      <w:tcPr>
        <w:tcBorders>
          <w:left w:val="nil"/>
          <w:right w:val="nil"/>
          <w:insideH w:val="nil"/>
          <w:insideV w:val="nil"/>
        </w:tcBorders>
        <w:shd w:val="clear" w:color="auto" w:fill="FF7A3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04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04F" w:themeFill="accent6"/>
      </w:tcPr>
    </w:tblStylePr>
    <w:tblStylePr w:type="lastCol">
      <w:rPr>
        <w:b/>
        <w:bCs/>
        <w:color w:val="FFFFFF" w:themeColor="background1"/>
      </w:rPr>
      <w:tblPr/>
      <w:tcPr>
        <w:tcBorders>
          <w:left w:val="nil"/>
          <w:right w:val="nil"/>
          <w:insideH w:val="nil"/>
          <w:insideV w:val="nil"/>
        </w:tcBorders>
        <w:shd w:val="clear" w:color="auto" w:fill="F0404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pPr>
      <w:spacing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PlainTable3">
    <w:name w:val="Plain Table 3"/>
    <w:basedOn w:val="TableNormal"/>
    <w:uiPriority w:val="43"/>
    <w:semiHidden/>
    <w:rsid w:val="0058629F"/>
    <w:pPr>
      <w:spacing w:line="240" w:lineRule="auto"/>
    </w:pPr>
    <w:tblPr>
      <w:tblStyleRowBandSize w:val="1"/>
      <w:tblStyleColBandSize w:val="1"/>
    </w:tblPr>
    <w:tcPr>
      <w:tcBorders>
        <w:right w:val="single" w:sz="4" w:space="0" w:color="7F7F7F"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style>
  <w:style w:type="table" w:styleId="PlainTable4">
    <w:name w:val="Plain Table 4"/>
    <w:basedOn w:val="TableNormal"/>
    <w:uiPriority w:val="44"/>
    <w:semiHidden/>
    <w:rsid w:val="0058629F"/>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semiHidden/>
    <w:rsid w:val="0058629F"/>
    <w:pPr>
      <w:spacing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rPr>
      <w:color w:val="auto"/>
    </w:rPr>
    <w:tblPr/>
    <w:tcPr>
      <w:tcBorders>
        <w:left w:val="single" w:sz="6" w:space="0" w:color="FFFFFF"/>
        <w:right w:val="single" w:sz="6" w:space="0" w:color="808080"/>
      </w:tcBorders>
      <w:shd w:val="solid" w:color="C0C0C0" w:fill="FFFFFF"/>
    </w:tcPr>
    <w:tblStylePr w:type="firstRow">
      <w:rPr>
        <w:b/>
        <w:bCs/>
        <w:color w:val="800080"/>
      </w:rPr>
    </w:tblStylePr>
    <w:tblStylePr w:type="firstCol">
      <w:rPr>
        <w:b/>
        <w:bCs/>
      </w:rPr>
    </w:tblStylePr>
    <w:tblStylePr w:type="swCell">
      <w:rPr>
        <w:color w:val="000080"/>
      </w:rPr>
    </w:tblStylePr>
  </w:style>
  <w:style w:type="table" w:styleId="Table3Deffects2">
    <w:name w:val="Table 3D effects 2"/>
    <w:basedOn w:val="TableNormal"/>
    <w:semiHidden/>
    <w:rsid w:val="0058629F"/>
    <w:rPr>
      <w:color w:val="auto"/>
    </w:rPr>
    <w:tblPr>
      <w:tblStyleRowBandSize w:val="1"/>
    </w:tblPr>
    <w:tcPr>
      <w:tcBorders>
        <w:bottom w:val="single" w:sz="6" w:space="0" w:color="FFFFFF"/>
        <w:right w:val="single" w:sz="6" w:space="0" w:color="FFFFFF"/>
      </w:tcBorders>
      <w:shd w:val="solid" w:color="C0C0C0" w:fill="FFFFFF"/>
    </w:tcPr>
    <w:tblStylePr w:type="firstRow">
      <w:rPr>
        <w:b/>
        <w:bCs/>
      </w:rPr>
    </w:tblStylePr>
    <w:tblStylePr w:type="swCell">
      <w:rPr>
        <w:b/>
        <w:bCs/>
      </w:rPr>
    </w:tblStylePr>
  </w:style>
  <w:style w:type="table" w:styleId="Table3Deffects3">
    <w:name w:val="Table 3D effects 3"/>
    <w:basedOn w:val="TableNormal"/>
    <w:semiHidden/>
    <w:rsid w:val="0058629F"/>
    <w:rPr>
      <w:color w:val="auto"/>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rPr>
      <w:color w:val="auto"/>
    </w:rPr>
    <w:tblPr/>
    <w:tcPr>
      <w:tcBorders>
        <w:bottom w:val="single" w:sz="6" w:space="0" w:color="000000"/>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semiHidden/>
    <w:rsid w:val="0058629F"/>
    <w:rPr>
      <w:color w:val="auto"/>
    </w:rPr>
    <w:tbl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semiHidden/>
    <w:rsid w:val="0058629F"/>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semiHidden/>
    <w:rsid w:val="0058629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rPr>
      <w:color w:val="auto"/>
    </w:rPr>
    <w:tblPr/>
    <w:tblStylePr w:type="nwCell">
      <w:rPr>
        <w:b/>
        <w:bCs/>
        <w:color w:val="FFFFFF"/>
      </w:rPr>
    </w:tblStylePr>
  </w:style>
  <w:style w:type="table" w:styleId="TableColumns1">
    <w:name w:val="Table Columns 1"/>
    <w:basedOn w:val="TableNormal"/>
    <w:semiHidden/>
    <w:rsid w:val="0058629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color w:val="auto"/>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color w:val="auto"/>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rsid w:val="0058629F"/>
    <w:rPr>
      <w:color w:val="auto"/>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semiHidden/>
    <w:rsid w:val="0058629F"/>
    <w:rPr>
      <w:color w:val="auto"/>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ontemporary">
    <w:name w:val="Table Contemporary"/>
    <w:basedOn w:val="TableNormal"/>
    <w:semiHidden/>
    <w:rsid w:val="0058629F"/>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rsid w:val="0058629F"/>
    <w:rPr>
      <w:color w:val="auto"/>
    </w:rPr>
    <w:tblPr/>
    <w:tblStylePr w:type="firstRow">
      <w:rPr>
        <w:caps/>
        <w:color w:val="auto"/>
      </w:rPr>
    </w:tblStylePr>
  </w:style>
  <w:style w:type="table" w:styleId="TableGrid1">
    <w:name w:val="Table Grid 1"/>
    <w:basedOn w:val="TableNormal"/>
    <w:semiHidden/>
    <w:rsid w:val="0058629F"/>
    <w:rPr>
      <w:color w:val="auto"/>
    </w:rPr>
    <w:tblPr/>
    <w:tblStylePr w:type="lastRow">
      <w:rPr>
        <w:i/>
        <w:iCs/>
      </w:rPr>
    </w:tblStylePr>
    <w:tblStylePr w:type="lastCol">
      <w:rPr>
        <w:i/>
        <w:iCs/>
      </w:rPr>
    </w:tblStylePr>
  </w:style>
  <w:style w:type="table" w:styleId="TableGrid2">
    <w:name w:val="Table Grid 2"/>
    <w:basedOn w:val="TableNormal"/>
    <w:semiHidden/>
    <w:rsid w:val="0058629F"/>
    <w:rPr>
      <w:color w:val="auto"/>
    </w:rPr>
    <w:tbl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rsid w:val="0058629F"/>
    <w:rPr>
      <w:color w:val="auto"/>
    </w:rPr>
    <w:tblPr/>
    <w:tblStylePr w:type="lastRow">
      <w:rPr>
        <w:b/>
        <w:bCs/>
      </w:rPr>
    </w:tblStylePr>
    <w:tblStylePr w:type="lastCol">
      <w:rPr>
        <w:b/>
        <w:bCs/>
      </w:rPr>
    </w:tblStylePr>
  </w:style>
  <w:style w:type="table" w:styleId="TableGrid4">
    <w:name w:val="Table Grid 4"/>
    <w:basedOn w:val="TableNormal"/>
    <w:semiHidden/>
    <w:rsid w:val="0058629F"/>
    <w:rPr>
      <w:color w:val="auto"/>
    </w:r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semiHidden/>
    <w:rsid w:val="0058629F"/>
    <w:rPr>
      <w:color w:val="auto"/>
    </w:rPr>
    <w:tblPr/>
    <w:tblStylePr w:type="lastRow">
      <w:rPr>
        <w:b/>
        <w:bCs/>
      </w:rPr>
    </w:tblStylePr>
    <w:tblStylePr w:type="lastCol">
      <w:rPr>
        <w:b/>
        <w:bCs/>
      </w:rPr>
    </w:tblStylePr>
  </w:style>
  <w:style w:type="table" w:styleId="TableGrid6">
    <w:name w:val="Table Grid 6"/>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58629F"/>
    <w:pPr>
      <w:spacing w:line="240" w:lineRule="auto"/>
    </w:pPr>
    <w:tblPr/>
  </w:style>
  <w:style w:type="table" w:styleId="TableList1">
    <w:name w:val="Table List 1"/>
    <w:basedOn w:val="TableNormal"/>
    <w:semiHidden/>
    <w:rsid w:val="0058629F"/>
    <w:tbl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TableList2">
    <w:name w:val="Table List 2"/>
    <w:basedOn w:val="TableNormal"/>
    <w:semiHidden/>
    <w:rsid w:val="0058629F"/>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styleId="TableList3">
    <w:name w:val="Table List 3"/>
    <w:basedOn w:val="TableNormal"/>
    <w:semiHidden/>
    <w:rsid w:val="0058629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rPr>
      <w:color w:val="auto"/>
    </w:rPr>
    <w:tblPr/>
    <w:tblStylePr w:type="firstRow">
      <w:rPr>
        <w:b/>
        <w:bCs/>
        <w:color w:val="FFFFFF"/>
      </w:rPr>
    </w:tblStylePr>
  </w:style>
  <w:style w:type="table" w:styleId="TableList5">
    <w:name w:val="Table List 5"/>
    <w:basedOn w:val="TableNormal"/>
    <w:semiHidden/>
    <w:rsid w:val="0058629F"/>
    <w:rPr>
      <w:color w:val="auto"/>
    </w:rPr>
    <w:tblPr/>
    <w:tblStylePr w:type="firstRow">
      <w:rPr>
        <w:b/>
        <w:bCs/>
      </w:rPr>
    </w:tblStylePr>
    <w:tblStylePr w:type="firstCol">
      <w:rPr>
        <w:b/>
        <w:bCs/>
      </w:rPr>
    </w:tblStylePr>
  </w:style>
  <w:style w:type="table" w:styleId="TableList6">
    <w:name w:val="Table List 6"/>
    <w:basedOn w:val="TableNormal"/>
    <w:semiHidden/>
    <w:rsid w:val="0058629F"/>
    <w:rPr>
      <w:color w:val="auto"/>
    </w:rPr>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semiHidden/>
    <w:rsid w:val="0058629F"/>
    <w:tblPr/>
    <w:tblStylePr w:type="firstRow">
      <w:rPr>
        <w:b/>
        <w:b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semiHidden/>
    <w:rsid w:val="0058629F"/>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StylePr w:type="neCell">
      <w:rPr>
        <w:b/>
        <w:bCs/>
      </w:rPr>
    </w:tblStylePr>
    <w:tblStylePr w:type="swCell">
      <w:rPr>
        <w:b/>
        <w:bCs/>
      </w:rPr>
    </w:tblStylePr>
  </w:style>
  <w:style w:type="table" w:styleId="TableTheme">
    <w:name w:val="Table Theme"/>
    <w:basedOn w:val="TableNormal"/>
    <w:semiHidden/>
    <w:rsid w:val="0058629F"/>
    <w:tblPr/>
  </w:style>
  <w:style w:type="table" w:styleId="TableWeb1">
    <w:name w:val="Table Web 1"/>
    <w:basedOn w:val="TableNormal"/>
    <w:semiHidden/>
    <w:rsid w:val="0058629F"/>
    <w:rPr>
      <w:color w:val="auto"/>
    </w:rPr>
    <w:tblPr/>
    <w:tblStylePr w:type="firstRow">
      <w:rPr>
        <w:color w:val="auto"/>
      </w:rPr>
    </w:tblStylePr>
  </w:style>
  <w:style w:type="table" w:styleId="TableWeb2">
    <w:name w:val="Table Web 2"/>
    <w:basedOn w:val="TableNormal"/>
    <w:semiHidden/>
    <w:rsid w:val="0058629F"/>
    <w:rPr>
      <w:color w:val="auto"/>
    </w:rPr>
    <w:tblPr/>
    <w:tblStylePr w:type="firstRow">
      <w:rPr>
        <w:color w:val="auto"/>
      </w:rPr>
    </w:tblStylePr>
  </w:style>
  <w:style w:type="table" w:styleId="TableWeb3">
    <w:name w:val="Table Web 3"/>
    <w:basedOn w:val="TableNormal"/>
    <w:semiHidden/>
    <w:rsid w:val="0058629F"/>
    <w:rPr>
      <w:color w:val="auto"/>
    </w:rPr>
    <w:tblPr/>
    <w:tblStylePr w:type="firstRow">
      <w:rPr>
        <w:color w:val="auto"/>
      </w:rPr>
    </w:tblStylePr>
  </w:style>
  <w:style w:type="paragraph" w:styleId="NoteHeading">
    <w:name w:val="Note Heading"/>
    <w:basedOn w:val="Normal"/>
    <w:next w:val="Normal"/>
    <w:link w:val="NoteHeadingChar"/>
    <w:qFormat/>
    <w:rsid w:val="00811E79"/>
    <w:pPr>
      <w:spacing w:before="100" w:after="100" w:line="220" w:lineRule="atLeast"/>
    </w:pPr>
    <w:rPr>
      <w:sz w:val="16"/>
    </w:rPr>
  </w:style>
  <w:style w:type="character" w:customStyle="1" w:styleId="NoteHeadingChar">
    <w:name w:val="Note Heading Char"/>
    <w:basedOn w:val="DefaultParagraphFont"/>
    <w:link w:val="NoteHeading"/>
    <w:rsid w:val="00811E79"/>
    <w:rPr>
      <w:sz w:val="16"/>
    </w:rPr>
  </w:style>
  <w:style w:type="paragraph" w:styleId="PlainText">
    <w:name w:val="Plain Text"/>
    <w:basedOn w:val="Normal"/>
    <w:link w:val="PlainTextChar"/>
    <w:uiPriority w:val="99"/>
    <w:semiHidden/>
    <w:unhideWhenUsed/>
    <w:rsid w:val="0058629F"/>
    <w:pPr>
      <w:spacing w:line="240" w:lineRule="auto"/>
    </w:pPr>
    <w:rPr>
      <w:rFonts w:ascii="Calibri" w:hAnsi="Calibri"/>
      <w:color w:val="auto"/>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D96685"/>
    <w:rPr>
      <w:sz w:val="16"/>
    </w:rPr>
  </w:style>
  <w:style w:type="character" w:customStyle="1" w:styleId="TOC1Char">
    <w:name w:val="TOC 1 Char"/>
    <w:basedOn w:val="DefaultParagraphFont"/>
    <w:link w:val="TOC1"/>
    <w:uiPriority w:val="39"/>
    <w:rsid w:val="00896146"/>
    <w:rPr>
      <w:rFonts w:eastAsiaTheme="majorEastAsia"/>
      <w:bCs/>
      <w:noProof/>
      <w:sz w:val="24"/>
    </w:rPr>
  </w:style>
  <w:style w:type="paragraph" w:styleId="EndnoteText">
    <w:name w:val="endnote text"/>
    <w:basedOn w:val="Normal"/>
    <w:link w:val="EndnoteTextChar"/>
    <w:semiHidden/>
    <w:unhideWhenUsed/>
    <w:rsid w:val="00D96685"/>
    <w:pPr>
      <w:spacing w:before="40" w:after="0" w:line="220" w:lineRule="atLeast"/>
    </w:pPr>
    <w:rPr>
      <w:sz w:val="16"/>
    </w:rPr>
  </w:style>
  <w:style w:type="paragraph" w:styleId="ListContinue4">
    <w:name w:val="List Continue 4"/>
    <w:basedOn w:val="Normal"/>
    <w:semiHidden/>
    <w:rsid w:val="0058629F"/>
    <w:pPr>
      <w:spacing w:before="100" w:after="100"/>
      <w:ind w:left="1814"/>
    </w:pPr>
  </w:style>
  <w:style w:type="paragraph" w:styleId="ListContinue5">
    <w:name w:val="List Continue 5"/>
    <w:basedOn w:val="Normal"/>
    <w:semiHidden/>
    <w:rsid w:val="0058629F"/>
    <w:pPr>
      <w:spacing w:before="100" w:after="100"/>
      <w:ind w:left="2268"/>
    </w:pPr>
  </w:style>
  <w:style w:type="numbering" w:customStyle="1" w:styleId="LstBullets">
    <w:name w:val="Lst_Bullets"/>
    <w:uiPriority w:val="99"/>
    <w:rsid w:val="00B2011B"/>
    <w:pPr>
      <w:numPr>
        <w:numId w:val="21"/>
      </w:numPr>
    </w:pPr>
  </w:style>
  <w:style w:type="paragraph" w:styleId="List">
    <w:name w:val="List"/>
    <w:basedOn w:val="Normal"/>
    <w:rsid w:val="0011224F"/>
    <w:pPr>
      <w:ind w:left="397" w:hanging="397"/>
    </w:pPr>
  </w:style>
  <w:style w:type="paragraph" w:styleId="List2">
    <w:name w:val="List 2"/>
    <w:basedOn w:val="Normal"/>
    <w:rsid w:val="0011224F"/>
    <w:pPr>
      <w:ind w:left="794" w:hanging="397"/>
    </w:pPr>
  </w:style>
  <w:style w:type="paragraph" w:customStyle="1" w:styleId="DisclaimerTextinFrame12pt">
    <w:name w:val="Disclaimer Text in Frame 12pt"/>
    <w:basedOn w:val="DisclaimerTextinFrame"/>
    <w:uiPriority w:val="31"/>
    <w:rsid w:val="00625F4C"/>
    <w:pPr>
      <w:framePr w:wrap="around"/>
      <w:spacing w:before="190"/>
    </w:pPr>
    <w:rPr>
      <w:sz w:val="24"/>
    </w:rPr>
  </w:style>
  <w:style w:type="character" w:styleId="UnresolvedMention">
    <w:name w:val="Unresolved Mention"/>
    <w:basedOn w:val="DefaultParagraphFont"/>
    <w:uiPriority w:val="99"/>
    <w:semiHidden/>
    <w:unhideWhenUsed/>
    <w:rsid w:val="00625F4C"/>
    <w:rPr>
      <w:color w:val="605E5C"/>
      <w:shd w:val="clear" w:color="auto" w:fill="E1DFDD"/>
    </w:rPr>
  </w:style>
  <w:style w:type="paragraph" w:customStyle="1" w:styleId="Source">
    <w:name w:val="Source"/>
    <w:basedOn w:val="Normal"/>
    <w:next w:val="Normal"/>
    <w:qFormat/>
    <w:rsid w:val="0028513C"/>
    <w:pPr>
      <w:numPr>
        <w:numId w:val="4"/>
      </w:numPr>
      <w:spacing w:before="120" w:after="360" w:line="220" w:lineRule="atLeast"/>
    </w:pPr>
    <w:rPr>
      <w:sz w:val="16"/>
    </w:rPr>
  </w:style>
  <w:style w:type="character" w:customStyle="1" w:styleId="EndnoteTextChar">
    <w:name w:val="Endnote Text Char"/>
    <w:basedOn w:val="DefaultParagraphFont"/>
    <w:link w:val="EndnoteText"/>
    <w:semiHidden/>
    <w:rsid w:val="00D96685"/>
    <w:rPr>
      <w:sz w:val="16"/>
    </w:rPr>
  </w:style>
  <w:style w:type="character" w:styleId="EndnoteReference">
    <w:name w:val="endnote reference"/>
    <w:basedOn w:val="DefaultParagraphFont"/>
    <w:semiHidden/>
    <w:unhideWhenUsed/>
    <w:rsid w:val="00E36C40"/>
    <w:rPr>
      <w:vertAlign w:val="superscript"/>
    </w:rPr>
  </w:style>
  <w:style w:type="paragraph" w:customStyle="1" w:styleId="NotesNumbered">
    <w:name w:val="Notes Numbered"/>
    <w:basedOn w:val="NoteHeading"/>
    <w:qFormat/>
    <w:rsid w:val="00811E79"/>
    <w:pPr>
      <w:numPr>
        <w:numId w:val="3"/>
      </w:numPr>
      <w:contextualSpacing/>
    </w:pPr>
  </w:style>
  <w:style w:type="paragraph" w:customStyle="1" w:styleId="Introduction">
    <w:name w:val="Introduction"/>
    <w:basedOn w:val="Normal"/>
    <w:qFormat/>
    <w:rsid w:val="000115DE"/>
    <w:pPr>
      <w:spacing w:line="320" w:lineRule="atLeast"/>
    </w:pPr>
    <w:rPr>
      <w:sz w:val="26"/>
    </w:rPr>
  </w:style>
  <w:style w:type="paragraph" w:styleId="Quote">
    <w:name w:val="Quote"/>
    <w:basedOn w:val="Normal"/>
    <w:next w:val="Normal"/>
    <w:link w:val="QuoteChar"/>
    <w:rsid w:val="0028513C"/>
    <w:pPr>
      <w:spacing w:before="240" w:after="240" w:line="320" w:lineRule="atLeast"/>
    </w:pPr>
    <w:rPr>
      <w:iCs/>
      <w:color w:val="00855B"/>
      <w:sz w:val="26"/>
    </w:rPr>
  </w:style>
  <w:style w:type="character" w:customStyle="1" w:styleId="QuoteChar">
    <w:name w:val="Quote Char"/>
    <w:basedOn w:val="DefaultParagraphFont"/>
    <w:link w:val="Quote"/>
    <w:rsid w:val="0028513C"/>
    <w:rPr>
      <w:iCs/>
      <w:color w:val="00855B"/>
      <w:sz w:val="26"/>
    </w:rPr>
  </w:style>
  <w:style w:type="table" w:styleId="TableGrid">
    <w:name w:val="Table Grid"/>
    <w:basedOn w:val="TableNormal"/>
    <w:uiPriority w:val="39"/>
    <w:rsid w:val="00397986"/>
    <w:pPr>
      <w:spacing w:before="110" w:after="110"/>
    </w:pPr>
    <w:tblPr/>
    <w:tblStylePr w:type="firstRow">
      <w:rPr>
        <w:b/>
        <w:color w:val="FFFFFF" w:themeColor="background1"/>
      </w:rPr>
    </w:tblStylePr>
  </w:style>
  <w:style w:type="paragraph" w:styleId="ListNumber4">
    <w:name w:val="List Number 4"/>
    <w:basedOn w:val="ListNumber3"/>
    <w:unhideWhenUsed/>
    <w:rsid w:val="00AB6CB2"/>
    <w:pPr>
      <w:ind w:left="2665" w:hanging="964"/>
    </w:pPr>
  </w:style>
  <w:style w:type="paragraph" w:styleId="ListBullet4">
    <w:name w:val="List Bullet 4"/>
    <w:basedOn w:val="ListBullet3"/>
    <w:unhideWhenUsed/>
    <w:rsid w:val="00B30BDC"/>
    <w:pPr>
      <w:contextualSpacing/>
    </w:pPr>
  </w:style>
  <w:style w:type="paragraph" w:styleId="TOC3">
    <w:name w:val="toc 3"/>
    <w:basedOn w:val="Normal"/>
    <w:next w:val="Normal"/>
    <w:autoRedefine/>
    <w:uiPriority w:val="39"/>
    <w:rsid w:val="00A218BB"/>
    <w:pPr>
      <w:tabs>
        <w:tab w:val="right" w:pos="9582"/>
      </w:tabs>
      <w:spacing w:before="240" w:after="240"/>
      <w:ind w:left="142" w:right="567" w:hanging="142"/>
    </w:pPr>
    <w:rPr>
      <w:sz w:val="24"/>
    </w:rPr>
  </w:style>
  <w:style w:type="paragraph" w:styleId="Date">
    <w:name w:val="Date"/>
    <w:basedOn w:val="Normal"/>
    <w:next w:val="Normal"/>
    <w:link w:val="DateChar"/>
    <w:uiPriority w:val="31"/>
    <w:unhideWhenUsed/>
    <w:rsid w:val="0005768A"/>
    <w:pPr>
      <w:spacing w:before="0" w:after="0" w:line="336" w:lineRule="atLeast"/>
    </w:pPr>
    <w:rPr>
      <w:sz w:val="28"/>
    </w:rPr>
  </w:style>
  <w:style w:type="character" w:customStyle="1" w:styleId="DateChar">
    <w:name w:val="Date Char"/>
    <w:basedOn w:val="DefaultParagraphFont"/>
    <w:link w:val="Date"/>
    <w:uiPriority w:val="31"/>
    <w:rsid w:val="000F09E7"/>
    <w:rPr>
      <w:sz w:val="28"/>
    </w:rPr>
  </w:style>
  <w:style w:type="paragraph" w:styleId="List3">
    <w:name w:val="List 3"/>
    <w:basedOn w:val="Normal"/>
    <w:rsid w:val="0011224F"/>
    <w:pPr>
      <w:ind w:left="1191" w:hanging="397"/>
    </w:pPr>
  </w:style>
  <w:style w:type="paragraph" w:customStyle="1" w:styleId="ListAlpha">
    <w:name w:val="List Alpha"/>
    <w:basedOn w:val="Normal"/>
    <w:rsid w:val="0021154B"/>
    <w:pPr>
      <w:ind w:left="397" w:hanging="397"/>
    </w:pPr>
  </w:style>
  <w:style w:type="numbering" w:customStyle="1" w:styleId="LstLegalNumbering">
    <w:name w:val="Lst_LegalNumbering"/>
    <w:uiPriority w:val="99"/>
    <w:rsid w:val="0011224F"/>
    <w:pPr>
      <w:numPr>
        <w:numId w:val="7"/>
      </w:numPr>
    </w:pPr>
  </w:style>
  <w:style w:type="numbering" w:customStyle="1" w:styleId="LstAlpha">
    <w:name w:val="Lst_Alpha"/>
    <w:uiPriority w:val="99"/>
    <w:rsid w:val="0021154B"/>
  </w:style>
  <w:style w:type="numbering" w:customStyle="1" w:styleId="LstHeadings">
    <w:name w:val="Lst_Headings"/>
    <w:uiPriority w:val="99"/>
    <w:rsid w:val="00E72AE2"/>
    <w:pPr>
      <w:numPr>
        <w:numId w:val="8"/>
      </w:numPr>
    </w:pPr>
  </w:style>
  <w:style w:type="paragraph" w:customStyle="1" w:styleId="FooterLineBelow">
    <w:name w:val="Footer Line Below"/>
    <w:basedOn w:val="Footer"/>
    <w:uiPriority w:val="31"/>
    <w:rsid w:val="00026F37"/>
    <w:pPr>
      <w:pBdr>
        <w:bottom w:val="single" w:sz="4" w:space="1" w:color="000000" w:themeColor="text1"/>
      </w:pBdr>
      <w:spacing w:after="180"/>
    </w:pPr>
    <w:rPr>
      <w:bCs/>
      <w:noProof/>
    </w:rPr>
  </w:style>
  <w:style w:type="paragraph" w:styleId="List4">
    <w:name w:val="List 4"/>
    <w:basedOn w:val="Normal"/>
    <w:rsid w:val="0011224F"/>
    <w:pPr>
      <w:ind w:left="1588" w:hanging="397"/>
    </w:pPr>
  </w:style>
  <w:style w:type="paragraph" w:styleId="ListParagraph">
    <w:name w:val="List Paragraph"/>
    <w:basedOn w:val="Normal"/>
    <w:uiPriority w:val="34"/>
    <w:qFormat/>
    <w:rsid w:val="004A3646"/>
    <w:pPr>
      <w:spacing w:before="0"/>
      <w:ind w:left="720"/>
      <w:contextualSpacing/>
    </w:pPr>
    <w:rPr>
      <w:rFonts w:eastAsiaTheme="minorHAnsi" w:cstheme="minorBidi"/>
      <w:color w:val="auto"/>
      <w:kern w:val="2"/>
      <w:sz w:val="22"/>
      <w:szCs w:val="22"/>
      <w:lang w:eastAsia="en-US"/>
      <w14:ligatures w14:val="standardContextual"/>
    </w:rPr>
  </w:style>
  <w:style w:type="table" w:customStyle="1" w:styleId="TableGrid10">
    <w:name w:val="Table Grid1"/>
    <w:basedOn w:val="TableNormal"/>
    <w:next w:val="TableGrid"/>
    <w:rsid w:val="00B36EEA"/>
    <w:pPr>
      <w:spacing w:before="110" w:after="110"/>
    </w:pPr>
    <w:tblPr/>
    <w:tblStylePr w:type="firstRow">
      <w:rPr>
        <w:b/>
        <w:color w:val="FFFFFF" w:themeColor="background1"/>
      </w:rPr>
    </w:tblStylePr>
  </w:style>
  <w:style w:type="paragraph" w:customStyle="1" w:styleId="pf0">
    <w:name w:val="pf0"/>
    <w:basedOn w:val="Normal"/>
    <w:rsid w:val="00532F17"/>
    <w:pPr>
      <w:spacing w:before="100" w:beforeAutospacing="1" w:after="100" w:afterAutospacing="1" w:line="240" w:lineRule="auto"/>
    </w:pPr>
    <w:rPr>
      <w:rFonts w:ascii="Times New Roman" w:hAnsi="Times New Roman"/>
      <w:color w:val="auto"/>
      <w:sz w:val="24"/>
      <w:szCs w:val="24"/>
    </w:rPr>
  </w:style>
  <w:style w:type="character" w:customStyle="1" w:styleId="cf01">
    <w:name w:val="cf01"/>
    <w:basedOn w:val="DefaultParagraphFont"/>
    <w:rsid w:val="00532F17"/>
    <w:rPr>
      <w:rFonts w:ascii="Segoe UI" w:hAnsi="Segoe UI" w:cs="Segoe UI" w:hint="default"/>
      <w:sz w:val="18"/>
      <w:szCs w:val="18"/>
    </w:rPr>
  </w:style>
  <w:style w:type="paragraph" w:customStyle="1" w:styleId="pf1">
    <w:name w:val="pf1"/>
    <w:basedOn w:val="Normal"/>
    <w:rsid w:val="00532F17"/>
    <w:pPr>
      <w:spacing w:before="100" w:beforeAutospacing="1" w:after="100" w:afterAutospacing="1" w:line="240" w:lineRule="auto"/>
    </w:pPr>
    <w:rPr>
      <w:rFonts w:ascii="Times New Roman" w:hAnsi="Times New Roman"/>
      <w:color w:val="auto"/>
      <w:sz w:val="24"/>
      <w:szCs w:val="24"/>
    </w:rPr>
  </w:style>
  <w:style w:type="character" w:customStyle="1" w:styleId="cf11">
    <w:name w:val="cf11"/>
    <w:basedOn w:val="DefaultParagraphFont"/>
    <w:rsid w:val="00532F17"/>
    <w:rPr>
      <w:rFonts w:ascii="Segoe UI" w:hAnsi="Segoe UI" w:cs="Segoe UI" w:hint="default"/>
      <w:sz w:val="18"/>
      <w:szCs w:val="18"/>
    </w:rPr>
  </w:style>
  <w:style w:type="paragraph" w:customStyle="1" w:styleId="BulletLevel1">
    <w:name w:val="Bullet Level 1"/>
    <w:basedOn w:val="Normal"/>
    <w:uiPriority w:val="3"/>
    <w:qFormat/>
    <w:rsid w:val="00B92F67"/>
    <w:pPr>
      <w:spacing w:before="80"/>
      <w:ind w:left="567" w:hanging="283"/>
    </w:pPr>
    <w:rPr>
      <w:rFonts w:eastAsiaTheme="minorEastAsia" w:cstheme="minorBidi"/>
      <w:color w:val="424242"/>
      <w:sz w:val="22"/>
      <w:szCs w:val="22"/>
    </w:rPr>
  </w:style>
  <w:style w:type="paragraph" w:styleId="TableofFigures">
    <w:name w:val="table of figures"/>
    <w:basedOn w:val="Normal"/>
    <w:next w:val="Normal"/>
    <w:uiPriority w:val="99"/>
    <w:unhideWhenUsed/>
    <w:rsid w:val="00D83BC2"/>
    <w:pPr>
      <w:spacing w:after="0"/>
    </w:pPr>
  </w:style>
  <w:style w:type="table" w:customStyle="1" w:styleId="TableGrid20">
    <w:name w:val="Table Grid2"/>
    <w:basedOn w:val="TableNormal"/>
    <w:next w:val="TableGrid"/>
    <w:rsid w:val="00870D20"/>
    <w:pPr>
      <w:spacing w:before="110" w:after="11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FFFFFF" w:themeColor="background1"/>
          <w:tl2br w:val="nil"/>
          <w:tr2bl w:val="nil"/>
        </w:tcBorders>
        <w:shd w:val="clear" w:color="auto" w:fill="001032" w:themeFill="text2"/>
      </w:tcPr>
    </w:tblStylePr>
  </w:style>
  <w:style w:type="character" w:styleId="Mention">
    <w:name w:val="Mention"/>
    <w:basedOn w:val="DefaultParagraphFont"/>
    <w:uiPriority w:val="99"/>
    <w:unhideWhenUsed/>
    <w:rsid w:val="00B1633C"/>
    <w:rPr>
      <w:color w:val="2B579A"/>
      <w:shd w:val="clear" w:color="auto" w:fill="E1DFDD"/>
    </w:rPr>
  </w:style>
  <w:style w:type="paragraph" w:styleId="BodyText">
    <w:name w:val="Body Text"/>
    <w:basedOn w:val="Normal"/>
    <w:link w:val="BodyTextChar"/>
    <w:qFormat/>
    <w:rsid w:val="000074A1"/>
    <w:pPr>
      <w:tabs>
        <w:tab w:val="left" w:pos="357"/>
        <w:tab w:val="left" w:pos="714"/>
        <w:tab w:val="left" w:pos="1072"/>
        <w:tab w:val="left" w:pos="1429"/>
      </w:tabs>
      <w:spacing w:before="120" w:after="120" w:line="276" w:lineRule="auto"/>
    </w:pPr>
    <w:rPr>
      <w:rFonts w:ascii="Arial" w:eastAsiaTheme="minorHAnsi" w:hAnsi="Arial" w:cstheme="minorBidi"/>
      <w:color w:val="auto"/>
      <w:sz w:val="22"/>
      <w:lang w:eastAsia="en-US"/>
    </w:rPr>
  </w:style>
  <w:style w:type="character" w:customStyle="1" w:styleId="BodyTextChar">
    <w:name w:val="Body Text Char"/>
    <w:basedOn w:val="DefaultParagraphFont"/>
    <w:link w:val="BodyText"/>
    <w:rsid w:val="000074A1"/>
    <w:rPr>
      <w:rFonts w:ascii="Arial" w:eastAsiaTheme="minorHAnsi" w:hAnsi="Arial" w:cstheme="minorBidi"/>
      <w:color w:val="auto"/>
      <w:sz w:val="22"/>
      <w:lang w:eastAsia="en-US"/>
    </w:rPr>
  </w:style>
  <w:style w:type="paragraph" w:styleId="NormalWeb">
    <w:name w:val="Normal (Web)"/>
    <w:basedOn w:val="Normal"/>
    <w:uiPriority w:val="99"/>
    <w:semiHidden/>
    <w:unhideWhenUsed/>
    <w:rsid w:val="004D6A4B"/>
    <w:pPr>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6973">
      <w:bodyDiv w:val="1"/>
      <w:marLeft w:val="0"/>
      <w:marRight w:val="0"/>
      <w:marTop w:val="0"/>
      <w:marBottom w:val="0"/>
      <w:divBdr>
        <w:top w:val="none" w:sz="0" w:space="0" w:color="auto"/>
        <w:left w:val="none" w:sz="0" w:space="0" w:color="auto"/>
        <w:bottom w:val="none" w:sz="0" w:space="0" w:color="auto"/>
        <w:right w:val="none" w:sz="0" w:space="0" w:color="auto"/>
      </w:divBdr>
    </w:div>
    <w:div w:id="265116865">
      <w:bodyDiv w:val="1"/>
      <w:marLeft w:val="0"/>
      <w:marRight w:val="0"/>
      <w:marTop w:val="0"/>
      <w:marBottom w:val="0"/>
      <w:divBdr>
        <w:top w:val="none" w:sz="0" w:space="0" w:color="auto"/>
        <w:left w:val="none" w:sz="0" w:space="0" w:color="auto"/>
        <w:bottom w:val="none" w:sz="0" w:space="0" w:color="auto"/>
        <w:right w:val="none" w:sz="0" w:space="0" w:color="auto"/>
      </w:divBdr>
    </w:div>
    <w:div w:id="389424163">
      <w:bodyDiv w:val="1"/>
      <w:marLeft w:val="0"/>
      <w:marRight w:val="0"/>
      <w:marTop w:val="0"/>
      <w:marBottom w:val="0"/>
      <w:divBdr>
        <w:top w:val="none" w:sz="0" w:space="0" w:color="auto"/>
        <w:left w:val="none" w:sz="0" w:space="0" w:color="auto"/>
        <w:bottom w:val="none" w:sz="0" w:space="0" w:color="auto"/>
        <w:right w:val="none" w:sz="0" w:space="0" w:color="auto"/>
      </w:divBdr>
    </w:div>
    <w:div w:id="408309192">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58959494">
      <w:bodyDiv w:val="1"/>
      <w:marLeft w:val="0"/>
      <w:marRight w:val="0"/>
      <w:marTop w:val="0"/>
      <w:marBottom w:val="0"/>
      <w:divBdr>
        <w:top w:val="none" w:sz="0" w:space="0" w:color="auto"/>
        <w:left w:val="none" w:sz="0" w:space="0" w:color="auto"/>
        <w:bottom w:val="none" w:sz="0" w:space="0" w:color="auto"/>
        <w:right w:val="none" w:sz="0" w:space="0" w:color="auto"/>
      </w:divBdr>
    </w:div>
    <w:div w:id="676007521">
      <w:bodyDiv w:val="1"/>
      <w:marLeft w:val="0"/>
      <w:marRight w:val="0"/>
      <w:marTop w:val="0"/>
      <w:marBottom w:val="0"/>
      <w:divBdr>
        <w:top w:val="none" w:sz="0" w:space="0" w:color="auto"/>
        <w:left w:val="none" w:sz="0" w:space="0" w:color="auto"/>
        <w:bottom w:val="none" w:sz="0" w:space="0" w:color="auto"/>
        <w:right w:val="none" w:sz="0" w:space="0" w:color="auto"/>
      </w:divBdr>
    </w:div>
    <w:div w:id="678387271">
      <w:bodyDiv w:val="1"/>
      <w:marLeft w:val="0"/>
      <w:marRight w:val="0"/>
      <w:marTop w:val="0"/>
      <w:marBottom w:val="0"/>
      <w:divBdr>
        <w:top w:val="none" w:sz="0" w:space="0" w:color="auto"/>
        <w:left w:val="none" w:sz="0" w:space="0" w:color="auto"/>
        <w:bottom w:val="none" w:sz="0" w:space="0" w:color="auto"/>
        <w:right w:val="none" w:sz="0" w:space="0" w:color="auto"/>
      </w:divBdr>
    </w:div>
    <w:div w:id="815806075">
      <w:bodyDiv w:val="1"/>
      <w:marLeft w:val="0"/>
      <w:marRight w:val="0"/>
      <w:marTop w:val="0"/>
      <w:marBottom w:val="0"/>
      <w:divBdr>
        <w:top w:val="none" w:sz="0" w:space="0" w:color="auto"/>
        <w:left w:val="none" w:sz="0" w:space="0" w:color="auto"/>
        <w:bottom w:val="none" w:sz="0" w:space="0" w:color="auto"/>
        <w:right w:val="none" w:sz="0" w:space="0" w:color="auto"/>
      </w:divBdr>
    </w:div>
    <w:div w:id="889421092">
      <w:bodyDiv w:val="1"/>
      <w:marLeft w:val="0"/>
      <w:marRight w:val="0"/>
      <w:marTop w:val="0"/>
      <w:marBottom w:val="0"/>
      <w:divBdr>
        <w:top w:val="none" w:sz="0" w:space="0" w:color="auto"/>
        <w:left w:val="none" w:sz="0" w:space="0" w:color="auto"/>
        <w:bottom w:val="none" w:sz="0" w:space="0" w:color="auto"/>
        <w:right w:val="none" w:sz="0" w:space="0" w:color="auto"/>
      </w:divBdr>
    </w:div>
    <w:div w:id="981933010">
      <w:bodyDiv w:val="1"/>
      <w:marLeft w:val="0"/>
      <w:marRight w:val="0"/>
      <w:marTop w:val="0"/>
      <w:marBottom w:val="0"/>
      <w:divBdr>
        <w:top w:val="none" w:sz="0" w:space="0" w:color="auto"/>
        <w:left w:val="none" w:sz="0" w:space="0" w:color="auto"/>
        <w:bottom w:val="none" w:sz="0" w:space="0" w:color="auto"/>
        <w:right w:val="none" w:sz="0" w:space="0" w:color="auto"/>
      </w:divBdr>
    </w:div>
    <w:div w:id="983582073">
      <w:bodyDiv w:val="1"/>
      <w:marLeft w:val="0"/>
      <w:marRight w:val="0"/>
      <w:marTop w:val="0"/>
      <w:marBottom w:val="0"/>
      <w:divBdr>
        <w:top w:val="none" w:sz="0" w:space="0" w:color="auto"/>
        <w:left w:val="none" w:sz="0" w:space="0" w:color="auto"/>
        <w:bottom w:val="none" w:sz="0" w:space="0" w:color="auto"/>
        <w:right w:val="none" w:sz="0" w:space="0" w:color="auto"/>
      </w:divBdr>
    </w:div>
    <w:div w:id="1001079832">
      <w:bodyDiv w:val="1"/>
      <w:marLeft w:val="0"/>
      <w:marRight w:val="0"/>
      <w:marTop w:val="0"/>
      <w:marBottom w:val="0"/>
      <w:divBdr>
        <w:top w:val="none" w:sz="0" w:space="0" w:color="auto"/>
        <w:left w:val="none" w:sz="0" w:space="0" w:color="auto"/>
        <w:bottom w:val="none" w:sz="0" w:space="0" w:color="auto"/>
        <w:right w:val="none" w:sz="0" w:space="0" w:color="auto"/>
      </w:divBdr>
    </w:div>
    <w:div w:id="1074543992">
      <w:bodyDiv w:val="1"/>
      <w:marLeft w:val="0"/>
      <w:marRight w:val="0"/>
      <w:marTop w:val="0"/>
      <w:marBottom w:val="0"/>
      <w:divBdr>
        <w:top w:val="none" w:sz="0" w:space="0" w:color="auto"/>
        <w:left w:val="none" w:sz="0" w:space="0" w:color="auto"/>
        <w:bottom w:val="none" w:sz="0" w:space="0" w:color="auto"/>
        <w:right w:val="none" w:sz="0" w:space="0" w:color="auto"/>
      </w:divBdr>
    </w:div>
    <w:div w:id="1287393673">
      <w:bodyDiv w:val="1"/>
      <w:marLeft w:val="0"/>
      <w:marRight w:val="0"/>
      <w:marTop w:val="0"/>
      <w:marBottom w:val="0"/>
      <w:divBdr>
        <w:top w:val="none" w:sz="0" w:space="0" w:color="auto"/>
        <w:left w:val="none" w:sz="0" w:space="0" w:color="auto"/>
        <w:bottom w:val="none" w:sz="0" w:space="0" w:color="auto"/>
        <w:right w:val="none" w:sz="0" w:space="0" w:color="auto"/>
      </w:divBdr>
    </w:div>
    <w:div w:id="1313098587">
      <w:bodyDiv w:val="1"/>
      <w:marLeft w:val="0"/>
      <w:marRight w:val="0"/>
      <w:marTop w:val="0"/>
      <w:marBottom w:val="0"/>
      <w:divBdr>
        <w:top w:val="none" w:sz="0" w:space="0" w:color="auto"/>
        <w:left w:val="none" w:sz="0" w:space="0" w:color="auto"/>
        <w:bottom w:val="none" w:sz="0" w:space="0" w:color="auto"/>
        <w:right w:val="none" w:sz="0" w:space="0" w:color="auto"/>
      </w:divBdr>
    </w:div>
    <w:div w:id="1318531445">
      <w:bodyDiv w:val="1"/>
      <w:marLeft w:val="0"/>
      <w:marRight w:val="0"/>
      <w:marTop w:val="0"/>
      <w:marBottom w:val="0"/>
      <w:divBdr>
        <w:top w:val="none" w:sz="0" w:space="0" w:color="auto"/>
        <w:left w:val="none" w:sz="0" w:space="0" w:color="auto"/>
        <w:bottom w:val="none" w:sz="0" w:space="0" w:color="auto"/>
        <w:right w:val="none" w:sz="0" w:space="0" w:color="auto"/>
      </w:divBdr>
      <w:divsChild>
        <w:div w:id="126121787">
          <w:marLeft w:val="0"/>
          <w:marRight w:val="0"/>
          <w:marTop w:val="0"/>
          <w:marBottom w:val="0"/>
          <w:divBdr>
            <w:top w:val="none" w:sz="0" w:space="0" w:color="auto"/>
            <w:left w:val="none" w:sz="0" w:space="0" w:color="auto"/>
            <w:bottom w:val="none" w:sz="0" w:space="0" w:color="auto"/>
            <w:right w:val="none" w:sz="0" w:space="0" w:color="auto"/>
          </w:divBdr>
        </w:div>
        <w:div w:id="321782288">
          <w:marLeft w:val="0"/>
          <w:marRight w:val="0"/>
          <w:marTop w:val="0"/>
          <w:marBottom w:val="0"/>
          <w:divBdr>
            <w:top w:val="none" w:sz="0" w:space="0" w:color="auto"/>
            <w:left w:val="none" w:sz="0" w:space="0" w:color="auto"/>
            <w:bottom w:val="none" w:sz="0" w:space="0" w:color="auto"/>
            <w:right w:val="none" w:sz="0" w:space="0" w:color="auto"/>
          </w:divBdr>
        </w:div>
        <w:div w:id="538972454">
          <w:marLeft w:val="0"/>
          <w:marRight w:val="0"/>
          <w:marTop w:val="0"/>
          <w:marBottom w:val="0"/>
          <w:divBdr>
            <w:top w:val="none" w:sz="0" w:space="0" w:color="auto"/>
            <w:left w:val="none" w:sz="0" w:space="0" w:color="auto"/>
            <w:bottom w:val="none" w:sz="0" w:space="0" w:color="auto"/>
            <w:right w:val="none" w:sz="0" w:space="0" w:color="auto"/>
          </w:divBdr>
        </w:div>
        <w:div w:id="679697145">
          <w:marLeft w:val="0"/>
          <w:marRight w:val="0"/>
          <w:marTop w:val="0"/>
          <w:marBottom w:val="0"/>
          <w:divBdr>
            <w:top w:val="none" w:sz="0" w:space="0" w:color="auto"/>
            <w:left w:val="none" w:sz="0" w:space="0" w:color="auto"/>
            <w:bottom w:val="none" w:sz="0" w:space="0" w:color="auto"/>
            <w:right w:val="none" w:sz="0" w:space="0" w:color="auto"/>
          </w:divBdr>
        </w:div>
        <w:div w:id="870921510">
          <w:marLeft w:val="0"/>
          <w:marRight w:val="0"/>
          <w:marTop w:val="0"/>
          <w:marBottom w:val="0"/>
          <w:divBdr>
            <w:top w:val="none" w:sz="0" w:space="0" w:color="auto"/>
            <w:left w:val="none" w:sz="0" w:space="0" w:color="auto"/>
            <w:bottom w:val="none" w:sz="0" w:space="0" w:color="auto"/>
            <w:right w:val="none" w:sz="0" w:space="0" w:color="auto"/>
          </w:divBdr>
        </w:div>
        <w:div w:id="1544098721">
          <w:marLeft w:val="0"/>
          <w:marRight w:val="0"/>
          <w:marTop w:val="0"/>
          <w:marBottom w:val="0"/>
          <w:divBdr>
            <w:top w:val="none" w:sz="0" w:space="0" w:color="auto"/>
            <w:left w:val="none" w:sz="0" w:space="0" w:color="auto"/>
            <w:bottom w:val="none" w:sz="0" w:space="0" w:color="auto"/>
            <w:right w:val="none" w:sz="0" w:space="0" w:color="auto"/>
          </w:divBdr>
        </w:div>
        <w:div w:id="2000425148">
          <w:marLeft w:val="0"/>
          <w:marRight w:val="0"/>
          <w:marTop w:val="0"/>
          <w:marBottom w:val="0"/>
          <w:divBdr>
            <w:top w:val="none" w:sz="0" w:space="0" w:color="auto"/>
            <w:left w:val="none" w:sz="0" w:space="0" w:color="auto"/>
            <w:bottom w:val="none" w:sz="0" w:space="0" w:color="auto"/>
            <w:right w:val="none" w:sz="0" w:space="0" w:color="auto"/>
          </w:divBdr>
        </w:div>
      </w:divsChild>
    </w:div>
    <w:div w:id="1389571602">
      <w:bodyDiv w:val="1"/>
      <w:marLeft w:val="0"/>
      <w:marRight w:val="0"/>
      <w:marTop w:val="0"/>
      <w:marBottom w:val="0"/>
      <w:divBdr>
        <w:top w:val="none" w:sz="0" w:space="0" w:color="auto"/>
        <w:left w:val="none" w:sz="0" w:space="0" w:color="auto"/>
        <w:bottom w:val="none" w:sz="0" w:space="0" w:color="auto"/>
        <w:right w:val="none" w:sz="0" w:space="0" w:color="auto"/>
      </w:divBdr>
    </w:div>
    <w:div w:id="1400520889">
      <w:bodyDiv w:val="1"/>
      <w:marLeft w:val="0"/>
      <w:marRight w:val="0"/>
      <w:marTop w:val="0"/>
      <w:marBottom w:val="0"/>
      <w:divBdr>
        <w:top w:val="none" w:sz="0" w:space="0" w:color="auto"/>
        <w:left w:val="none" w:sz="0" w:space="0" w:color="auto"/>
        <w:bottom w:val="none" w:sz="0" w:space="0" w:color="auto"/>
        <w:right w:val="none" w:sz="0" w:space="0" w:color="auto"/>
      </w:divBdr>
    </w:div>
    <w:div w:id="1443964112">
      <w:bodyDiv w:val="1"/>
      <w:marLeft w:val="0"/>
      <w:marRight w:val="0"/>
      <w:marTop w:val="0"/>
      <w:marBottom w:val="0"/>
      <w:divBdr>
        <w:top w:val="none" w:sz="0" w:space="0" w:color="auto"/>
        <w:left w:val="none" w:sz="0" w:space="0" w:color="auto"/>
        <w:bottom w:val="none" w:sz="0" w:space="0" w:color="auto"/>
        <w:right w:val="none" w:sz="0" w:space="0" w:color="auto"/>
      </w:divBdr>
    </w:div>
    <w:div w:id="1454520815">
      <w:bodyDiv w:val="1"/>
      <w:marLeft w:val="0"/>
      <w:marRight w:val="0"/>
      <w:marTop w:val="0"/>
      <w:marBottom w:val="0"/>
      <w:divBdr>
        <w:top w:val="none" w:sz="0" w:space="0" w:color="auto"/>
        <w:left w:val="none" w:sz="0" w:space="0" w:color="auto"/>
        <w:bottom w:val="none" w:sz="0" w:space="0" w:color="auto"/>
        <w:right w:val="none" w:sz="0" w:space="0" w:color="auto"/>
      </w:divBdr>
    </w:div>
    <w:div w:id="1591617101">
      <w:bodyDiv w:val="1"/>
      <w:marLeft w:val="0"/>
      <w:marRight w:val="0"/>
      <w:marTop w:val="0"/>
      <w:marBottom w:val="0"/>
      <w:divBdr>
        <w:top w:val="none" w:sz="0" w:space="0" w:color="auto"/>
        <w:left w:val="none" w:sz="0" w:space="0" w:color="auto"/>
        <w:bottom w:val="none" w:sz="0" w:space="0" w:color="auto"/>
        <w:right w:val="none" w:sz="0" w:space="0" w:color="auto"/>
      </w:divBdr>
    </w:div>
    <w:div w:id="1619608813">
      <w:bodyDiv w:val="1"/>
      <w:marLeft w:val="0"/>
      <w:marRight w:val="0"/>
      <w:marTop w:val="0"/>
      <w:marBottom w:val="0"/>
      <w:divBdr>
        <w:top w:val="none" w:sz="0" w:space="0" w:color="auto"/>
        <w:left w:val="none" w:sz="0" w:space="0" w:color="auto"/>
        <w:bottom w:val="none" w:sz="0" w:space="0" w:color="auto"/>
        <w:right w:val="none" w:sz="0" w:space="0" w:color="auto"/>
      </w:divBdr>
    </w:div>
    <w:div w:id="1683316267">
      <w:bodyDiv w:val="1"/>
      <w:marLeft w:val="0"/>
      <w:marRight w:val="0"/>
      <w:marTop w:val="0"/>
      <w:marBottom w:val="0"/>
      <w:divBdr>
        <w:top w:val="none" w:sz="0" w:space="0" w:color="auto"/>
        <w:left w:val="none" w:sz="0" w:space="0" w:color="auto"/>
        <w:bottom w:val="none" w:sz="0" w:space="0" w:color="auto"/>
        <w:right w:val="none" w:sz="0" w:space="0" w:color="auto"/>
      </w:divBdr>
    </w:div>
    <w:div w:id="1736777256">
      <w:bodyDiv w:val="1"/>
      <w:marLeft w:val="0"/>
      <w:marRight w:val="0"/>
      <w:marTop w:val="0"/>
      <w:marBottom w:val="0"/>
      <w:divBdr>
        <w:top w:val="none" w:sz="0" w:space="0" w:color="auto"/>
        <w:left w:val="none" w:sz="0" w:space="0" w:color="auto"/>
        <w:bottom w:val="none" w:sz="0" w:space="0" w:color="auto"/>
        <w:right w:val="none" w:sz="0" w:space="0" w:color="auto"/>
      </w:divBdr>
    </w:div>
    <w:div w:id="1742287287">
      <w:bodyDiv w:val="1"/>
      <w:marLeft w:val="0"/>
      <w:marRight w:val="0"/>
      <w:marTop w:val="0"/>
      <w:marBottom w:val="0"/>
      <w:divBdr>
        <w:top w:val="none" w:sz="0" w:space="0" w:color="auto"/>
        <w:left w:val="none" w:sz="0" w:space="0" w:color="auto"/>
        <w:bottom w:val="none" w:sz="0" w:space="0" w:color="auto"/>
        <w:right w:val="none" w:sz="0" w:space="0" w:color="auto"/>
      </w:divBdr>
    </w:div>
    <w:div w:id="1756854788">
      <w:bodyDiv w:val="1"/>
      <w:marLeft w:val="0"/>
      <w:marRight w:val="0"/>
      <w:marTop w:val="0"/>
      <w:marBottom w:val="0"/>
      <w:divBdr>
        <w:top w:val="none" w:sz="0" w:space="0" w:color="auto"/>
        <w:left w:val="none" w:sz="0" w:space="0" w:color="auto"/>
        <w:bottom w:val="none" w:sz="0" w:space="0" w:color="auto"/>
        <w:right w:val="none" w:sz="0" w:space="0" w:color="auto"/>
      </w:divBdr>
    </w:div>
    <w:div w:id="1788308354">
      <w:bodyDiv w:val="1"/>
      <w:marLeft w:val="0"/>
      <w:marRight w:val="0"/>
      <w:marTop w:val="0"/>
      <w:marBottom w:val="0"/>
      <w:divBdr>
        <w:top w:val="none" w:sz="0" w:space="0" w:color="auto"/>
        <w:left w:val="none" w:sz="0" w:space="0" w:color="auto"/>
        <w:bottom w:val="none" w:sz="0" w:space="0" w:color="auto"/>
        <w:right w:val="none" w:sz="0" w:space="0" w:color="auto"/>
      </w:divBdr>
      <w:divsChild>
        <w:div w:id="65037793">
          <w:marLeft w:val="0"/>
          <w:marRight w:val="0"/>
          <w:marTop w:val="0"/>
          <w:marBottom w:val="0"/>
          <w:divBdr>
            <w:top w:val="none" w:sz="0" w:space="0" w:color="auto"/>
            <w:left w:val="none" w:sz="0" w:space="0" w:color="auto"/>
            <w:bottom w:val="none" w:sz="0" w:space="0" w:color="auto"/>
            <w:right w:val="none" w:sz="0" w:space="0" w:color="auto"/>
          </w:divBdr>
        </w:div>
        <w:div w:id="220213136">
          <w:marLeft w:val="0"/>
          <w:marRight w:val="0"/>
          <w:marTop w:val="0"/>
          <w:marBottom w:val="0"/>
          <w:divBdr>
            <w:top w:val="none" w:sz="0" w:space="0" w:color="auto"/>
            <w:left w:val="none" w:sz="0" w:space="0" w:color="auto"/>
            <w:bottom w:val="none" w:sz="0" w:space="0" w:color="auto"/>
            <w:right w:val="none" w:sz="0" w:space="0" w:color="auto"/>
          </w:divBdr>
        </w:div>
        <w:div w:id="236474183">
          <w:marLeft w:val="0"/>
          <w:marRight w:val="0"/>
          <w:marTop w:val="0"/>
          <w:marBottom w:val="0"/>
          <w:divBdr>
            <w:top w:val="none" w:sz="0" w:space="0" w:color="auto"/>
            <w:left w:val="none" w:sz="0" w:space="0" w:color="auto"/>
            <w:bottom w:val="none" w:sz="0" w:space="0" w:color="auto"/>
            <w:right w:val="none" w:sz="0" w:space="0" w:color="auto"/>
          </w:divBdr>
        </w:div>
        <w:div w:id="494146166">
          <w:marLeft w:val="0"/>
          <w:marRight w:val="0"/>
          <w:marTop w:val="0"/>
          <w:marBottom w:val="0"/>
          <w:divBdr>
            <w:top w:val="none" w:sz="0" w:space="0" w:color="auto"/>
            <w:left w:val="none" w:sz="0" w:space="0" w:color="auto"/>
            <w:bottom w:val="none" w:sz="0" w:space="0" w:color="auto"/>
            <w:right w:val="none" w:sz="0" w:space="0" w:color="auto"/>
          </w:divBdr>
        </w:div>
        <w:div w:id="984165498">
          <w:marLeft w:val="0"/>
          <w:marRight w:val="0"/>
          <w:marTop w:val="0"/>
          <w:marBottom w:val="0"/>
          <w:divBdr>
            <w:top w:val="none" w:sz="0" w:space="0" w:color="auto"/>
            <w:left w:val="none" w:sz="0" w:space="0" w:color="auto"/>
            <w:bottom w:val="none" w:sz="0" w:space="0" w:color="auto"/>
            <w:right w:val="none" w:sz="0" w:space="0" w:color="auto"/>
          </w:divBdr>
        </w:div>
        <w:div w:id="1045301236">
          <w:marLeft w:val="0"/>
          <w:marRight w:val="0"/>
          <w:marTop w:val="0"/>
          <w:marBottom w:val="0"/>
          <w:divBdr>
            <w:top w:val="none" w:sz="0" w:space="0" w:color="auto"/>
            <w:left w:val="none" w:sz="0" w:space="0" w:color="auto"/>
            <w:bottom w:val="none" w:sz="0" w:space="0" w:color="auto"/>
            <w:right w:val="none" w:sz="0" w:space="0" w:color="auto"/>
          </w:divBdr>
        </w:div>
        <w:div w:id="1714186328">
          <w:marLeft w:val="0"/>
          <w:marRight w:val="0"/>
          <w:marTop w:val="0"/>
          <w:marBottom w:val="0"/>
          <w:divBdr>
            <w:top w:val="none" w:sz="0" w:space="0" w:color="auto"/>
            <w:left w:val="none" w:sz="0" w:space="0" w:color="auto"/>
            <w:bottom w:val="none" w:sz="0" w:space="0" w:color="auto"/>
            <w:right w:val="none" w:sz="0" w:space="0" w:color="auto"/>
          </w:divBdr>
        </w:div>
      </w:divsChild>
    </w:div>
    <w:div w:id="1838157108">
      <w:bodyDiv w:val="1"/>
      <w:marLeft w:val="0"/>
      <w:marRight w:val="0"/>
      <w:marTop w:val="0"/>
      <w:marBottom w:val="0"/>
      <w:divBdr>
        <w:top w:val="none" w:sz="0" w:space="0" w:color="auto"/>
        <w:left w:val="none" w:sz="0" w:space="0" w:color="auto"/>
        <w:bottom w:val="none" w:sz="0" w:space="0" w:color="auto"/>
        <w:right w:val="none" w:sz="0" w:space="0" w:color="auto"/>
      </w:divBdr>
    </w:div>
    <w:div w:id="1871870346">
      <w:bodyDiv w:val="1"/>
      <w:marLeft w:val="0"/>
      <w:marRight w:val="0"/>
      <w:marTop w:val="0"/>
      <w:marBottom w:val="0"/>
      <w:divBdr>
        <w:top w:val="none" w:sz="0" w:space="0" w:color="auto"/>
        <w:left w:val="none" w:sz="0" w:space="0" w:color="auto"/>
        <w:bottom w:val="none" w:sz="0" w:space="0" w:color="auto"/>
        <w:right w:val="none" w:sz="0" w:space="0" w:color="auto"/>
      </w:divBdr>
    </w:div>
    <w:div w:id="1912614763">
      <w:bodyDiv w:val="1"/>
      <w:marLeft w:val="0"/>
      <w:marRight w:val="0"/>
      <w:marTop w:val="0"/>
      <w:marBottom w:val="0"/>
      <w:divBdr>
        <w:top w:val="none" w:sz="0" w:space="0" w:color="auto"/>
        <w:left w:val="none" w:sz="0" w:space="0" w:color="auto"/>
        <w:bottom w:val="none" w:sz="0" w:space="0" w:color="auto"/>
        <w:right w:val="none" w:sz="0" w:space="0" w:color="auto"/>
      </w:divBdr>
    </w:div>
    <w:div w:id="1913466103">
      <w:bodyDiv w:val="1"/>
      <w:marLeft w:val="0"/>
      <w:marRight w:val="0"/>
      <w:marTop w:val="0"/>
      <w:marBottom w:val="0"/>
      <w:divBdr>
        <w:top w:val="none" w:sz="0" w:space="0" w:color="auto"/>
        <w:left w:val="none" w:sz="0" w:space="0" w:color="auto"/>
        <w:bottom w:val="none" w:sz="0" w:space="0" w:color="auto"/>
        <w:right w:val="none" w:sz="0" w:space="0" w:color="auto"/>
      </w:divBdr>
    </w:div>
    <w:div w:id="1957830604">
      <w:bodyDiv w:val="1"/>
      <w:marLeft w:val="0"/>
      <w:marRight w:val="0"/>
      <w:marTop w:val="0"/>
      <w:marBottom w:val="0"/>
      <w:divBdr>
        <w:top w:val="none" w:sz="0" w:space="0" w:color="auto"/>
        <w:left w:val="none" w:sz="0" w:space="0" w:color="auto"/>
        <w:bottom w:val="none" w:sz="0" w:space="0" w:color="auto"/>
        <w:right w:val="none" w:sz="0" w:space="0" w:color="auto"/>
      </w:divBdr>
      <w:divsChild>
        <w:div w:id="460684862">
          <w:marLeft w:val="0"/>
          <w:marRight w:val="0"/>
          <w:marTop w:val="0"/>
          <w:marBottom w:val="0"/>
          <w:divBdr>
            <w:top w:val="none" w:sz="0" w:space="0" w:color="auto"/>
            <w:left w:val="none" w:sz="0" w:space="0" w:color="auto"/>
            <w:bottom w:val="none" w:sz="0" w:space="0" w:color="auto"/>
            <w:right w:val="none" w:sz="0" w:space="0" w:color="auto"/>
          </w:divBdr>
        </w:div>
        <w:div w:id="1305432970">
          <w:marLeft w:val="0"/>
          <w:marRight w:val="0"/>
          <w:marTop w:val="0"/>
          <w:marBottom w:val="0"/>
          <w:divBdr>
            <w:top w:val="none" w:sz="0" w:space="0" w:color="auto"/>
            <w:left w:val="none" w:sz="0" w:space="0" w:color="auto"/>
            <w:bottom w:val="none" w:sz="0" w:space="0" w:color="auto"/>
            <w:right w:val="none" w:sz="0" w:space="0" w:color="auto"/>
          </w:divBdr>
        </w:div>
        <w:div w:id="1794447396">
          <w:marLeft w:val="0"/>
          <w:marRight w:val="0"/>
          <w:marTop w:val="0"/>
          <w:marBottom w:val="0"/>
          <w:divBdr>
            <w:top w:val="none" w:sz="0" w:space="0" w:color="auto"/>
            <w:left w:val="none" w:sz="0" w:space="0" w:color="auto"/>
            <w:bottom w:val="none" w:sz="0" w:space="0" w:color="auto"/>
            <w:right w:val="none" w:sz="0" w:space="0" w:color="auto"/>
          </w:divBdr>
        </w:div>
      </w:divsChild>
    </w:div>
    <w:div w:id="1972859095">
      <w:bodyDiv w:val="1"/>
      <w:marLeft w:val="0"/>
      <w:marRight w:val="0"/>
      <w:marTop w:val="0"/>
      <w:marBottom w:val="0"/>
      <w:divBdr>
        <w:top w:val="none" w:sz="0" w:space="0" w:color="auto"/>
        <w:left w:val="none" w:sz="0" w:space="0" w:color="auto"/>
        <w:bottom w:val="none" w:sz="0" w:space="0" w:color="auto"/>
        <w:right w:val="none" w:sz="0" w:space="0" w:color="auto"/>
      </w:divBdr>
    </w:div>
    <w:div w:id="2003459340">
      <w:bodyDiv w:val="1"/>
      <w:marLeft w:val="0"/>
      <w:marRight w:val="0"/>
      <w:marTop w:val="0"/>
      <w:marBottom w:val="0"/>
      <w:divBdr>
        <w:top w:val="none" w:sz="0" w:space="0" w:color="auto"/>
        <w:left w:val="none" w:sz="0" w:space="0" w:color="auto"/>
        <w:bottom w:val="none" w:sz="0" w:space="0" w:color="auto"/>
        <w:right w:val="none" w:sz="0" w:space="0" w:color="auto"/>
      </w:divBdr>
    </w:div>
    <w:div w:id="203418825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120634739">
      <w:bodyDiv w:val="1"/>
      <w:marLeft w:val="0"/>
      <w:marRight w:val="0"/>
      <w:marTop w:val="0"/>
      <w:marBottom w:val="0"/>
      <w:divBdr>
        <w:top w:val="none" w:sz="0" w:space="0" w:color="auto"/>
        <w:left w:val="none" w:sz="0" w:space="0" w:color="auto"/>
        <w:bottom w:val="none" w:sz="0" w:space="0" w:color="auto"/>
        <w:right w:val="none" w:sz="0" w:space="0" w:color="auto"/>
      </w:divBdr>
      <w:divsChild>
        <w:div w:id="368141126">
          <w:marLeft w:val="0"/>
          <w:marRight w:val="0"/>
          <w:marTop w:val="0"/>
          <w:marBottom w:val="0"/>
          <w:divBdr>
            <w:top w:val="none" w:sz="0" w:space="0" w:color="auto"/>
            <w:left w:val="none" w:sz="0" w:space="0" w:color="auto"/>
            <w:bottom w:val="none" w:sz="0" w:space="0" w:color="auto"/>
            <w:right w:val="none" w:sz="0" w:space="0" w:color="auto"/>
          </w:divBdr>
        </w:div>
        <w:div w:id="555699170">
          <w:marLeft w:val="0"/>
          <w:marRight w:val="0"/>
          <w:marTop w:val="0"/>
          <w:marBottom w:val="0"/>
          <w:divBdr>
            <w:top w:val="none" w:sz="0" w:space="0" w:color="auto"/>
            <w:left w:val="none" w:sz="0" w:space="0" w:color="auto"/>
            <w:bottom w:val="none" w:sz="0" w:space="0" w:color="auto"/>
            <w:right w:val="none" w:sz="0" w:space="0" w:color="auto"/>
          </w:divBdr>
        </w:div>
        <w:div w:id="692657761">
          <w:marLeft w:val="0"/>
          <w:marRight w:val="0"/>
          <w:marTop w:val="0"/>
          <w:marBottom w:val="0"/>
          <w:divBdr>
            <w:top w:val="none" w:sz="0" w:space="0" w:color="auto"/>
            <w:left w:val="none" w:sz="0" w:space="0" w:color="auto"/>
            <w:bottom w:val="none" w:sz="0" w:space="0" w:color="auto"/>
            <w:right w:val="none" w:sz="0" w:space="0" w:color="auto"/>
          </w:divBdr>
        </w:div>
      </w:divsChild>
    </w:div>
    <w:div w:id="212464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arlinfo.aph.gov.au/parlInfo/download/committees/reportrep/RB000170/toc_pdf/Sharedvision,equalpathways.pdf" TargetMode="External"/><Relationship Id="rId21" Type="http://schemas.openxmlformats.org/officeDocument/2006/relationships/image" Target="media/image6.png"/><Relationship Id="rId42" Type="http://schemas.openxmlformats.org/officeDocument/2006/relationships/hyperlink" Target="https://doi.org/10.1080/07294360.2023.2287722" TargetMode="External"/><Relationship Id="rId63" Type="http://schemas.openxmlformats.org/officeDocument/2006/relationships/hyperlink" Target="http://dx.doi.org/10.1080/01596306.2016.1173650" TargetMode="External"/><Relationship Id="rId84" Type="http://schemas.openxmlformats.org/officeDocument/2006/relationships/hyperlink" Target="https://www.jobsandskills.gov.au/download/19660/regional-rural-and-remote-australia-jobs-and-skills-roadmap/2752/regional-rural-and-remote-jobs-and-skills-interim-roadmap/pdf" TargetMode="External"/><Relationship Id="rId138" Type="http://schemas.openxmlformats.org/officeDocument/2006/relationships/hyperlink" Target="https://www.acses.edu.au/app/uploads/2019/08/Tomaszewski_UQ_Final_Accessible_9_8.pdf" TargetMode="External"/><Relationship Id="rId107" Type="http://schemas.openxmlformats.org/officeDocument/2006/relationships/hyperlink" Target="https://grattan.edu.au/report/risks-and-rewards-when-is-vocational-education-a-good-alternative-to-higher-education/" TargetMode="External"/><Relationship Id="rId11" Type="http://schemas.openxmlformats.org/officeDocument/2006/relationships/endnotes" Target="endnotes.xml"/><Relationship Id="rId32" Type="http://schemas.openxmlformats.org/officeDocument/2006/relationships/hyperlink" Target="https://www.asqa.gov.au/for-students/credit-transfer-and-recognition-prior-learning" TargetMode="External"/><Relationship Id="rId53" Type="http://schemas.openxmlformats.org/officeDocument/2006/relationships/hyperlink" Target="https://www.dewr.gov.au/download/16795/strategic-review-australian-apprenticeship-incentive-system-final-report/39422/strategic-review-australian-apprenticeship-incentive-system-final-report/pdf" TargetMode="External"/><Relationship Id="rId74" Type="http://schemas.openxmlformats.org/officeDocument/2006/relationships/hyperlink" Target="https://www.ncver.edu.au/__data/assets/pdf_file/0045/9669753/The-best-of-both-worlds-Integrating-VET-and-higher-educationsupport-document.pdf" TargetMode="External"/><Relationship Id="rId128" Type="http://schemas.openxmlformats.org/officeDocument/2006/relationships/hyperlink" Target="https://www.education.gov.au/recurrent-funding-schools/resources/looking-future-report-review-senior-secondary-pathways-work-further-education-and-training" TargetMode="External"/><Relationship Id="rId149" Type="http://schemas.openxmlformats.org/officeDocument/2006/relationships/hyperlink" Target="https://opus.lib.uts.edu.au/bitstream/10453/178429/2/IJWIL_24_1_99_115.pdf" TargetMode="External"/><Relationship Id="rId5" Type="http://schemas.openxmlformats.org/officeDocument/2006/relationships/customXml" Target="../customXml/item5.xml"/><Relationship Id="rId95" Type="http://schemas.openxmlformats.org/officeDocument/2006/relationships/hyperlink" Target="https://figshare.utas.edu.au/articles/conference_contribution/VET_pathways_in_Tasmania_collaborating_for_successful_participation/23091215?file=40817843" TargetMode="External"/><Relationship Id="rId22" Type="http://schemas.openxmlformats.org/officeDocument/2006/relationships/image" Target="media/image7.jpeg"/><Relationship Id="rId27" Type="http://schemas.openxmlformats.org/officeDocument/2006/relationships/hyperlink" Target="https://www.abs.gov.au/articles/education-australia-abc-bs-and-cs" TargetMode="External"/><Relationship Id="rId43" Type="http://schemas.openxmlformats.org/officeDocument/2006/relationships/hyperlink" Target="https://www.ncver.edu.au/__data/assets/pdf_file/0024/1142628/In-their-words-student-choice-in-training-markets-victorian-examples.pdf" TargetMode="External"/><Relationship Id="rId48" Type="http://schemas.openxmlformats.org/officeDocument/2006/relationships/hyperlink" Target="https://www.suttontrust.com/wp-content/uploads/2020/05/Degree-Apprenticeships-Levelling-Up.pdf" TargetMode="External"/><Relationship Id="rId64" Type="http://schemas.openxmlformats.org/officeDocument/2006/relationships/hyperlink" Target="https://www.flinders.edu.au/study/pathways/tafevet-to-uni/dual-offers" TargetMode="External"/><Relationship Id="rId69" Type="http://schemas.openxmlformats.org/officeDocument/2006/relationships/hyperlink" Target="https://www.ncver.edu.au/__data/assets/pdf_file/0024/1142691/Choosing-VET-aspirations-intentions-and-choice.pdf" TargetMode="External"/><Relationship Id="rId113" Type="http://schemas.openxmlformats.org/officeDocument/2006/relationships/hyperlink" Target="https://doi.org/10.1787/00435b80-en" TargetMode="External"/><Relationship Id="rId118" Type="http://schemas.openxmlformats.org/officeDocument/2006/relationships/hyperlink" Target="https://www.parliament.vic.gov.au/495e78/contentassets/2e98e3d2f9724ed7bda53c71ef1fc4fa/laeic-59-02-access-to-tafe_learners-with-disability.pdf" TargetMode="External"/><Relationship Id="rId134" Type="http://schemas.openxmlformats.org/officeDocument/2006/relationships/hyperlink" Target="https://doi.org/10.1111/imig.13030" TargetMode="External"/><Relationship Id="rId139" Type="http://schemas.openxmlformats.org/officeDocument/2006/relationships/hyperlink" Target="https://doi.org/10.1007/978-3-031-12224-8_7" TargetMode="External"/><Relationship Id="rId80" Type="http://schemas.openxmlformats.org/officeDocument/2006/relationships/hyperlink" Target="https://research.ebsco.com/linkprocessor/v2-external?opid=djjwud&amp;recordId=zi4cbjmv2n&amp;url=https%3A%2F%2Fsearch.informit.org%2Fdoi%2F10.3316%2Faeipt.228987" TargetMode="External"/><Relationship Id="rId85" Type="http://schemas.openxmlformats.org/officeDocument/2006/relationships/hyperlink" Target="https://www.jobsandskills.gov.au/studies/vet-workforce-study" TargetMode="External"/><Relationship Id="rId150" Type="http://schemas.openxmlformats.org/officeDocument/2006/relationships/hyperlink" Target="https://www.ncver.edu.au/__data/assets/pdf_file/0030/9674400/VET-and-higher-education-pathways-do-outcomes-differ-for-the-same-occupation.pdf" TargetMode="External"/><Relationship Id="rId12" Type="http://schemas.openxmlformats.org/officeDocument/2006/relationships/image" Target="media/image1.png"/><Relationship Id="rId17" Type="http://schemas.openxmlformats.org/officeDocument/2006/relationships/hyperlink" Target="https://creativecommons.org/licenses/by/4.0/)" TargetMode="External"/><Relationship Id="rId33" Type="http://schemas.openxmlformats.org/officeDocument/2006/relationships/hyperlink" Target="https://www.asqa.gov.au/about-us/how-we-regulate/risk-priorities/risk-priority-recognition-of-prior-learning" TargetMode="External"/><Relationship Id="rId38" Type="http://schemas.openxmlformats.org/officeDocument/2006/relationships/hyperlink" Target="https://doi.org/10.1016/j.ijer.2025.102560" TargetMode="External"/><Relationship Id="rId59" Type="http://schemas.openxmlformats.org/officeDocument/2006/relationships/hyperlink" Target="https://www.dewr.gov.au/vet-qualification-reform" TargetMode="External"/><Relationship Id="rId103" Type="http://schemas.openxmlformats.org/officeDocument/2006/relationships/hyperlink" Target="https://www.ncver.edu.au/research-and-statistics/data/databuilder" TargetMode="External"/><Relationship Id="rId108" Type="http://schemas.openxmlformats.org/officeDocument/2006/relationships/hyperlink" Target="https://education.nsw.gov.au/content/dam/main-education/about-us/strategies-and-reports/nsw-skills-plan/NSW_Skills_Plan_report.pdf" TargetMode="External"/><Relationship Id="rId124" Type="http://schemas.openxmlformats.org/officeDocument/2006/relationships/hyperlink" Target="https://doi.org/10.53761/bys3aj56" TargetMode="External"/><Relationship Id="rId129" Type="http://schemas.openxmlformats.org/officeDocument/2006/relationships/hyperlink" Target="https://www.acses.edu.au/app/uploads/2017/09/08Smith_Report_FINAL.pdf" TargetMode="External"/><Relationship Id="rId54" Type="http://schemas.openxmlformats.org/officeDocument/2006/relationships/hyperlink" Target="https://www.dewr.gov.au/download/16296/strategic-review-australian-apprenticeships-incentive-system-background-paper/37296/strategic-review-australian-apprenticeships-incentive-system-background-paper/pdf" TargetMode="External"/><Relationship Id="rId70" Type="http://schemas.openxmlformats.org/officeDocument/2006/relationships/hyperlink" Target="https://eric.ed.gov/?id=EJ864790" TargetMode="External"/><Relationship Id="rId75" Type="http://schemas.openxmlformats.org/officeDocument/2006/relationships/hyperlink" Target="https://www.voced.edu.au/content/ngv%3A92337" TargetMode="External"/><Relationship Id="rId91" Type="http://schemas.openxmlformats.org/officeDocument/2006/relationships/hyperlink" Target="https://www.jobsandskills.gov.au/data/vet-national-data-asset" TargetMode="External"/><Relationship Id="rId96" Type="http://schemas.openxmlformats.org/officeDocument/2006/relationships/hyperlink" Target="https://www.tandfonline.com/doi/full/10.1080/1360080X.2023.2180163" TargetMode="External"/><Relationship Id="rId140" Type="http://schemas.openxmlformats.org/officeDocument/2006/relationships/hyperlink" Target="https://www.unisa.edu.au/media-centre/Releases/2024/all-systems-go-for-australias-first-software-degree-apprentices/" TargetMode="External"/><Relationship Id="rId145" Type="http://schemas.openxmlformats.org/officeDocument/2006/relationships/hyperlink" Target="https://www.ncver.edu.au/__data/assets/file/0013/7321/half-open-door-2659.pdf"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8.png"/><Relationship Id="rId28" Type="http://schemas.openxmlformats.org/officeDocument/2006/relationships/hyperlink" Target="https://www.abs.gov.au/statistics/people/education/education-and-work-australia/latest-release" TargetMode="External"/><Relationship Id="rId49" Type="http://schemas.openxmlformats.org/officeDocument/2006/relationships/hyperlink" Target="https://doi.org/10.1080/07294360.2019.1705255" TargetMode="External"/><Relationship Id="rId114" Type="http://schemas.openxmlformats.org/officeDocument/2006/relationships/hyperlink" Target="https://www.ncver.edu.au/__data/assets/pdf_file/0040/9660766/Exploring_the_recognition_of_prior_learning_in_Australian_VET.pdf" TargetMode="External"/><Relationship Id="rId119" Type="http://schemas.openxmlformats.org/officeDocument/2006/relationships/hyperlink" Target="https://www.pc.gov.au/inquiries/completed/productivity/report/productivity-volume8-education-skills.pdf" TargetMode="External"/><Relationship Id="rId44" Type="http://schemas.openxmlformats.org/officeDocument/2006/relationships/hyperlink" Target="https://doi.org/10.1177/07417136231211579" TargetMode="External"/><Relationship Id="rId60" Type="http://schemas.openxmlformats.org/officeDocument/2006/relationships/hyperlink" Target="https://www.education.gov.au/quality-and-legislative-frameworks/resources/review-australian-qualifications-framework-final-report-2019" TargetMode="External"/><Relationship Id="rId65" Type="http://schemas.openxmlformats.org/officeDocument/2006/relationships/hyperlink" Target="https://www.ncver.edu.au/__data/assets/pdf_file/0027/158706/Boundaries_-and-_connections_between_VET_-and-_higher_ed_sectors.pdf" TargetMode="External"/><Relationship Id="rId81" Type="http://schemas.openxmlformats.org/officeDocument/2006/relationships/hyperlink" Target="https://www.jobsandskills.gov.au/publications/VET-Student-Outcomes-top-100-courses" TargetMode="External"/><Relationship Id="rId86" Type="http://schemas.openxmlformats.org/officeDocument/2006/relationships/hyperlink" Target="https://www.jobsandskills.gov.au/data/employment-projections" TargetMode="External"/><Relationship Id="rId130" Type="http://schemas.openxmlformats.org/officeDocument/2006/relationships/hyperlink" Target="https://skillscommission.sa.gov.au/careers-and-pathways/higher-education-apprenticeships-and-traineeships" TargetMode="External"/><Relationship Id="rId135" Type="http://schemas.openxmlformats.org/officeDocument/2006/relationships/hyperlink" Target="https://www.tafensw.edu.au/course-areas/study-and-career-pathways/courses/certificate-iv-in-tertiary-preparation--11225NAT-01" TargetMode="External"/><Relationship Id="rId151" Type="http://schemas.openxmlformats.org/officeDocument/2006/relationships/fontTable" Target="fontTable.xml"/><Relationship Id="rId13" Type="http://schemas.openxmlformats.org/officeDocument/2006/relationships/image" Target="media/image2.png"/><Relationship Id="rId18" Type="http://schemas.openxmlformats.org/officeDocument/2006/relationships/hyperlink" Target="https://creativecommons.org/licenses/by/4.0/legalcode" TargetMode="External"/><Relationship Id="rId39" Type="http://schemas.openxmlformats.org/officeDocument/2006/relationships/hyperlink" Target="https://doi.org/10.1080/13636820.2020.1751247" TargetMode="External"/><Relationship Id="rId109" Type="http://schemas.openxmlformats.org/officeDocument/2006/relationships/hyperlink" Target="https://education.nsw.gov.au/content/dam/main-education/higher-education-and-tertiary-policy/NSW-Higher-Education-Strategy.pdf" TargetMode="External"/><Relationship Id="rId34" Type="http://schemas.openxmlformats.org/officeDocument/2006/relationships/hyperlink" Target="https://www.teqsa.gov.au/how-we-regulate/dual-sector-regulatory-strategy" TargetMode="External"/><Relationship Id="rId50" Type="http://schemas.openxmlformats.org/officeDocument/2006/relationships/hyperlink" Target="https://search.informit.org/doi/10.3316/aeipt.191910%20\" TargetMode="External"/><Relationship Id="rId55" Type="http://schemas.openxmlformats.org/officeDocument/2006/relationships/hyperlink" Target="https://www.dewr.gov.au/skills-reform/fee-free-tafe" TargetMode="External"/><Relationship Id="rId76" Type="http://schemas.openxmlformats.org/officeDocument/2006/relationships/hyperlink" Target="https://www.iat.tafensw.edu.au/about" TargetMode="External"/><Relationship Id="rId97" Type="http://schemas.openxmlformats.org/officeDocument/2006/relationships/hyperlink" Target="https://www.ncver.edu.au/__data/assets/pdf_file/0039/9671097/VET-as-a-re-engagement-pathway-for-early-school-leavers.pdf" TargetMode="External"/><Relationship Id="rId104" Type="http://schemas.openxmlformats.org/officeDocument/2006/relationships/hyperlink" Target="https://www.ncver.edu.au/__data/assets/pdf_file/0042/9698334/Total-VET-students-and-courses-2024-F.pdf" TargetMode="External"/><Relationship Id="rId120" Type="http://schemas.openxmlformats.org/officeDocument/2006/relationships/hyperlink" Target="https://www.pc.gov.au/node/4797/" TargetMode="External"/><Relationship Id="rId125" Type="http://schemas.openxmlformats.org/officeDocument/2006/relationships/hyperlink" Target="https://www.ncver.edu.au/__data/assets/pdf_file/0029/6547412/School_to_work_pathways.pdf" TargetMode="External"/><Relationship Id="rId141" Type="http://schemas.openxmlformats.org/officeDocument/2006/relationships/hyperlink" Target="https://www.tandfonline.com/doi/full/10.1080/07294360.2022.2089098" TargetMode="External"/><Relationship Id="rId146" Type="http://schemas.openxmlformats.org/officeDocument/2006/relationships/hyperlink" Target="https://www.westernsydney.edu.au/future/study/application-pathways/the-college" TargetMode="External"/><Relationship Id="rId7" Type="http://schemas.openxmlformats.org/officeDocument/2006/relationships/styles" Target="styles.xml"/><Relationship Id="rId71" Type="http://schemas.openxmlformats.org/officeDocument/2006/relationships/hyperlink" Target="http://dx.doi.org/10.1080/1360080X.2017.1300986" TargetMode="External"/><Relationship Id="rId92" Type="http://schemas.openxmlformats.org/officeDocument/2006/relationships/hyperlink" Target="https://www.jobsandskills.gov.au/publications/occupation-shortage-report-december-2025" TargetMode="External"/><Relationship Id="rId2" Type="http://schemas.openxmlformats.org/officeDocument/2006/relationships/customXml" Target="../customXml/item2.xml"/><Relationship Id="rId29" Type="http://schemas.openxmlformats.org/officeDocument/2006/relationships/hyperlink" Target="https://www.oecd.org/content/dam/oecd/en/publications/reports/2017/07/skills-mismatch-productivity-and-policies_b2d3135d/65dab7c6-en.pdf" TargetMode="External"/><Relationship Id="rId24" Type="http://schemas.openxmlformats.org/officeDocument/2006/relationships/image" Target="media/image9.png"/><Relationship Id="rId40" Type="http://schemas.openxmlformats.org/officeDocument/2006/relationships/hyperlink" Target="https://doi.org/10.13152/IJRVET.11.2.3" TargetMode="External"/><Relationship Id="rId45" Type="http://schemas.openxmlformats.org/officeDocument/2006/relationships/hyperlink" Target="https://generationsurvey.org.au/data_story/how-educational-plans-differ-by-gender/" TargetMode="External"/><Relationship Id="rId66" Type="http://schemas.openxmlformats.org/officeDocument/2006/relationships/hyperlink" Target="https://www.fya.org.au/app/uploads/2021/09/FYA_TheNewWorkSmarts_July2017.pdf" TargetMode="External"/><Relationship Id="rId87" Type="http://schemas.openxmlformats.org/officeDocument/2006/relationships/hyperlink" Target="https://www.jobsandskills.gov.au/publications/jobs-and-skills-report-2025" TargetMode="External"/><Relationship Id="rId110" Type="http://schemas.openxmlformats.org/officeDocument/2006/relationships/hyperlink" Target="https://www.oecd.org/en/publications/2018/09/education-at-a-glance-2018_g1g921ab.html" TargetMode="External"/><Relationship Id="rId115" Type="http://schemas.openxmlformats.org/officeDocument/2006/relationships/hyperlink" Target="https://doi.org/10.1080/13636820.2012.691532" TargetMode="External"/><Relationship Id="rId131" Type="http://schemas.openxmlformats.org/officeDocument/2006/relationships/hyperlink" Target="https://doi.org/10.1080/00071005.2024.2374073" TargetMode="External"/><Relationship Id="rId136" Type="http://schemas.openxmlformats.org/officeDocument/2006/relationships/hyperlink" Target="https://tafeqld.edu.au/course/17/17691/certificate-iv-in-adult-tertiary-preparation" TargetMode="External"/><Relationship Id="rId61" Type="http://schemas.openxmlformats.org/officeDocument/2006/relationships/hyperlink" Target="https://www.education.gov.au/regional-university-study-hubs" TargetMode="External"/><Relationship Id="rId82" Type="http://schemas.openxmlformats.org/officeDocument/2006/relationships/hyperlink" Target="https://www.jobsandskills.gov.au/sites/default/files/2024-03/skills_shortage_drivers_-_a_companion_paper.pdf" TargetMode="External"/><Relationship Id="rId152" Type="http://schemas.openxmlformats.org/officeDocument/2006/relationships/theme" Target="theme/theme1.xml"/><Relationship Id="rId19" Type="http://schemas.openxmlformats.org/officeDocument/2006/relationships/image" Target="media/image4.png"/><Relationship Id="rId14" Type="http://schemas.openxmlformats.org/officeDocument/2006/relationships/footer" Target="footer1.xml"/><Relationship Id="rId30" Type="http://schemas.openxmlformats.org/officeDocument/2006/relationships/hyperlink" Target="http://www.journal.aall.org.au/index.php/jall/article/viewArticle/257" TargetMode="External"/><Relationship Id="rId35" Type="http://schemas.openxmlformats.org/officeDocument/2006/relationships/hyperlink" Target="https://ausmasa.org.au/media/jmwlxaj2/ausmasa-aqf7-phase-1-report-excerpts.pdf" TargetMode="External"/><Relationship Id="rId56" Type="http://schemas.openxmlformats.org/officeDocument/2006/relationships/hyperlink" Target="https://www.dewr.gov.au/vet-student-loans/vet-information-students/information-vet-student-loans-students" TargetMode="External"/><Relationship Id="rId77" Type="http://schemas.openxmlformats.org/officeDocument/2006/relationships/hyperlink" Target="https://www.education.gov.au/higher-education-reviews-and-consultations/resources/credit-pathways-vet-and-higher-education" TargetMode="External"/><Relationship Id="rId100" Type="http://schemas.openxmlformats.org/officeDocument/2006/relationships/hyperlink" Target="https://research-repository.rmit.edu.au/articles/chapter/Australia_The_emergence_of_dual_sector_universities/27355785/1" TargetMode="External"/><Relationship Id="rId105" Type="http://schemas.openxmlformats.org/officeDocument/2006/relationships/hyperlink" Target="https://www.ncver.edu.au/__data/assets/pdf_file/0051/9698649/VET-in-Schools-2024.pdf" TargetMode="External"/><Relationship Id="rId126" Type="http://schemas.openxmlformats.org/officeDocument/2006/relationships/hyperlink" Target="https://www.rba.gov.au/education/resources/explainers/pdf/productivity.pdf?v=2&amp;v-nocache=2025-11-11-15-08-42" TargetMode="External"/><Relationship Id="rId147" Type="http://schemas.openxmlformats.org/officeDocument/2006/relationships/hyperlink" Target="https://www.ijwil.org/files/APJCE_16_3_175_184.pdf" TargetMode="External"/><Relationship Id="rId8" Type="http://schemas.openxmlformats.org/officeDocument/2006/relationships/settings" Target="settings.xml"/><Relationship Id="rId51" Type="http://schemas.openxmlformats.org/officeDocument/2006/relationships/hyperlink" Target="https://www.vu.edu.au/sites/default/files/rethinking-and-revitalising-tertiary-education-mitchell-institute.pdf" TargetMode="External"/><Relationship Id="rId72" Type="http://schemas.openxmlformats.org/officeDocument/2006/relationships/hyperlink" Target="https://doi.org/10.1080/14480220.2024.2330453" TargetMode="External"/><Relationship Id="rId93" Type="http://schemas.openxmlformats.org/officeDocument/2006/relationships/hyperlink" Target="https://www.jobsandskills.gov.au/data/vet-national-data-asset" TargetMode="External"/><Relationship Id="rId98" Type="http://schemas.openxmlformats.org/officeDocument/2006/relationships/hyperlink" Target="https://doi.org/10.1080/1360080X.2018.1553106" TargetMode="External"/><Relationship Id="rId121" Type="http://schemas.openxmlformats.org/officeDocument/2006/relationships/hyperlink" Target="https://assets.pc.gov.au/2025-12/adaptable-workforce.pdf?VersionId=TKHsRnjmxaRr9ZmfmqcTa.lRxRCxG_gM" TargetMode="External"/><Relationship Id="rId142" Type="http://schemas.openxmlformats.org/officeDocument/2006/relationships/hyperlink" Target="https://www.vic.gov.au/skills-and-jobs-centres" TargetMode="External"/><Relationship Id="rId3" Type="http://schemas.openxmlformats.org/officeDocument/2006/relationships/customXml" Target="../customXml/item3.xml"/><Relationship Id="rId25" Type="http://schemas.openxmlformats.org/officeDocument/2006/relationships/image" Target="media/image10.png"/><Relationship Id="rId46" Type="http://schemas.openxmlformats.org/officeDocument/2006/relationships/hyperlink" Target="https://doi.org/10.1080/03054985.2023.2282628" TargetMode="External"/><Relationship Id="rId67" Type="http://schemas.openxmlformats.org/officeDocument/2006/relationships/hyperlink" Target="https://doi.org/10.53761/1.20.7.04" TargetMode="External"/><Relationship Id="rId116" Type="http://schemas.openxmlformats.org/officeDocument/2006/relationships/hyperlink" Target="https://sharedservicescentre.sharepoint.com/sites/EDU-HigherEducationAccord-TEAM/Shared%20Documents/Equity%20and%20Tertiary%20Branch/5.%20Tertiary/Roadmap/Interim%20Report/An-analysis-of-micro-credentials-in-VET.pdf" TargetMode="External"/><Relationship Id="rId137" Type="http://schemas.openxmlformats.org/officeDocument/2006/relationships/hyperlink" Target="https://treasury.gov.au/sites/default/files/2023-09/p2023-447996-working-future.pdf" TargetMode="External"/><Relationship Id="rId20" Type="http://schemas.openxmlformats.org/officeDocument/2006/relationships/image" Target="media/image5.png"/><Relationship Id="rId41" Type="http://schemas.openxmlformats.org/officeDocument/2006/relationships/hyperlink" Target="https://www.voced.edu.au/content/ngv:32134" TargetMode="External"/><Relationship Id="rId62" Type="http://schemas.openxmlformats.org/officeDocument/2006/relationships/hyperlink" Target="https://www.education.gov.au/higher-education-statistics/student-data/selected-higher-education-statistics-2024-student-data" TargetMode="External"/><Relationship Id="rId83" Type="http://schemas.openxmlformats.org/officeDocument/2006/relationships/hyperlink" Target="https://www.jobsandskills.gov.au/publications/strong-and-responsive-vet-pathways" TargetMode="External"/><Relationship Id="rId88" Type="http://schemas.openxmlformats.org/officeDocument/2006/relationships/hyperlink" Target="https://www.jobsandskills.gov.au/consultations/have-your-say-building-system-puts-people-and-skills-first" TargetMode="External"/><Relationship Id="rId111" Type="http://schemas.openxmlformats.org/officeDocument/2006/relationships/hyperlink" Target="https://www.oecd.org/content/dam/oecd/en/publications/reports/2022/06/strengthening-career-guidance-for-mid-career-adults-in-australia_15e98413/e08803ce-en.pdf" TargetMode="External"/><Relationship Id="rId132" Type="http://schemas.openxmlformats.org/officeDocument/2006/relationships/hyperlink" Target="https://www.ncver.edu.au/__data/assets/pdf_file/0016/1073041/Who-are-the-persistently-NEET-young-people.pdf" TargetMode="External"/><Relationship Id="rId15" Type="http://schemas.openxmlformats.org/officeDocument/2006/relationships/footer" Target="footer2.xml"/><Relationship Id="rId36" Type="http://schemas.openxmlformats.org/officeDocument/2006/relationships/hyperlink" Target="https://apprentices.australianindustrygroup.com.au/programs/degree-level-apprenticeships/queensland-electrical-dual-qualification/" TargetMode="External"/><Relationship Id="rId57" Type="http://schemas.openxmlformats.org/officeDocument/2006/relationships/hyperlink" Target="https://www.dewr.gov.au/remote-training-hubs-network" TargetMode="External"/><Relationship Id="rId106" Type="http://schemas.openxmlformats.org/officeDocument/2006/relationships/hyperlink" Target="https://grattan.edu.au/wp-content/uploads/2018/04/904-dropping-out-the-benefits-and-costs-of-trying-university.pdf" TargetMode="External"/><Relationship Id="rId127" Type="http://schemas.openxmlformats.org/officeDocument/2006/relationships/hyperlink" Target="https://doi.org/10.1111/nin.70026" TargetMode="External"/><Relationship Id="rId10" Type="http://schemas.openxmlformats.org/officeDocument/2006/relationships/footnotes" Target="footnotes.xml"/><Relationship Id="rId31" Type="http://schemas.openxmlformats.org/officeDocument/2006/relationships/hyperlink" Target="https://generationsurvey.org.au/benchmarkreports/" TargetMode="External"/><Relationship Id="rId52" Type="http://schemas.openxmlformats.org/officeDocument/2006/relationships/hyperlink" Target="https://www.vu.edu.au/sites/default/files/mitchell-institute-report-national-job-cadet-program.pdf" TargetMode="External"/><Relationship Id="rId73" Type="http://schemas.openxmlformats.org/officeDocument/2006/relationships/hyperlink" Target="https://www.ncver.edu.au/__data/assets/pdf_file/0043/9669751/The-best-of-both-worlds-Integrating-VET-and-higher-education.pdf" TargetMode="External"/><Relationship Id="rId78" Type="http://schemas.openxmlformats.org/officeDocument/2006/relationships/hyperlink" Target="https://doi.org/10.1080/07294360.2024.2307929" TargetMode="External"/><Relationship Id="rId94" Type="http://schemas.openxmlformats.org/officeDocument/2006/relationships/hyperlink" Target="https://doi.org/10.1080/01425692.2019.1707065" TargetMode="External"/><Relationship Id="rId99" Type="http://schemas.openxmlformats.org/officeDocument/2006/relationships/hyperlink" Target="https://doi.org/10.1007/s13384-023-00650-8" TargetMode="External"/><Relationship Id="rId101" Type="http://schemas.openxmlformats.org/officeDocument/2006/relationships/hyperlink" Target="https://www.ncver.edu.au/__data/assets/pdf_file/0027/5496102/Higher-apprenticeships-in-Australia.pdf" TargetMode="External"/><Relationship Id="rId122" Type="http://schemas.openxmlformats.org/officeDocument/2006/relationships/hyperlink" Target="https://apo.org.au/sites/default/files/resource-files/2020-09/apo-nid308232.pdf" TargetMode="External"/><Relationship Id="rId143" Type="http://schemas.openxmlformats.org/officeDocument/2006/relationships/hyperlink" Target="https://www.vic.gov.au/sites/default/files/2026-01/victorian-skills-plan-implementation-update-for-2025.pdf" TargetMode="External"/><Relationship Id="rId148" Type="http://schemas.openxmlformats.org/officeDocument/2006/relationships/hyperlink" Target="https://www.ncver.edu.au/research-and-statistics/publications/all-publications/linking-qualifications-and-the-labour-market-through-capabilities-and-vocational-streams"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image" Target="media/image11.png"/><Relationship Id="rId47" Type="http://schemas.openxmlformats.org/officeDocument/2006/relationships/hyperlink" Target="https://herdsa.org.au/system/files/HERDSA_2011_Cram.PDF" TargetMode="External"/><Relationship Id="rId68" Type="http://schemas.openxmlformats.org/officeDocument/2006/relationships/hyperlink" Target="https://education.nsw.gov.au/content/dam/main-education/about-us/strategies-and-reports/Final_VET_Sector_Report.pdf" TargetMode="External"/><Relationship Id="rId89" Type="http://schemas.openxmlformats.org/officeDocument/2006/relationships/hyperlink" Target="https://www.jobsandskills.gov.au/publications/opportunity-and-productivity-towards-tertiary-harmonisation-roadmap" TargetMode="External"/><Relationship Id="rId112" Type="http://schemas.openxmlformats.org/officeDocument/2006/relationships/hyperlink" Target="https://doi.org/10.1787/d5f8e3f2-en" TargetMode="External"/><Relationship Id="rId133" Type="http://schemas.openxmlformats.org/officeDocument/2006/relationships/hyperlink" Target="https://doi.org/10.5456/WPLL.26.2.31" TargetMode="External"/><Relationship Id="rId16" Type="http://schemas.openxmlformats.org/officeDocument/2006/relationships/image" Target="media/image3.jpg"/><Relationship Id="rId37" Type="http://schemas.openxmlformats.org/officeDocument/2006/relationships/hyperlink" Target="https://www.aqf.edu.au/download/405/aqf-second-edition/3/aqf-second-edition/pdf" TargetMode="External"/><Relationship Id="rId58" Type="http://schemas.openxmlformats.org/officeDocument/2006/relationships/hyperlink" Target="https://www.dewr.gov.au/national-skills-agreement/tafe-centres-excellence" TargetMode="External"/><Relationship Id="rId79" Type="http://schemas.openxmlformats.org/officeDocument/2006/relationships/hyperlink" Target="https://doi.org/10.1080/1360080X.2023.2212850" TargetMode="External"/><Relationship Id="rId102" Type="http://schemas.openxmlformats.org/officeDocument/2006/relationships/hyperlink" Target="https://www.ncver.edu.au/news-and-events/media-releases/more-students-in-vocational-education-and-training-in-2023" TargetMode="External"/><Relationship Id="rId123" Type="http://schemas.openxmlformats.org/officeDocument/2006/relationships/hyperlink" Target="https://qilt.edu.au/surveys/graduate-outcomes-survey-(gos)" TargetMode="External"/><Relationship Id="rId144" Type="http://schemas.openxmlformats.org/officeDocument/2006/relationships/hyperlink" Target="https://www.education.gov.au/system/files/documents/document-file/2020-12/42-victorian-tafe-association_redacted.pdf" TargetMode="External"/><Relationship Id="rId90" Type="http://schemas.openxmlformats.org/officeDocument/2006/relationships/hyperlink" Target="https://www.jobsandskills.gov.au/publications/our-gen-ai-transition-final-release" TargetMode="External"/></Relationships>
</file>

<file path=word/theme/theme1.xml><?xml version="1.0" encoding="utf-8"?>
<a:theme xmlns:a="http://schemas.openxmlformats.org/drawingml/2006/main" name="Office Theme">
  <a:themeElements>
    <a:clrScheme name="ATEC">
      <a:dk1>
        <a:srgbClr val="000000"/>
      </a:dk1>
      <a:lt1>
        <a:sysClr val="window" lastClr="FFFFFF"/>
      </a:lt1>
      <a:dk2>
        <a:srgbClr val="001032"/>
      </a:dk2>
      <a:lt2>
        <a:srgbClr val="E8E8E8"/>
      </a:lt2>
      <a:accent1>
        <a:srgbClr val="103A36"/>
      </a:accent1>
      <a:accent2>
        <a:srgbClr val="009364"/>
      </a:accent2>
      <a:accent3>
        <a:srgbClr val="F6E265"/>
      </a:accent3>
      <a:accent4>
        <a:srgbClr val="FFC677"/>
      </a:accent4>
      <a:accent5>
        <a:srgbClr val="FF7A34"/>
      </a:accent5>
      <a:accent6>
        <a:srgbClr val="F0404F"/>
      </a:accent6>
      <a:hlink>
        <a:srgbClr val="3C2CFF"/>
      </a:hlink>
      <a:folHlink>
        <a:srgbClr val="B0316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0 xmlns="4a9c6c2e-cc90-47c0-be42-0b97b97642c0" xsi:nil="true"/>
    <Content xmlns="4a9c6c2e-cc90-47c0-be42-0b97b97642c0" xsi:nil="true"/>
    <Comments xmlns="4a9c6c2e-cc90-47c0-be42-0b97b97642c0" xsi:nil="true"/>
    <Notes xmlns="4a9c6c2e-cc90-47c0-be42-0b97b97642c0" xsi:nil="true"/>
    <lcf76f155ced4ddcb4097134ff3c332f xmlns="4a9c6c2e-cc90-47c0-be42-0b97b97642c0">
      <Terms xmlns="http://schemas.microsoft.com/office/infopath/2007/PartnerControls"/>
    </lcf76f155ced4ddcb4097134ff3c332f>
    <TaxCatchAll xmlns="150ed607-d011-45d5-8216-b1990882b9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98083483EAF54BBE19C56BE4F7D597" ma:contentTypeVersion="21" ma:contentTypeDescription="Create a new document." ma:contentTypeScope="" ma:versionID="50bc1c2aacae335ff79e0cd643d50306">
  <xsd:schema xmlns:xsd="http://www.w3.org/2001/XMLSchema" xmlns:xs="http://www.w3.org/2001/XMLSchema" xmlns:p="http://schemas.microsoft.com/office/2006/metadata/properties" xmlns:ns2="4a9c6c2e-cc90-47c0-be42-0b97b97642c0" xmlns:ns3="150ed607-d011-45d5-8216-b1990882b9c0" targetNamespace="http://schemas.microsoft.com/office/2006/metadata/properties" ma:root="true" ma:fieldsID="8eb6476fa37a5b11c60279e660b351c8" ns2:_="" ns3:_="">
    <xsd:import namespace="4a9c6c2e-cc90-47c0-be42-0b97b97642c0"/>
    <xsd:import namespace="150ed607-d011-45d5-8216-b1990882b9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Notes" minOccurs="0"/>
                <xsd:element ref="ns2:MediaServiceSearchProperties" minOccurs="0"/>
                <xsd:element ref="ns2:MediaLengthInSeconds" minOccurs="0"/>
                <xsd:element ref="ns2:MediaServiceLocation" minOccurs="0"/>
                <xsd:element ref="ns2:Comments" minOccurs="0"/>
                <xsd:element ref="ns2:Content"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6c2e-cc90-47c0-be42-0b97b976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Content" ma:index="25" nillable="true" ma:displayName="Content" ma:internalName="Content">
      <xsd:simpleType>
        <xsd:restriction base="dms:Note">
          <xsd:maxLength value="255"/>
        </xsd:restriction>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50ed607-d011-45d5-8216-b1990882b9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6cb8d-386b-40f8-891a-4611800468b4}" ma:internalName="TaxCatchAll" ma:showField="CatchAllData" ma:web="150ed607-d011-45d5-8216-b1990882b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0E5031-4F6C-459D-937C-4C24A180DF10}">
  <ds:schemaRefs>
    <ds:schemaRef ds:uri="http://schemas.microsoft.com/sharepoint/v3/contenttype/forms"/>
  </ds:schemaRefs>
</ds:datastoreItem>
</file>

<file path=customXml/itemProps3.xml><?xml version="1.0" encoding="utf-8"?>
<ds:datastoreItem xmlns:ds="http://schemas.openxmlformats.org/officeDocument/2006/customXml" ds:itemID="{816A8961-E0F3-4018-83CA-03BF61FBB83B}">
  <ds:schemaRefs>
    <ds:schemaRef ds:uri="http://schemas.microsoft.com/office/2006/metadata/properties"/>
    <ds:schemaRef ds:uri="http://schemas.microsoft.com/office/infopath/2007/PartnerControls"/>
    <ds:schemaRef ds:uri="4a9c6c2e-cc90-47c0-be42-0b97b97642c0"/>
    <ds:schemaRef ds:uri="150ed607-d011-45d5-8216-b1990882b9c0"/>
  </ds:schemaRefs>
</ds:datastoreItem>
</file>

<file path=customXml/itemProps4.xml><?xml version="1.0" encoding="utf-8"?>
<ds:datastoreItem xmlns:ds="http://schemas.openxmlformats.org/officeDocument/2006/customXml" ds:itemID="{50D4BFBE-337D-4262-A38E-FC02BA84C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c6c2e-cc90-47c0-be42-0b97b97642c0"/>
    <ds:schemaRef ds:uri="150ed607-d011-45d5-8216-b1990882b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117DD4-00F3-477A-8718-DD0A7837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28187</Words>
  <Characters>160666</Characters>
  <Application>Microsoft Office Word</Application>
  <DocSecurity>4</DocSecurity>
  <Lines>1338</Lines>
  <Paragraphs>376</Paragraphs>
  <ScaleCrop>false</ScaleCrop>
  <Company/>
  <LinksUpToDate>false</LinksUpToDate>
  <CharactersWithSpaces>188477</CharactersWithSpaces>
  <SharedDoc>false</SharedDoc>
  <HLinks>
    <vt:vector size="1056" baseType="variant">
      <vt:variant>
        <vt:i4>2883669</vt:i4>
      </vt:variant>
      <vt:variant>
        <vt:i4>711</vt:i4>
      </vt:variant>
      <vt:variant>
        <vt:i4>0</vt:i4>
      </vt:variant>
      <vt:variant>
        <vt:i4>5</vt:i4>
      </vt:variant>
      <vt:variant>
        <vt:lpwstr>https://www.ncver.edu.au/__data/assets/pdf_file/0030/9674400/VET-and-higher-education-pathways-do-outcomes-differ-for-the-same-occupation.pdf</vt:lpwstr>
      </vt:variant>
      <vt:variant>
        <vt:lpwstr/>
      </vt:variant>
      <vt:variant>
        <vt:i4>2818165</vt:i4>
      </vt:variant>
      <vt:variant>
        <vt:i4>708</vt:i4>
      </vt:variant>
      <vt:variant>
        <vt:i4>0</vt:i4>
      </vt:variant>
      <vt:variant>
        <vt:i4>5</vt:i4>
      </vt:variant>
      <vt:variant>
        <vt:lpwstr>https://opus.lib.uts.edu.au/bitstream/10453/178429/2/IJWIL_24_1_99_115.pdf</vt:lpwstr>
      </vt:variant>
      <vt:variant>
        <vt:lpwstr/>
      </vt:variant>
      <vt:variant>
        <vt:i4>2883696</vt:i4>
      </vt:variant>
      <vt:variant>
        <vt:i4>705</vt:i4>
      </vt:variant>
      <vt:variant>
        <vt:i4>0</vt:i4>
      </vt:variant>
      <vt:variant>
        <vt:i4>5</vt:i4>
      </vt:variant>
      <vt:variant>
        <vt:lpwstr>https://www.ncver.edu.au/research-and-statistics/publications/all-publications/linking-qualifications-and-the-labour-market-through-capabilities-and-vocational-streams</vt:lpwstr>
      </vt:variant>
      <vt:variant>
        <vt:lpwstr/>
      </vt:variant>
      <vt:variant>
        <vt:i4>4521990</vt:i4>
      </vt:variant>
      <vt:variant>
        <vt:i4>702</vt:i4>
      </vt:variant>
      <vt:variant>
        <vt:i4>0</vt:i4>
      </vt:variant>
      <vt:variant>
        <vt:i4>5</vt:i4>
      </vt:variant>
      <vt:variant>
        <vt:lpwstr>https://www.ijwil.org/files/APJCE_16_3_175_184.pdf</vt:lpwstr>
      </vt:variant>
      <vt:variant>
        <vt:lpwstr/>
      </vt:variant>
      <vt:variant>
        <vt:i4>7602303</vt:i4>
      </vt:variant>
      <vt:variant>
        <vt:i4>699</vt:i4>
      </vt:variant>
      <vt:variant>
        <vt:i4>0</vt:i4>
      </vt:variant>
      <vt:variant>
        <vt:i4>5</vt:i4>
      </vt:variant>
      <vt:variant>
        <vt:lpwstr>https://www.westernsydney.edu.au/future/study/application-pathways/the-college</vt:lpwstr>
      </vt:variant>
      <vt:variant>
        <vt:lpwstr/>
      </vt:variant>
      <vt:variant>
        <vt:i4>2490412</vt:i4>
      </vt:variant>
      <vt:variant>
        <vt:i4>696</vt:i4>
      </vt:variant>
      <vt:variant>
        <vt:i4>0</vt:i4>
      </vt:variant>
      <vt:variant>
        <vt:i4>5</vt:i4>
      </vt:variant>
      <vt:variant>
        <vt:lpwstr>https://www.ncver.edu.au/__data/assets/file/0013/7321/half-open-door-2659.pdf</vt:lpwstr>
      </vt:variant>
      <vt:variant>
        <vt:lpwstr/>
      </vt:variant>
      <vt:variant>
        <vt:i4>7340110</vt:i4>
      </vt:variant>
      <vt:variant>
        <vt:i4>693</vt:i4>
      </vt:variant>
      <vt:variant>
        <vt:i4>0</vt:i4>
      </vt:variant>
      <vt:variant>
        <vt:i4>5</vt:i4>
      </vt:variant>
      <vt:variant>
        <vt:lpwstr>https://www.education.gov.au/system/files/documents/document-file/2020-12/42-victorian-tafe-association_redacted.pdf</vt:lpwstr>
      </vt:variant>
      <vt:variant>
        <vt:lpwstr/>
      </vt:variant>
      <vt:variant>
        <vt:i4>8126500</vt:i4>
      </vt:variant>
      <vt:variant>
        <vt:i4>690</vt:i4>
      </vt:variant>
      <vt:variant>
        <vt:i4>0</vt:i4>
      </vt:variant>
      <vt:variant>
        <vt:i4>5</vt:i4>
      </vt:variant>
      <vt:variant>
        <vt:lpwstr>https://www.vic.gov.au/sites/default/files/2026-01/victorian-skills-plan-implementation-update-for-2025.pdf</vt:lpwstr>
      </vt:variant>
      <vt:variant>
        <vt:lpwstr/>
      </vt:variant>
      <vt:variant>
        <vt:i4>4456532</vt:i4>
      </vt:variant>
      <vt:variant>
        <vt:i4>687</vt:i4>
      </vt:variant>
      <vt:variant>
        <vt:i4>0</vt:i4>
      </vt:variant>
      <vt:variant>
        <vt:i4>5</vt:i4>
      </vt:variant>
      <vt:variant>
        <vt:lpwstr>https://www.vic.gov.au/skills-and-jobs-centres</vt:lpwstr>
      </vt:variant>
      <vt:variant>
        <vt:lpwstr>who-can-use-skills-and-jobs-centres</vt:lpwstr>
      </vt:variant>
      <vt:variant>
        <vt:i4>2490493</vt:i4>
      </vt:variant>
      <vt:variant>
        <vt:i4>684</vt:i4>
      </vt:variant>
      <vt:variant>
        <vt:i4>0</vt:i4>
      </vt:variant>
      <vt:variant>
        <vt:i4>5</vt:i4>
      </vt:variant>
      <vt:variant>
        <vt:lpwstr>https://www.tandfonline.com/doi/full/10.1080/07294360.2022.2089098</vt:lpwstr>
      </vt:variant>
      <vt:variant>
        <vt:lpwstr/>
      </vt:variant>
      <vt:variant>
        <vt:i4>4718673</vt:i4>
      </vt:variant>
      <vt:variant>
        <vt:i4>681</vt:i4>
      </vt:variant>
      <vt:variant>
        <vt:i4>0</vt:i4>
      </vt:variant>
      <vt:variant>
        <vt:i4>5</vt:i4>
      </vt:variant>
      <vt:variant>
        <vt:lpwstr>https://www.unisa.edu.au/media-centre/Releases/2024/all-systems-go-for-australias-first-software-degree-apprentices/</vt:lpwstr>
      </vt:variant>
      <vt:variant>
        <vt:lpwstr/>
      </vt:variant>
      <vt:variant>
        <vt:i4>4718689</vt:i4>
      </vt:variant>
      <vt:variant>
        <vt:i4>678</vt:i4>
      </vt:variant>
      <vt:variant>
        <vt:i4>0</vt:i4>
      </vt:variant>
      <vt:variant>
        <vt:i4>5</vt:i4>
      </vt:variant>
      <vt:variant>
        <vt:lpwstr>https://doi.org/10.1007/978-3-031-12224-8_7</vt:lpwstr>
      </vt:variant>
      <vt:variant>
        <vt:lpwstr/>
      </vt:variant>
      <vt:variant>
        <vt:i4>6029438</vt:i4>
      </vt:variant>
      <vt:variant>
        <vt:i4>675</vt:i4>
      </vt:variant>
      <vt:variant>
        <vt:i4>0</vt:i4>
      </vt:variant>
      <vt:variant>
        <vt:i4>5</vt:i4>
      </vt:variant>
      <vt:variant>
        <vt:lpwstr>https://www.acses.edu.au/app/uploads/2019/08/Tomaszewski_UQ_Final_Accessible_9_8.pdf</vt:lpwstr>
      </vt:variant>
      <vt:variant>
        <vt:lpwstr/>
      </vt:variant>
      <vt:variant>
        <vt:i4>3997798</vt:i4>
      </vt:variant>
      <vt:variant>
        <vt:i4>672</vt:i4>
      </vt:variant>
      <vt:variant>
        <vt:i4>0</vt:i4>
      </vt:variant>
      <vt:variant>
        <vt:i4>5</vt:i4>
      </vt:variant>
      <vt:variant>
        <vt:lpwstr>https://treasury.gov.au/sites/default/files/2023-09/p2023-447996-working-future.pdf</vt:lpwstr>
      </vt:variant>
      <vt:variant>
        <vt:lpwstr/>
      </vt:variant>
      <vt:variant>
        <vt:i4>2556017</vt:i4>
      </vt:variant>
      <vt:variant>
        <vt:i4>669</vt:i4>
      </vt:variant>
      <vt:variant>
        <vt:i4>0</vt:i4>
      </vt:variant>
      <vt:variant>
        <vt:i4>5</vt:i4>
      </vt:variant>
      <vt:variant>
        <vt:lpwstr>https://tafeqld.edu.au/course/17/17691/certificate-iv-in-adult-tertiary-preparation</vt:lpwstr>
      </vt:variant>
      <vt:variant>
        <vt:lpwstr/>
      </vt:variant>
      <vt:variant>
        <vt:i4>4194311</vt:i4>
      </vt:variant>
      <vt:variant>
        <vt:i4>666</vt:i4>
      </vt:variant>
      <vt:variant>
        <vt:i4>0</vt:i4>
      </vt:variant>
      <vt:variant>
        <vt:i4>5</vt:i4>
      </vt:variant>
      <vt:variant>
        <vt:lpwstr>https://www.tafensw.edu.au/course-areas/study-and-career-pathways/courses/certificate-iv-in-tertiary-preparation--11225NAT-01</vt:lpwstr>
      </vt:variant>
      <vt:variant>
        <vt:lpwstr/>
      </vt:variant>
      <vt:variant>
        <vt:i4>2687092</vt:i4>
      </vt:variant>
      <vt:variant>
        <vt:i4>663</vt:i4>
      </vt:variant>
      <vt:variant>
        <vt:i4>0</vt:i4>
      </vt:variant>
      <vt:variant>
        <vt:i4>5</vt:i4>
      </vt:variant>
      <vt:variant>
        <vt:lpwstr>https://doi.org/10.1111/imig.13030</vt:lpwstr>
      </vt:variant>
      <vt:variant>
        <vt:lpwstr/>
      </vt:variant>
      <vt:variant>
        <vt:i4>852058</vt:i4>
      </vt:variant>
      <vt:variant>
        <vt:i4>660</vt:i4>
      </vt:variant>
      <vt:variant>
        <vt:i4>0</vt:i4>
      </vt:variant>
      <vt:variant>
        <vt:i4>5</vt:i4>
      </vt:variant>
      <vt:variant>
        <vt:lpwstr>https://doi.org/10.5456/WPLL.26.2.31</vt:lpwstr>
      </vt:variant>
      <vt:variant>
        <vt:lpwstr/>
      </vt:variant>
      <vt:variant>
        <vt:i4>1441851</vt:i4>
      </vt:variant>
      <vt:variant>
        <vt:i4>657</vt:i4>
      </vt:variant>
      <vt:variant>
        <vt:i4>0</vt:i4>
      </vt:variant>
      <vt:variant>
        <vt:i4>5</vt:i4>
      </vt:variant>
      <vt:variant>
        <vt:lpwstr>https://www.ncver.edu.au/__data/assets/pdf_file/0016/1073041/Who-are-the-persistently-NEET-young-people.pdf</vt:lpwstr>
      </vt:variant>
      <vt:variant>
        <vt:lpwstr/>
      </vt:variant>
      <vt:variant>
        <vt:i4>458820</vt:i4>
      </vt:variant>
      <vt:variant>
        <vt:i4>654</vt:i4>
      </vt:variant>
      <vt:variant>
        <vt:i4>0</vt:i4>
      </vt:variant>
      <vt:variant>
        <vt:i4>5</vt:i4>
      </vt:variant>
      <vt:variant>
        <vt:lpwstr>https://doi.org/10.1080/00071005.2024.2374073</vt:lpwstr>
      </vt:variant>
      <vt:variant>
        <vt:lpwstr/>
      </vt:variant>
      <vt:variant>
        <vt:i4>5308506</vt:i4>
      </vt:variant>
      <vt:variant>
        <vt:i4>651</vt:i4>
      </vt:variant>
      <vt:variant>
        <vt:i4>0</vt:i4>
      </vt:variant>
      <vt:variant>
        <vt:i4>5</vt:i4>
      </vt:variant>
      <vt:variant>
        <vt:lpwstr>https://skillscommission.sa.gov.au/careers-and-pathways/higher-education-apprenticeships-and-traineeships</vt:lpwstr>
      </vt:variant>
      <vt:variant>
        <vt:lpwstr/>
      </vt:variant>
      <vt:variant>
        <vt:i4>8323192</vt:i4>
      </vt:variant>
      <vt:variant>
        <vt:i4>648</vt:i4>
      </vt:variant>
      <vt:variant>
        <vt:i4>0</vt:i4>
      </vt:variant>
      <vt:variant>
        <vt:i4>5</vt:i4>
      </vt:variant>
      <vt:variant>
        <vt:lpwstr>https://www.acses.edu.au/app/uploads/2017/09/08Smith_Report_FINAL.pdf</vt:lpwstr>
      </vt:variant>
      <vt:variant>
        <vt:lpwstr/>
      </vt:variant>
      <vt:variant>
        <vt:i4>7864439</vt:i4>
      </vt:variant>
      <vt:variant>
        <vt:i4>645</vt:i4>
      </vt:variant>
      <vt:variant>
        <vt:i4>0</vt:i4>
      </vt:variant>
      <vt:variant>
        <vt:i4>5</vt:i4>
      </vt:variant>
      <vt:variant>
        <vt:lpwstr>https://www.education.gov.au/recurrent-funding-schools/resources/looking-future-report-review-senior-secondary-pathways-work-further-education-and-training</vt:lpwstr>
      </vt:variant>
      <vt:variant>
        <vt:lpwstr/>
      </vt:variant>
      <vt:variant>
        <vt:i4>5701725</vt:i4>
      </vt:variant>
      <vt:variant>
        <vt:i4>642</vt:i4>
      </vt:variant>
      <vt:variant>
        <vt:i4>0</vt:i4>
      </vt:variant>
      <vt:variant>
        <vt:i4>5</vt:i4>
      </vt:variant>
      <vt:variant>
        <vt:lpwstr>https://doi.org/10.1111/nin.70026</vt:lpwstr>
      </vt:variant>
      <vt:variant>
        <vt:lpwstr/>
      </vt:variant>
      <vt:variant>
        <vt:i4>1507404</vt:i4>
      </vt:variant>
      <vt:variant>
        <vt:i4>639</vt:i4>
      </vt:variant>
      <vt:variant>
        <vt:i4>0</vt:i4>
      </vt:variant>
      <vt:variant>
        <vt:i4>5</vt:i4>
      </vt:variant>
      <vt:variant>
        <vt:lpwstr>https://www.rba.gov.au/education/resources/explainers/pdf/productivity.pdf?v=2&amp;v-nocache=2025-11-11-15-08-42</vt:lpwstr>
      </vt:variant>
      <vt:variant>
        <vt:lpwstr/>
      </vt:variant>
      <vt:variant>
        <vt:i4>7798891</vt:i4>
      </vt:variant>
      <vt:variant>
        <vt:i4>636</vt:i4>
      </vt:variant>
      <vt:variant>
        <vt:i4>0</vt:i4>
      </vt:variant>
      <vt:variant>
        <vt:i4>5</vt:i4>
      </vt:variant>
      <vt:variant>
        <vt:lpwstr>https://www.ncver.edu.au/__data/assets/pdf_file/0029/6547412/School_to_work_pathways.pdf</vt:lpwstr>
      </vt:variant>
      <vt:variant>
        <vt:lpwstr/>
      </vt:variant>
      <vt:variant>
        <vt:i4>4915280</vt:i4>
      </vt:variant>
      <vt:variant>
        <vt:i4>633</vt:i4>
      </vt:variant>
      <vt:variant>
        <vt:i4>0</vt:i4>
      </vt:variant>
      <vt:variant>
        <vt:i4>5</vt:i4>
      </vt:variant>
      <vt:variant>
        <vt:lpwstr>https://doi.org/10.53761/bys3aj56</vt:lpwstr>
      </vt:variant>
      <vt:variant>
        <vt:lpwstr/>
      </vt:variant>
      <vt:variant>
        <vt:i4>3997732</vt:i4>
      </vt:variant>
      <vt:variant>
        <vt:i4>630</vt:i4>
      </vt:variant>
      <vt:variant>
        <vt:i4>0</vt:i4>
      </vt:variant>
      <vt:variant>
        <vt:i4>5</vt:i4>
      </vt:variant>
      <vt:variant>
        <vt:lpwstr>https://qilt.edu.au/surveys/graduate-outcomes-survey-(gos)</vt:lpwstr>
      </vt:variant>
      <vt:variant>
        <vt:lpwstr/>
      </vt:variant>
      <vt:variant>
        <vt:i4>2621563</vt:i4>
      </vt:variant>
      <vt:variant>
        <vt:i4>627</vt:i4>
      </vt:variant>
      <vt:variant>
        <vt:i4>0</vt:i4>
      </vt:variant>
      <vt:variant>
        <vt:i4>5</vt:i4>
      </vt:variant>
      <vt:variant>
        <vt:lpwstr>https://apo.org.au/sites/default/files/resource-files/2020-09/apo-nid308232.pdf</vt:lpwstr>
      </vt:variant>
      <vt:variant>
        <vt:lpwstr/>
      </vt:variant>
      <vt:variant>
        <vt:i4>3473491</vt:i4>
      </vt:variant>
      <vt:variant>
        <vt:i4>624</vt:i4>
      </vt:variant>
      <vt:variant>
        <vt:i4>0</vt:i4>
      </vt:variant>
      <vt:variant>
        <vt:i4>5</vt:i4>
      </vt:variant>
      <vt:variant>
        <vt:lpwstr>https://assets.pc.gov.au/2025-12/adaptable-workforce.pdf?VersionId=TKHsRnjmxaRr9ZmfmqcTa.lRxRCxG_gM</vt:lpwstr>
      </vt:variant>
      <vt:variant>
        <vt:lpwstr/>
      </vt:variant>
      <vt:variant>
        <vt:i4>6029327</vt:i4>
      </vt:variant>
      <vt:variant>
        <vt:i4>621</vt:i4>
      </vt:variant>
      <vt:variant>
        <vt:i4>0</vt:i4>
      </vt:variant>
      <vt:variant>
        <vt:i4>5</vt:i4>
      </vt:variant>
      <vt:variant>
        <vt:lpwstr>https://www.pc.gov.au/node/4797/</vt:lpwstr>
      </vt:variant>
      <vt:variant>
        <vt:lpwstr/>
      </vt:variant>
      <vt:variant>
        <vt:i4>3997736</vt:i4>
      </vt:variant>
      <vt:variant>
        <vt:i4>618</vt:i4>
      </vt:variant>
      <vt:variant>
        <vt:i4>0</vt:i4>
      </vt:variant>
      <vt:variant>
        <vt:i4>5</vt:i4>
      </vt:variant>
      <vt:variant>
        <vt:lpwstr>https://www.pc.gov.au/inquiries/completed/productivity/report/productivity-volume8-education-skills.pdf</vt:lpwstr>
      </vt:variant>
      <vt:variant>
        <vt:lpwstr/>
      </vt:variant>
      <vt:variant>
        <vt:i4>2293779</vt:i4>
      </vt:variant>
      <vt:variant>
        <vt:i4>615</vt:i4>
      </vt:variant>
      <vt:variant>
        <vt:i4>0</vt:i4>
      </vt:variant>
      <vt:variant>
        <vt:i4>5</vt:i4>
      </vt:variant>
      <vt:variant>
        <vt:lpwstr>https://www.parliament.vic.gov.au/495e78/contentassets/2e98e3d2f9724ed7bda53c71ef1fc4fa/laeic-59-02-access-to-tafe_learners-with-disability.pdf</vt:lpwstr>
      </vt:variant>
      <vt:variant>
        <vt:lpwstr/>
      </vt:variant>
      <vt:variant>
        <vt:i4>1310847</vt:i4>
      </vt:variant>
      <vt:variant>
        <vt:i4>612</vt:i4>
      </vt:variant>
      <vt:variant>
        <vt:i4>0</vt:i4>
      </vt:variant>
      <vt:variant>
        <vt:i4>5</vt:i4>
      </vt:variant>
      <vt:variant>
        <vt:lpwstr>https://parlinfo.aph.gov.au/parlInfo/download/committees/reportrep/RB000170/toc_pdf/Sharedvision,equalpathways.pdf</vt:lpwstr>
      </vt:variant>
      <vt:variant>
        <vt:lpwstr/>
      </vt:variant>
      <vt:variant>
        <vt:i4>8061038</vt:i4>
      </vt:variant>
      <vt:variant>
        <vt:i4>609</vt:i4>
      </vt:variant>
      <vt:variant>
        <vt:i4>0</vt:i4>
      </vt:variant>
      <vt:variant>
        <vt:i4>5</vt:i4>
      </vt:variant>
      <vt:variant>
        <vt:lpwstr>https://sharedservicescentre.sharepoint.com/sites/EDU-HigherEducationAccord-TEAM/Shared Documents/Equity and Tertiary Branch/5. Tertiary/Roadmap/Interim Report/An-analysis-of-micro-credentials-in-VET.pdf</vt:lpwstr>
      </vt:variant>
      <vt:variant>
        <vt:lpwstr/>
      </vt:variant>
      <vt:variant>
        <vt:i4>65</vt:i4>
      </vt:variant>
      <vt:variant>
        <vt:i4>606</vt:i4>
      </vt:variant>
      <vt:variant>
        <vt:i4>0</vt:i4>
      </vt:variant>
      <vt:variant>
        <vt:i4>5</vt:i4>
      </vt:variant>
      <vt:variant>
        <vt:lpwstr>https://doi.org/10.1080/13636820.2012.691532</vt:lpwstr>
      </vt:variant>
      <vt:variant>
        <vt:lpwstr/>
      </vt:variant>
      <vt:variant>
        <vt:i4>3407885</vt:i4>
      </vt:variant>
      <vt:variant>
        <vt:i4>603</vt:i4>
      </vt:variant>
      <vt:variant>
        <vt:i4>0</vt:i4>
      </vt:variant>
      <vt:variant>
        <vt:i4>5</vt:i4>
      </vt:variant>
      <vt:variant>
        <vt:lpwstr>https://www.ncver.edu.au/__data/assets/pdf_file/0040/9660766/Exploring_the_recognition_of_prior_learning_in_Australian_VET.pdf</vt:lpwstr>
      </vt:variant>
      <vt:variant>
        <vt:lpwstr/>
      </vt:variant>
      <vt:variant>
        <vt:i4>3080318</vt:i4>
      </vt:variant>
      <vt:variant>
        <vt:i4>600</vt:i4>
      </vt:variant>
      <vt:variant>
        <vt:i4>0</vt:i4>
      </vt:variant>
      <vt:variant>
        <vt:i4>5</vt:i4>
      </vt:variant>
      <vt:variant>
        <vt:lpwstr>https://doi.org/10.1787/00435b80-en</vt:lpwstr>
      </vt:variant>
      <vt:variant>
        <vt:lpwstr/>
      </vt:variant>
      <vt:variant>
        <vt:i4>7471222</vt:i4>
      </vt:variant>
      <vt:variant>
        <vt:i4>597</vt:i4>
      </vt:variant>
      <vt:variant>
        <vt:i4>0</vt:i4>
      </vt:variant>
      <vt:variant>
        <vt:i4>5</vt:i4>
      </vt:variant>
      <vt:variant>
        <vt:lpwstr>https://doi.org/10.1787/d5f8e3f2-en</vt:lpwstr>
      </vt:variant>
      <vt:variant>
        <vt:lpwstr/>
      </vt:variant>
      <vt:variant>
        <vt:i4>4063296</vt:i4>
      </vt:variant>
      <vt:variant>
        <vt:i4>594</vt:i4>
      </vt:variant>
      <vt:variant>
        <vt:i4>0</vt:i4>
      </vt:variant>
      <vt:variant>
        <vt:i4>5</vt:i4>
      </vt:variant>
      <vt:variant>
        <vt:lpwstr>https://www.oecd.org/content/dam/oecd/en/publications/reports/2022/06/strengthening-career-guidance-for-mid-career-adults-in-australia_15e98413/e08803ce-en.pdf</vt:lpwstr>
      </vt:variant>
      <vt:variant>
        <vt:lpwstr/>
      </vt:variant>
      <vt:variant>
        <vt:i4>8257561</vt:i4>
      </vt:variant>
      <vt:variant>
        <vt:i4>591</vt:i4>
      </vt:variant>
      <vt:variant>
        <vt:i4>0</vt:i4>
      </vt:variant>
      <vt:variant>
        <vt:i4>5</vt:i4>
      </vt:variant>
      <vt:variant>
        <vt:lpwstr>https://www.oecd.org/en/publications/2018/09/education-at-a-glance-2018_g1g921ab.html</vt:lpwstr>
      </vt:variant>
      <vt:variant>
        <vt:lpwstr/>
      </vt:variant>
      <vt:variant>
        <vt:i4>7995506</vt:i4>
      </vt:variant>
      <vt:variant>
        <vt:i4>588</vt:i4>
      </vt:variant>
      <vt:variant>
        <vt:i4>0</vt:i4>
      </vt:variant>
      <vt:variant>
        <vt:i4>5</vt:i4>
      </vt:variant>
      <vt:variant>
        <vt:lpwstr>https://education.nsw.gov.au/content/dam/main-education/higher-education-and-tertiary-policy/NSW-Higher-Education-Strategy.pdf</vt:lpwstr>
      </vt:variant>
      <vt:variant>
        <vt:lpwstr/>
      </vt:variant>
      <vt:variant>
        <vt:i4>3014681</vt:i4>
      </vt:variant>
      <vt:variant>
        <vt:i4>585</vt:i4>
      </vt:variant>
      <vt:variant>
        <vt:i4>0</vt:i4>
      </vt:variant>
      <vt:variant>
        <vt:i4>5</vt:i4>
      </vt:variant>
      <vt:variant>
        <vt:lpwstr>https://education.nsw.gov.au/content/dam/main-education/about-us/strategies-and-reports/nsw-skills-plan/NSW_Skills_Plan_report.pdf</vt:lpwstr>
      </vt:variant>
      <vt:variant>
        <vt:lpwstr/>
      </vt:variant>
      <vt:variant>
        <vt:i4>6225984</vt:i4>
      </vt:variant>
      <vt:variant>
        <vt:i4>582</vt:i4>
      </vt:variant>
      <vt:variant>
        <vt:i4>0</vt:i4>
      </vt:variant>
      <vt:variant>
        <vt:i4>5</vt:i4>
      </vt:variant>
      <vt:variant>
        <vt:lpwstr>https://grattan.edu.au/report/risks-and-rewards-when-is-vocational-education-a-good-alternative-to-higher-education/</vt:lpwstr>
      </vt:variant>
      <vt:variant>
        <vt:lpwstr/>
      </vt:variant>
      <vt:variant>
        <vt:i4>3997731</vt:i4>
      </vt:variant>
      <vt:variant>
        <vt:i4>579</vt:i4>
      </vt:variant>
      <vt:variant>
        <vt:i4>0</vt:i4>
      </vt:variant>
      <vt:variant>
        <vt:i4>5</vt:i4>
      </vt:variant>
      <vt:variant>
        <vt:lpwstr>https://grattan.edu.au/wp-content/uploads/2018/04/904-dropping-out-the-benefits-and-costs-of-trying-university.pdf</vt:lpwstr>
      </vt:variant>
      <vt:variant>
        <vt:lpwstr/>
      </vt:variant>
      <vt:variant>
        <vt:i4>8257537</vt:i4>
      </vt:variant>
      <vt:variant>
        <vt:i4>576</vt:i4>
      </vt:variant>
      <vt:variant>
        <vt:i4>0</vt:i4>
      </vt:variant>
      <vt:variant>
        <vt:i4>5</vt:i4>
      </vt:variant>
      <vt:variant>
        <vt:lpwstr>https://www.ncver.edu.au/__data/assets/pdf_file/0051/9698649/VET-in-Schools-2024.pdf</vt:lpwstr>
      </vt:variant>
      <vt:variant>
        <vt:lpwstr/>
      </vt:variant>
      <vt:variant>
        <vt:i4>5898366</vt:i4>
      </vt:variant>
      <vt:variant>
        <vt:i4>573</vt:i4>
      </vt:variant>
      <vt:variant>
        <vt:i4>0</vt:i4>
      </vt:variant>
      <vt:variant>
        <vt:i4>5</vt:i4>
      </vt:variant>
      <vt:variant>
        <vt:lpwstr>https://www.ncver.edu.au/__data/assets/pdf_file/0042/9698334/Total-VET-students-and-courses-2024-F.pdf</vt:lpwstr>
      </vt:variant>
      <vt:variant>
        <vt:lpwstr/>
      </vt:variant>
      <vt:variant>
        <vt:i4>4522014</vt:i4>
      </vt:variant>
      <vt:variant>
        <vt:i4>570</vt:i4>
      </vt:variant>
      <vt:variant>
        <vt:i4>0</vt:i4>
      </vt:variant>
      <vt:variant>
        <vt:i4>5</vt:i4>
      </vt:variant>
      <vt:variant>
        <vt:lpwstr>https://www.ncver.edu.au/research-and-statistics/data/databuilder</vt:lpwstr>
      </vt:variant>
      <vt:variant>
        <vt:lpwstr>app-2024-jun</vt:lpwstr>
      </vt:variant>
      <vt:variant>
        <vt:i4>2818144</vt:i4>
      </vt:variant>
      <vt:variant>
        <vt:i4>567</vt:i4>
      </vt:variant>
      <vt:variant>
        <vt:i4>0</vt:i4>
      </vt:variant>
      <vt:variant>
        <vt:i4>5</vt:i4>
      </vt:variant>
      <vt:variant>
        <vt:lpwstr>https://www.ncver.edu.au/news-and-events/media-releases/more-students-in-vocational-education-and-training-in-2023</vt:lpwstr>
      </vt:variant>
      <vt:variant>
        <vt:lpwstr>:~:text=More%20students%20were%20also%20studying,and%20care%2C%20and%20individual%20support.</vt:lpwstr>
      </vt:variant>
      <vt:variant>
        <vt:i4>6684699</vt:i4>
      </vt:variant>
      <vt:variant>
        <vt:i4>564</vt:i4>
      </vt:variant>
      <vt:variant>
        <vt:i4>0</vt:i4>
      </vt:variant>
      <vt:variant>
        <vt:i4>5</vt:i4>
      </vt:variant>
      <vt:variant>
        <vt:lpwstr>https://www.ncver.edu.au/__data/assets/pdf_file/0027/5496102/Higher-apprenticeships-in-Australia.pdf</vt:lpwstr>
      </vt:variant>
      <vt:variant>
        <vt:lpwstr/>
      </vt:variant>
      <vt:variant>
        <vt:i4>3538995</vt:i4>
      </vt:variant>
      <vt:variant>
        <vt:i4>561</vt:i4>
      </vt:variant>
      <vt:variant>
        <vt:i4>0</vt:i4>
      </vt:variant>
      <vt:variant>
        <vt:i4>5</vt:i4>
      </vt:variant>
      <vt:variant>
        <vt:lpwstr>https://research-repository.rmit.edu.au/articles/chapter/Australia_The_emergence_of_dual_sector_universities/27355785/1</vt:lpwstr>
      </vt:variant>
      <vt:variant>
        <vt:lpwstr/>
      </vt:variant>
      <vt:variant>
        <vt:i4>2621503</vt:i4>
      </vt:variant>
      <vt:variant>
        <vt:i4>558</vt:i4>
      </vt:variant>
      <vt:variant>
        <vt:i4>0</vt:i4>
      </vt:variant>
      <vt:variant>
        <vt:i4>5</vt:i4>
      </vt:variant>
      <vt:variant>
        <vt:lpwstr>https://doi.org/10.1007/s13384-023-00650-8</vt:lpwstr>
      </vt:variant>
      <vt:variant>
        <vt:lpwstr/>
      </vt:variant>
      <vt:variant>
        <vt:i4>4390990</vt:i4>
      </vt:variant>
      <vt:variant>
        <vt:i4>555</vt:i4>
      </vt:variant>
      <vt:variant>
        <vt:i4>0</vt:i4>
      </vt:variant>
      <vt:variant>
        <vt:i4>5</vt:i4>
      </vt:variant>
      <vt:variant>
        <vt:lpwstr>https://doi.org/10.1080/1360080X.2018.1553106</vt:lpwstr>
      </vt:variant>
      <vt:variant>
        <vt:lpwstr/>
      </vt:variant>
      <vt:variant>
        <vt:i4>7208980</vt:i4>
      </vt:variant>
      <vt:variant>
        <vt:i4>552</vt:i4>
      </vt:variant>
      <vt:variant>
        <vt:i4>0</vt:i4>
      </vt:variant>
      <vt:variant>
        <vt:i4>5</vt:i4>
      </vt:variant>
      <vt:variant>
        <vt:lpwstr>https://www.ncver.edu.au/__data/assets/pdf_file/0039/9671097/VET-as-a-re-engagement-pathway-for-early-school-leavers.pdf</vt:lpwstr>
      </vt:variant>
      <vt:variant>
        <vt:lpwstr/>
      </vt:variant>
      <vt:variant>
        <vt:i4>2752564</vt:i4>
      </vt:variant>
      <vt:variant>
        <vt:i4>549</vt:i4>
      </vt:variant>
      <vt:variant>
        <vt:i4>0</vt:i4>
      </vt:variant>
      <vt:variant>
        <vt:i4>5</vt:i4>
      </vt:variant>
      <vt:variant>
        <vt:lpwstr>https://www.tandfonline.com/doi/full/10.1080/1360080X.2023.2180163</vt:lpwstr>
      </vt:variant>
      <vt:variant>
        <vt:lpwstr/>
      </vt:variant>
      <vt:variant>
        <vt:i4>3080227</vt:i4>
      </vt:variant>
      <vt:variant>
        <vt:i4>546</vt:i4>
      </vt:variant>
      <vt:variant>
        <vt:i4>0</vt:i4>
      </vt:variant>
      <vt:variant>
        <vt:i4>5</vt:i4>
      </vt:variant>
      <vt:variant>
        <vt:lpwstr>https://figshare.utas.edu.au/articles/conference_contribution/VET_pathways_in_Tasmania_collaborating_for_successful_participation/23091215?file=40817843</vt:lpwstr>
      </vt:variant>
      <vt:variant>
        <vt:lpwstr/>
      </vt:variant>
      <vt:variant>
        <vt:i4>458820</vt:i4>
      </vt:variant>
      <vt:variant>
        <vt:i4>543</vt:i4>
      </vt:variant>
      <vt:variant>
        <vt:i4>0</vt:i4>
      </vt:variant>
      <vt:variant>
        <vt:i4>5</vt:i4>
      </vt:variant>
      <vt:variant>
        <vt:lpwstr>https://doi.org/10.1080/01425692.2019.1707065</vt:lpwstr>
      </vt:variant>
      <vt:variant>
        <vt:lpwstr/>
      </vt:variant>
      <vt:variant>
        <vt:i4>79</vt:i4>
      </vt:variant>
      <vt:variant>
        <vt:i4>540</vt:i4>
      </vt:variant>
      <vt:variant>
        <vt:i4>0</vt:i4>
      </vt:variant>
      <vt:variant>
        <vt:i4>5</vt:i4>
      </vt:variant>
      <vt:variant>
        <vt:lpwstr>https://www.jobsandskills.gov.au/data/vet-national-data-asset</vt:lpwstr>
      </vt:variant>
      <vt:variant>
        <vt:lpwstr/>
      </vt:variant>
      <vt:variant>
        <vt:i4>7274605</vt:i4>
      </vt:variant>
      <vt:variant>
        <vt:i4>537</vt:i4>
      </vt:variant>
      <vt:variant>
        <vt:i4>0</vt:i4>
      </vt:variant>
      <vt:variant>
        <vt:i4>5</vt:i4>
      </vt:variant>
      <vt:variant>
        <vt:lpwstr>https://www.jobsandskills.gov.au/publications/occupation-shortage-report-december-2025</vt:lpwstr>
      </vt:variant>
      <vt:variant>
        <vt:lpwstr/>
      </vt:variant>
      <vt:variant>
        <vt:i4>79</vt:i4>
      </vt:variant>
      <vt:variant>
        <vt:i4>534</vt:i4>
      </vt:variant>
      <vt:variant>
        <vt:i4>0</vt:i4>
      </vt:variant>
      <vt:variant>
        <vt:i4>5</vt:i4>
      </vt:variant>
      <vt:variant>
        <vt:lpwstr>https://www.jobsandskills.gov.au/data/vet-national-data-asset</vt:lpwstr>
      </vt:variant>
      <vt:variant>
        <vt:lpwstr/>
      </vt:variant>
      <vt:variant>
        <vt:i4>1769541</vt:i4>
      </vt:variant>
      <vt:variant>
        <vt:i4>531</vt:i4>
      </vt:variant>
      <vt:variant>
        <vt:i4>0</vt:i4>
      </vt:variant>
      <vt:variant>
        <vt:i4>5</vt:i4>
      </vt:variant>
      <vt:variant>
        <vt:lpwstr>https://www.jobsandskills.gov.au/publications/our-gen-ai-transition-final-release</vt:lpwstr>
      </vt:variant>
      <vt:variant>
        <vt:lpwstr/>
      </vt:variant>
      <vt:variant>
        <vt:i4>524290</vt:i4>
      </vt:variant>
      <vt:variant>
        <vt:i4>528</vt:i4>
      </vt:variant>
      <vt:variant>
        <vt:i4>0</vt:i4>
      </vt:variant>
      <vt:variant>
        <vt:i4>5</vt:i4>
      </vt:variant>
      <vt:variant>
        <vt:lpwstr>https://www.jobsandskills.gov.au/publications/opportunity-and-productivity-towards-tertiary-harmonisation-roadmap</vt:lpwstr>
      </vt:variant>
      <vt:variant>
        <vt:lpwstr/>
      </vt:variant>
      <vt:variant>
        <vt:i4>4653074</vt:i4>
      </vt:variant>
      <vt:variant>
        <vt:i4>525</vt:i4>
      </vt:variant>
      <vt:variant>
        <vt:i4>0</vt:i4>
      </vt:variant>
      <vt:variant>
        <vt:i4>5</vt:i4>
      </vt:variant>
      <vt:variant>
        <vt:lpwstr>https://www.jobsandskills.gov.au/consultations/have-your-say-building-system-puts-people-and-skills-first</vt:lpwstr>
      </vt:variant>
      <vt:variant>
        <vt:lpwstr/>
      </vt:variant>
      <vt:variant>
        <vt:i4>5767179</vt:i4>
      </vt:variant>
      <vt:variant>
        <vt:i4>522</vt:i4>
      </vt:variant>
      <vt:variant>
        <vt:i4>0</vt:i4>
      </vt:variant>
      <vt:variant>
        <vt:i4>5</vt:i4>
      </vt:variant>
      <vt:variant>
        <vt:lpwstr>https://www.jobsandskills.gov.au/publications/jobs-and-skills-report-2025</vt:lpwstr>
      </vt:variant>
      <vt:variant>
        <vt:lpwstr/>
      </vt:variant>
      <vt:variant>
        <vt:i4>1179726</vt:i4>
      </vt:variant>
      <vt:variant>
        <vt:i4>519</vt:i4>
      </vt:variant>
      <vt:variant>
        <vt:i4>0</vt:i4>
      </vt:variant>
      <vt:variant>
        <vt:i4>5</vt:i4>
      </vt:variant>
      <vt:variant>
        <vt:lpwstr>https://www.jobsandskills.gov.au/data/employment-projections</vt:lpwstr>
      </vt:variant>
      <vt:variant>
        <vt:lpwstr/>
      </vt:variant>
      <vt:variant>
        <vt:i4>4390977</vt:i4>
      </vt:variant>
      <vt:variant>
        <vt:i4>516</vt:i4>
      </vt:variant>
      <vt:variant>
        <vt:i4>0</vt:i4>
      </vt:variant>
      <vt:variant>
        <vt:i4>5</vt:i4>
      </vt:variant>
      <vt:variant>
        <vt:lpwstr>https://www.jobsandskills.gov.au/studies/vet-workforce-study</vt:lpwstr>
      </vt:variant>
      <vt:variant>
        <vt:lpwstr/>
      </vt:variant>
      <vt:variant>
        <vt:i4>7012396</vt:i4>
      </vt:variant>
      <vt:variant>
        <vt:i4>513</vt:i4>
      </vt:variant>
      <vt:variant>
        <vt:i4>0</vt:i4>
      </vt:variant>
      <vt:variant>
        <vt:i4>5</vt:i4>
      </vt:variant>
      <vt:variant>
        <vt:lpwstr>https://www.jobsandskills.gov.au/download/19660/regional-rural-and-remote-australia-jobs-and-skills-roadmap/2752/regional-rural-and-remote-jobs-and-skills-interim-roadmap/pdf</vt:lpwstr>
      </vt:variant>
      <vt:variant>
        <vt:lpwstr/>
      </vt:variant>
      <vt:variant>
        <vt:i4>524298</vt:i4>
      </vt:variant>
      <vt:variant>
        <vt:i4>510</vt:i4>
      </vt:variant>
      <vt:variant>
        <vt:i4>0</vt:i4>
      </vt:variant>
      <vt:variant>
        <vt:i4>5</vt:i4>
      </vt:variant>
      <vt:variant>
        <vt:lpwstr>https://www.jobsandskills.gov.au/publications/strong-and-responsive-vet-pathways</vt:lpwstr>
      </vt:variant>
      <vt:variant>
        <vt:lpwstr/>
      </vt:variant>
      <vt:variant>
        <vt:i4>2752568</vt:i4>
      </vt:variant>
      <vt:variant>
        <vt:i4>507</vt:i4>
      </vt:variant>
      <vt:variant>
        <vt:i4>0</vt:i4>
      </vt:variant>
      <vt:variant>
        <vt:i4>5</vt:i4>
      </vt:variant>
      <vt:variant>
        <vt:lpwstr>https://www.jobsandskills.gov.au/sites/default/files/2024-03/skills_shortage_drivers_-_a_companion_paper.pdf</vt:lpwstr>
      </vt:variant>
      <vt:variant>
        <vt:lpwstr/>
      </vt:variant>
      <vt:variant>
        <vt:i4>6553722</vt:i4>
      </vt:variant>
      <vt:variant>
        <vt:i4>504</vt:i4>
      </vt:variant>
      <vt:variant>
        <vt:i4>0</vt:i4>
      </vt:variant>
      <vt:variant>
        <vt:i4>5</vt:i4>
      </vt:variant>
      <vt:variant>
        <vt:lpwstr>https://www.jobsandskills.gov.au/publications/VET-Student-Outcomes-top-100-courses</vt:lpwstr>
      </vt:variant>
      <vt:variant>
        <vt:lpwstr/>
      </vt:variant>
      <vt:variant>
        <vt:i4>6029404</vt:i4>
      </vt:variant>
      <vt:variant>
        <vt:i4>501</vt:i4>
      </vt:variant>
      <vt:variant>
        <vt:i4>0</vt:i4>
      </vt:variant>
      <vt:variant>
        <vt:i4>5</vt:i4>
      </vt:variant>
      <vt:variant>
        <vt:lpwstr>https://research.ebsco.com/linkprocessor/v2-external?opid=djjwud&amp;recordId=zi4cbjmv2n&amp;url=https%3A%2F%2Fsearch.informit.org%2Fdoi%2F10.3316%2Faeipt.228987</vt:lpwstr>
      </vt:variant>
      <vt:variant>
        <vt:lpwstr/>
      </vt:variant>
      <vt:variant>
        <vt:i4>4390987</vt:i4>
      </vt:variant>
      <vt:variant>
        <vt:i4>498</vt:i4>
      </vt:variant>
      <vt:variant>
        <vt:i4>0</vt:i4>
      </vt:variant>
      <vt:variant>
        <vt:i4>5</vt:i4>
      </vt:variant>
      <vt:variant>
        <vt:lpwstr>https://doi.org/10.1080/1360080X.2023.2212850</vt:lpwstr>
      </vt:variant>
      <vt:variant>
        <vt:lpwstr/>
      </vt:variant>
      <vt:variant>
        <vt:i4>917579</vt:i4>
      </vt:variant>
      <vt:variant>
        <vt:i4>495</vt:i4>
      </vt:variant>
      <vt:variant>
        <vt:i4>0</vt:i4>
      </vt:variant>
      <vt:variant>
        <vt:i4>5</vt:i4>
      </vt:variant>
      <vt:variant>
        <vt:lpwstr>https://doi.org/10.1080/07294360.2024.2307929</vt:lpwstr>
      </vt:variant>
      <vt:variant>
        <vt:lpwstr/>
      </vt:variant>
      <vt:variant>
        <vt:i4>7143550</vt:i4>
      </vt:variant>
      <vt:variant>
        <vt:i4>492</vt:i4>
      </vt:variant>
      <vt:variant>
        <vt:i4>0</vt:i4>
      </vt:variant>
      <vt:variant>
        <vt:i4>5</vt:i4>
      </vt:variant>
      <vt:variant>
        <vt:lpwstr>https://www.education.gov.au/higher-education-reviews-and-consultations/resources/credit-pathways-vet-and-higher-education</vt:lpwstr>
      </vt:variant>
      <vt:variant>
        <vt:lpwstr/>
      </vt:variant>
      <vt:variant>
        <vt:i4>1769503</vt:i4>
      </vt:variant>
      <vt:variant>
        <vt:i4>489</vt:i4>
      </vt:variant>
      <vt:variant>
        <vt:i4>0</vt:i4>
      </vt:variant>
      <vt:variant>
        <vt:i4>5</vt:i4>
      </vt:variant>
      <vt:variant>
        <vt:lpwstr>https://www.iat.tafensw.edu.au/about</vt:lpwstr>
      </vt:variant>
      <vt:variant>
        <vt:lpwstr/>
      </vt:variant>
      <vt:variant>
        <vt:i4>5832727</vt:i4>
      </vt:variant>
      <vt:variant>
        <vt:i4>486</vt:i4>
      </vt:variant>
      <vt:variant>
        <vt:i4>0</vt:i4>
      </vt:variant>
      <vt:variant>
        <vt:i4>5</vt:i4>
      </vt:variant>
      <vt:variant>
        <vt:lpwstr>https://www.voced.edu.au/content/ngv%3A92337</vt:lpwstr>
      </vt:variant>
      <vt:variant>
        <vt:lpwstr/>
      </vt:variant>
      <vt:variant>
        <vt:i4>7864407</vt:i4>
      </vt:variant>
      <vt:variant>
        <vt:i4>483</vt:i4>
      </vt:variant>
      <vt:variant>
        <vt:i4>0</vt:i4>
      </vt:variant>
      <vt:variant>
        <vt:i4>5</vt:i4>
      </vt:variant>
      <vt:variant>
        <vt:lpwstr>https://www.ncver.edu.au/__data/assets/pdf_file/0045/9669753/The-best-of-both-worlds-Integrating-VET-and-higher-educationsupport-document.pdf</vt:lpwstr>
      </vt:variant>
      <vt:variant>
        <vt:lpwstr/>
      </vt:variant>
      <vt:variant>
        <vt:i4>6291462</vt:i4>
      </vt:variant>
      <vt:variant>
        <vt:i4>480</vt:i4>
      </vt:variant>
      <vt:variant>
        <vt:i4>0</vt:i4>
      </vt:variant>
      <vt:variant>
        <vt:i4>5</vt:i4>
      </vt:variant>
      <vt:variant>
        <vt:lpwstr>https://www.ncver.edu.au/__data/assets/pdf_file/0043/9669751/The-best-of-both-worlds-Integrating-VET-and-higher-education.pdf</vt:lpwstr>
      </vt:variant>
      <vt:variant>
        <vt:lpwstr/>
      </vt:variant>
      <vt:variant>
        <vt:i4>852034</vt:i4>
      </vt:variant>
      <vt:variant>
        <vt:i4>477</vt:i4>
      </vt:variant>
      <vt:variant>
        <vt:i4>0</vt:i4>
      </vt:variant>
      <vt:variant>
        <vt:i4>5</vt:i4>
      </vt:variant>
      <vt:variant>
        <vt:lpwstr>https://doi.org/10.1080/14480220.2024.2330453</vt:lpwstr>
      </vt:variant>
      <vt:variant>
        <vt:lpwstr/>
      </vt:variant>
      <vt:variant>
        <vt:i4>4063357</vt:i4>
      </vt:variant>
      <vt:variant>
        <vt:i4>474</vt:i4>
      </vt:variant>
      <vt:variant>
        <vt:i4>0</vt:i4>
      </vt:variant>
      <vt:variant>
        <vt:i4>5</vt:i4>
      </vt:variant>
      <vt:variant>
        <vt:lpwstr>http://dx.doi.org/10.1080/1360080X.2017.1300986</vt:lpwstr>
      </vt:variant>
      <vt:variant>
        <vt:lpwstr/>
      </vt:variant>
      <vt:variant>
        <vt:i4>262172</vt:i4>
      </vt:variant>
      <vt:variant>
        <vt:i4>471</vt:i4>
      </vt:variant>
      <vt:variant>
        <vt:i4>0</vt:i4>
      </vt:variant>
      <vt:variant>
        <vt:i4>5</vt:i4>
      </vt:variant>
      <vt:variant>
        <vt:lpwstr>https://eric.ed.gov/?id=EJ864790</vt:lpwstr>
      </vt:variant>
      <vt:variant>
        <vt:lpwstr/>
      </vt:variant>
      <vt:variant>
        <vt:i4>589923</vt:i4>
      </vt:variant>
      <vt:variant>
        <vt:i4>468</vt:i4>
      </vt:variant>
      <vt:variant>
        <vt:i4>0</vt:i4>
      </vt:variant>
      <vt:variant>
        <vt:i4>5</vt:i4>
      </vt:variant>
      <vt:variant>
        <vt:lpwstr>https://www.ncver.edu.au/__data/assets/pdf_file/0024/1142691/Choosing-VET-aspirations-intentions-and-choice.pdf</vt:lpwstr>
      </vt:variant>
      <vt:variant>
        <vt:lpwstr/>
      </vt:variant>
      <vt:variant>
        <vt:i4>7340057</vt:i4>
      </vt:variant>
      <vt:variant>
        <vt:i4>465</vt:i4>
      </vt:variant>
      <vt:variant>
        <vt:i4>0</vt:i4>
      </vt:variant>
      <vt:variant>
        <vt:i4>5</vt:i4>
      </vt:variant>
      <vt:variant>
        <vt:lpwstr>https://education.nsw.gov.au/content/dam/main-education/about-us/strategies-and-reports/Final_VET_Sector_Report.pdf</vt:lpwstr>
      </vt:variant>
      <vt:variant>
        <vt:lpwstr/>
      </vt:variant>
      <vt:variant>
        <vt:i4>3735657</vt:i4>
      </vt:variant>
      <vt:variant>
        <vt:i4>462</vt:i4>
      </vt:variant>
      <vt:variant>
        <vt:i4>0</vt:i4>
      </vt:variant>
      <vt:variant>
        <vt:i4>5</vt:i4>
      </vt:variant>
      <vt:variant>
        <vt:lpwstr>https://doi.org/10.53761/1.20.7.04</vt:lpwstr>
      </vt:variant>
      <vt:variant>
        <vt:lpwstr/>
      </vt:variant>
      <vt:variant>
        <vt:i4>6815844</vt:i4>
      </vt:variant>
      <vt:variant>
        <vt:i4>459</vt:i4>
      </vt:variant>
      <vt:variant>
        <vt:i4>0</vt:i4>
      </vt:variant>
      <vt:variant>
        <vt:i4>5</vt:i4>
      </vt:variant>
      <vt:variant>
        <vt:lpwstr>https://www.fya.org.au/app/uploads/2021/09/FYA_TheNewWorkSmarts_July2017.pdf</vt:lpwstr>
      </vt:variant>
      <vt:variant>
        <vt:lpwstr/>
      </vt:variant>
      <vt:variant>
        <vt:i4>5636159</vt:i4>
      </vt:variant>
      <vt:variant>
        <vt:i4>456</vt:i4>
      </vt:variant>
      <vt:variant>
        <vt:i4>0</vt:i4>
      </vt:variant>
      <vt:variant>
        <vt:i4>5</vt:i4>
      </vt:variant>
      <vt:variant>
        <vt:lpwstr>https://www.ncver.edu.au/__data/assets/pdf_file/0027/158706/Boundaries_-and-_connections_between_VET_-and-_higher_ed_sectors.pdf</vt:lpwstr>
      </vt:variant>
      <vt:variant>
        <vt:lpwstr/>
      </vt:variant>
      <vt:variant>
        <vt:i4>4980742</vt:i4>
      </vt:variant>
      <vt:variant>
        <vt:i4>453</vt:i4>
      </vt:variant>
      <vt:variant>
        <vt:i4>0</vt:i4>
      </vt:variant>
      <vt:variant>
        <vt:i4>5</vt:i4>
      </vt:variant>
      <vt:variant>
        <vt:lpwstr>https://www.flinders.edu.au/study/pathways/tafevet-to-uni/dual-offers</vt:lpwstr>
      </vt:variant>
      <vt:variant>
        <vt:lpwstr/>
      </vt:variant>
      <vt:variant>
        <vt:i4>8126576</vt:i4>
      </vt:variant>
      <vt:variant>
        <vt:i4>450</vt:i4>
      </vt:variant>
      <vt:variant>
        <vt:i4>0</vt:i4>
      </vt:variant>
      <vt:variant>
        <vt:i4>5</vt:i4>
      </vt:variant>
      <vt:variant>
        <vt:lpwstr>http://dx.doi.org/10.1080/01596306.2016.1173650</vt:lpwstr>
      </vt:variant>
      <vt:variant>
        <vt:lpwstr/>
      </vt:variant>
      <vt:variant>
        <vt:i4>524303</vt:i4>
      </vt:variant>
      <vt:variant>
        <vt:i4>447</vt:i4>
      </vt:variant>
      <vt:variant>
        <vt:i4>0</vt:i4>
      </vt:variant>
      <vt:variant>
        <vt:i4>5</vt:i4>
      </vt:variant>
      <vt:variant>
        <vt:lpwstr>https://www.education.gov.au/higher-education-statistics/student-data/selected-higher-education-statistics-2024-student-data</vt:lpwstr>
      </vt:variant>
      <vt:variant>
        <vt:lpwstr/>
      </vt:variant>
      <vt:variant>
        <vt:i4>7798908</vt:i4>
      </vt:variant>
      <vt:variant>
        <vt:i4>444</vt:i4>
      </vt:variant>
      <vt:variant>
        <vt:i4>0</vt:i4>
      </vt:variant>
      <vt:variant>
        <vt:i4>5</vt:i4>
      </vt:variant>
      <vt:variant>
        <vt:lpwstr>https://www.education.gov.au/regional-university-study-hubs</vt:lpwstr>
      </vt:variant>
      <vt:variant>
        <vt:lpwstr/>
      </vt:variant>
      <vt:variant>
        <vt:i4>3932215</vt:i4>
      </vt:variant>
      <vt:variant>
        <vt:i4>441</vt:i4>
      </vt:variant>
      <vt:variant>
        <vt:i4>0</vt:i4>
      </vt:variant>
      <vt:variant>
        <vt:i4>5</vt:i4>
      </vt:variant>
      <vt:variant>
        <vt:lpwstr>https://www.education.gov.au/quality-and-legislative-frameworks/resources/review-australian-qualifications-framework-final-report-2019</vt:lpwstr>
      </vt:variant>
      <vt:variant>
        <vt:lpwstr/>
      </vt:variant>
      <vt:variant>
        <vt:i4>327771</vt:i4>
      </vt:variant>
      <vt:variant>
        <vt:i4>438</vt:i4>
      </vt:variant>
      <vt:variant>
        <vt:i4>0</vt:i4>
      </vt:variant>
      <vt:variant>
        <vt:i4>5</vt:i4>
      </vt:variant>
      <vt:variant>
        <vt:lpwstr>https://www.dewr.gov.au/vet-qualification-reform</vt:lpwstr>
      </vt:variant>
      <vt:variant>
        <vt:lpwstr/>
      </vt:variant>
      <vt:variant>
        <vt:i4>1769498</vt:i4>
      </vt:variant>
      <vt:variant>
        <vt:i4>435</vt:i4>
      </vt:variant>
      <vt:variant>
        <vt:i4>0</vt:i4>
      </vt:variant>
      <vt:variant>
        <vt:i4>5</vt:i4>
      </vt:variant>
      <vt:variant>
        <vt:lpwstr>https://www.dewr.gov.au/national-skills-agreement/tafe-centres-excellence</vt:lpwstr>
      </vt:variant>
      <vt:variant>
        <vt:lpwstr/>
      </vt:variant>
      <vt:variant>
        <vt:i4>5177437</vt:i4>
      </vt:variant>
      <vt:variant>
        <vt:i4>432</vt:i4>
      </vt:variant>
      <vt:variant>
        <vt:i4>0</vt:i4>
      </vt:variant>
      <vt:variant>
        <vt:i4>5</vt:i4>
      </vt:variant>
      <vt:variant>
        <vt:lpwstr>https://www.dewr.gov.au/remote-training-hubs-network</vt:lpwstr>
      </vt:variant>
      <vt:variant>
        <vt:lpwstr/>
      </vt:variant>
      <vt:variant>
        <vt:i4>5046288</vt:i4>
      </vt:variant>
      <vt:variant>
        <vt:i4>429</vt:i4>
      </vt:variant>
      <vt:variant>
        <vt:i4>0</vt:i4>
      </vt:variant>
      <vt:variant>
        <vt:i4>5</vt:i4>
      </vt:variant>
      <vt:variant>
        <vt:lpwstr>https://www.dewr.gov.au/vet-student-loans/vet-information-students/information-vet-student-loans-students</vt:lpwstr>
      </vt:variant>
      <vt:variant>
        <vt:lpwstr/>
      </vt:variant>
      <vt:variant>
        <vt:i4>7340089</vt:i4>
      </vt:variant>
      <vt:variant>
        <vt:i4>426</vt:i4>
      </vt:variant>
      <vt:variant>
        <vt:i4>0</vt:i4>
      </vt:variant>
      <vt:variant>
        <vt:i4>5</vt:i4>
      </vt:variant>
      <vt:variant>
        <vt:lpwstr>https://www.dewr.gov.au/skills-reform/fee-free-tafe</vt:lpwstr>
      </vt:variant>
      <vt:variant>
        <vt:lpwstr/>
      </vt:variant>
      <vt:variant>
        <vt:i4>1966109</vt:i4>
      </vt:variant>
      <vt:variant>
        <vt:i4>423</vt:i4>
      </vt:variant>
      <vt:variant>
        <vt:i4>0</vt:i4>
      </vt:variant>
      <vt:variant>
        <vt:i4>5</vt:i4>
      </vt:variant>
      <vt:variant>
        <vt:lpwstr>https://www.dewr.gov.au/download/16296/strategic-review-australian-apprenticeships-incentive-system-background-paper/37296/strategic-review-australian-apprenticeships-incentive-system-background-paper/pdf</vt:lpwstr>
      </vt:variant>
      <vt:variant>
        <vt:lpwstr/>
      </vt:variant>
      <vt:variant>
        <vt:i4>7733364</vt:i4>
      </vt:variant>
      <vt:variant>
        <vt:i4>420</vt:i4>
      </vt:variant>
      <vt:variant>
        <vt:i4>0</vt:i4>
      </vt:variant>
      <vt:variant>
        <vt:i4>5</vt:i4>
      </vt:variant>
      <vt:variant>
        <vt:lpwstr>https://www.dewr.gov.au/download/16795/strategic-review-australian-apprenticeship-incentive-system-final-report/39422/strategic-review-australian-apprenticeship-incentive-system-final-report/pdf</vt:lpwstr>
      </vt:variant>
      <vt:variant>
        <vt:lpwstr/>
      </vt:variant>
      <vt:variant>
        <vt:i4>8257596</vt:i4>
      </vt:variant>
      <vt:variant>
        <vt:i4>417</vt:i4>
      </vt:variant>
      <vt:variant>
        <vt:i4>0</vt:i4>
      </vt:variant>
      <vt:variant>
        <vt:i4>5</vt:i4>
      </vt:variant>
      <vt:variant>
        <vt:lpwstr>https://www.vu.edu.au/sites/default/files/mitchell-institute-report-national-job-cadet-program.pdf</vt:lpwstr>
      </vt:variant>
      <vt:variant>
        <vt:lpwstr/>
      </vt:variant>
      <vt:variant>
        <vt:i4>8323126</vt:i4>
      </vt:variant>
      <vt:variant>
        <vt:i4>414</vt:i4>
      </vt:variant>
      <vt:variant>
        <vt:i4>0</vt:i4>
      </vt:variant>
      <vt:variant>
        <vt:i4>5</vt:i4>
      </vt:variant>
      <vt:variant>
        <vt:lpwstr>https://www.vu.edu.au/sites/default/files/rethinking-and-revitalising-tertiary-education-mitchell-institute.pdf</vt:lpwstr>
      </vt:variant>
      <vt:variant>
        <vt:lpwstr/>
      </vt:variant>
      <vt:variant>
        <vt:i4>7340149</vt:i4>
      </vt:variant>
      <vt:variant>
        <vt:i4>411</vt:i4>
      </vt:variant>
      <vt:variant>
        <vt:i4>0</vt:i4>
      </vt:variant>
      <vt:variant>
        <vt:i4>5</vt:i4>
      </vt:variant>
      <vt:variant>
        <vt:lpwstr>https://search.informit.org/doi/10.3316/aeipt.191910 /</vt:lpwstr>
      </vt:variant>
      <vt:variant>
        <vt:lpwstr/>
      </vt:variant>
      <vt:variant>
        <vt:i4>786510</vt:i4>
      </vt:variant>
      <vt:variant>
        <vt:i4>408</vt:i4>
      </vt:variant>
      <vt:variant>
        <vt:i4>0</vt:i4>
      </vt:variant>
      <vt:variant>
        <vt:i4>5</vt:i4>
      </vt:variant>
      <vt:variant>
        <vt:lpwstr>https://doi.org/10.1080/07294360.2019.1705255</vt:lpwstr>
      </vt:variant>
      <vt:variant>
        <vt:lpwstr/>
      </vt:variant>
      <vt:variant>
        <vt:i4>6422567</vt:i4>
      </vt:variant>
      <vt:variant>
        <vt:i4>405</vt:i4>
      </vt:variant>
      <vt:variant>
        <vt:i4>0</vt:i4>
      </vt:variant>
      <vt:variant>
        <vt:i4>5</vt:i4>
      </vt:variant>
      <vt:variant>
        <vt:lpwstr>https://www.suttontrust.com/wp-content/uploads/2020/05/Degree-Apprenticeships-Levelling-Up.pdf</vt:lpwstr>
      </vt:variant>
      <vt:variant>
        <vt:lpwstr/>
      </vt:variant>
      <vt:variant>
        <vt:i4>5308436</vt:i4>
      </vt:variant>
      <vt:variant>
        <vt:i4>402</vt:i4>
      </vt:variant>
      <vt:variant>
        <vt:i4>0</vt:i4>
      </vt:variant>
      <vt:variant>
        <vt:i4>5</vt:i4>
      </vt:variant>
      <vt:variant>
        <vt:lpwstr>https://herdsa.org.au/system/files/HERDSA_2011_Cram.PDF</vt:lpwstr>
      </vt:variant>
      <vt:variant>
        <vt:lpwstr/>
      </vt:variant>
      <vt:variant>
        <vt:i4>852039</vt:i4>
      </vt:variant>
      <vt:variant>
        <vt:i4>399</vt:i4>
      </vt:variant>
      <vt:variant>
        <vt:i4>0</vt:i4>
      </vt:variant>
      <vt:variant>
        <vt:i4>5</vt:i4>
      </vt:variant>
      <vt:variant>
        <vt:lpwstr>https://doi.org/10.1080/03054985.2023.2282628</vt:lpwstr>
      </vt:variant>
      <vt:variant>
        <vt:lpwstr/>
      </vt:variant>
      <vt:variant>
        <vt:i4>3735641</vt:i4>
      </vt:variant>
      <vt:variant>
        <vt:i4>396</vt:i4>
      </vt:variant>
      <vt:variant>
        <vt:i4>0</vt:i4>
      </vt:variant>
      <vt:variant>
        <vt:i4>5</vt:i4>
      </vt:variant>
      <vt:variant>
        <vt:lpwstr>https://generationsurvey.org.au/data_story/how-educational-plans-differ-by-gender/</vt:lpwstr>
      </vt:variant>
      <vt:variant>
        <vt:lpwstr/>
      </vt:variant>
      <vt:variant>
        <vt:i4>1179739</vt:i4>
      </vt:variant>
      <vt:variant>
        <vt:i4>393</vt:i4>
      </vt:variant>
      <vt:variant>
        <vt:i4>0</vt:i4>
      </vt:variant>
      <vt:variant>
        <vt:i4>5</vt:i4>
      </vt:variant>
      <vt:variant>
        <vt:lpwstr>https://doi.org/10.1177/07417136231211579</vt:lpwstr>
      </vt:variant>
      <vt:variant>
        <vt:lpwstr/>
      </vt:variant>
      <vt:variant>
        <vt:i4>6357012</vt:i4>
      </vt:variant>
      <vt:variant>
        <vt:i4>390</vt:i4>
      </vt:variant>
      <vt:variant>
        <vt:i4>0</vt:i4>
      </vt:variant>
      <vt:variant>
        <vt:i4>5</vt:i4>
      </vt:variant>
      <vt:variant>
        <vt:lpwstr>https://www.ncver.edu.au/__data/assets/pdf_file/0024/1142628/In-their-words-student-choice-in-training-markets-victorian-examples.pdf</vt:lpwstr>
      </vt:variant>
      <vt:variant>
        <vt:lpwstr/>
      </vt:variant>
      <vt:variant>
        <vt:i4>983114</vt:i4>
      </vt:variant>
      <vt:variant>
        <vt:i4>387</vt:i4>
      </vt:variant>
      <vt:variant>
        <vt:i4>0</vt:i4>
      </vt:variant>
      <vt:variant>
        <vt:i4>5</vt:i4>
      </vt:variant>
      <vt:variant>
        <vt:lpwstr>https://doi.org/10.1080/07294360.2023.2287722</vt:lpwstr>
      </vt:variant>
      <vt:variant>
        <vt:lpwstr/>
      </vt:variant>
      <vt:variant>
        <vt:i4>6357097</vt:i4>
      </vt:variant>
      <vt:variant>
        <vt:i4>384</vt:i4>
      </vt:variant>
      <vt:variant>
        <vt:i4>0</vt:i4>
      </vt:variant>
      <vt:variant>
        <vt:i4>5</vt:i4>
      </vt:variant>
      <vt:variant>
        <vt:lpwstr>https://www.voced.edu.au/content/ngv:32134</vt:lpwstr>
      </vt:variant>
      <vt:variant>
        <vt:lpwstr/>
      </vt:variant>
      <vt:variant>
        <vt:i4>7274538</vt:i4>
      </vt:variant>
      <vt:variant>
        <vt:i4>381</vt:i4>
      </vt:variant>
      <vt:variant>
        <vt:i4>0</vt:i4>
      </vt:variant>
      <vt:variant>
        <vt:i4>5</vt:i4>
      </vt:variant>
      <vt:variant>
        <vt:lpwstr>https://doi.org/10.13152/IJRVET.11.2.3</vt:lpwstr>
      </vt:variant>
      <vt:variant>
        <vt:lpwstr/>
      </vt:variant>
      <vt:variant>
        <vt:i4>983105</vt:i4>
      </vt:variant>
      <vt:variant>
        <vt:i4>378</vt:i4>
      </vt:variant>
      <vt:variant>
        <vt:i4>0</vt:i4>
      </vt:variant>
      <vt:variant>
        <vt:i4>5</vt:i4>
      </vt:variant>
      <vt:variant>
        <vt:lpwstr>https://doi.org/10.1080/13636820.2020.1751247</vt:lpwstr>
      </vt:variant>
      <vt:variant>
        <vt:lpwstr/>
      </vt:variant>
      <vt:variant>
        <vt:i4>4128804</vt:i4>
      </vt:variant>
      <vt:variant>
        <vt:i4>375</vt:i4>
      </vt:variant>
      <vt:variant>
        <vt:i4>0</vt:i4>
      </vt:variant>
      <vt:variant>
        <vt:i4>5</vt:i4>
      </vt:variant>
      <vt:variant>
        <vt:lpwstr>https://doi.org/10.1016/j.ijer.2025.102560</vt:lpwstr>
      </vt:variant>
      <vt:variant>
        <vt:lpwstr/>
      </vt:variant>
      <vt:variant>
        <vt:i4>7078000</vt:i4>
      </vt:variant>
      <vt:variant>
        <vt:i4>372</vt:i4>
      </vt:variant>
      <vt:variant>
        <vt:i4>0</vt:i4>
      </vt:variant>
      <vt:variant>
        <vt:i4>5</vt:i4>
      </vt:variant>
      <vt:variant>
        <vt:lpwstr>https://www.aqf.edu.au/download/405/aqf-second-edition/3/aqf-second-edition/pdf</vt:lpwstr>
      </vt:variant>
      <vt:variant>
        <vt:lpwstr/>
      </vt:variant>
      <vt:variant>
        <vt:i4>3473511</vt:i4>
      </vt:variant>
      <vt:variant>
        <vt:i4>369</vt:i4>
      </vt:variant>
      <vt:variant>
        <vt:i4>0</vt:i4>
      </vt:variant>
      <vt:variant>
        <vt:i4>5</vt:i4>
      </vt:variant>
      <vt:variant>
        <vt:lpwstr>https://apprentices.australianindustrygroup.com.au/programs/degree-level-apprenticeships/queensland-electrical-dual-qualification/</vt:lpwstr>
      </vt:variant>
      <vt:variant>
        <vt:lpwstr/>
      </vt:variant>
      <vt:variant>
        <vt:i4>2424946</vt:i4>
      </vt:variant>
      <vt:variant>
        <vt:i4>366</vt:i4>
      </vt:variant>
      <vt:variant>
        <vt:i4>0</vt:i4>
      </vt:variant>
      <vt:variant>
        <vt:i4>5</vt:i4>
      </vt:variant>
      <vt:variant>
        <vt:lpwstr>https://ausmasa.org.au/media/jmwlxaj2/ausmasa-aqf7-phase-1-report-excerpts.pdf</vt:lpwstr>
      </vt:variant>
      <vt:variant>
        <vt:lpwstr/>
      </vt:variant>
      <vt:variant>
        <vt:i4>327744</vt:i4>
      </vt:variant>
      <vt:variant>
        <vt:i4>363</vt:i4>
      </vt:variant>
      <vt:variant>
        <vt:i4>0</vt:i4>
      </vt:variant>
      <vt:variant>
        <vt:i4>5</vt:i4>
      </vt:variant>
      <vt:variant>
        <vt:lpwstr>https://www.teqsa.gov.au/how-we-regulate/dual-sector-regulatory-strategy</vt:lpwstr>
      </vt:variant>
      <vt:variant>
        <vt:lpwstr/>
      </vt:variant>
      <vt:variant>
        <vt:i4>852058</vt:i4>
      </vt:variant>
      <vt:variant>
        <vt:i4>360</vt:i4>
      </vt:variant>
      <vt:variant>
        <vt:i4>0</vt:i4>
      </vt:variant>
      <vt:variant>
        <vt:i4>5</vt:i4>
      </vt:variant>
      <vt:variant>
        <vt:lpwstr>https://www.asqa.gov.au/about-us/how-we-regulate/risk-priorities/risk-priority-recognition-of-prior-learning</vt:lpwstr>
      </vt:variant>
      <vt:variant>
        <vt:lpwstr/>
      </vt:variant>
      <vt:variant>
        <vt:i4>8061045</vt:i4>
      </vt:variant>
      <vt:variant>
        <vt:i4>357</vt:i4>
      </vt:variant>
      <vt:variant>
        <vt:i4>0</vt:i4>
      </vt:variant>
      <vt:variant>
        <vt:i4>5</vt:i4>
      </vt:variant>
      <vt:variant>
        <vt:lpwstr>https://www.asqa.gov.au/for-students/credit-transfer-and-recognition-prior-learning</vt:lpwstr>
      </vt:variant>
      <vt:variant>
        <vt:lpwstr/>
      </vt:variant>
      <vt:variant>
        <vt:i4>1769549</vt:i4>
      </vt:variant>
      <vt:variant>
        <vt:i4>354</vt:i4>
      </vt:variant>
      <vt:variant>
        <vt:i4>0</vt:i4>
      </vt:variant>
      <vt:variant>
        <vt:i4>5</vt:i4>
      </vt:variant>
      <vt:variant>
        <vt:lpwstr>https://generationsurvey.org.au/benchmarkreports/</vt:lpwstr>
      </vt:variant>
      <vt:variant>
        <vt:lpwstr>benchmark-report</vt:lpwstr>
      </vt:variant>
      <vt:variant>
        <vt:i4>4915207</vt:i4>
      </vt:variant>
      <vt:variant>
        <vt:i4>351</vt:i4>
      </vt:variant>
      <vt:variant>
        <vt:i4>0</vt:i4>
      </vt:variant>
      <vt:variant>
        <vt:i4>5</vt:i4>
      </vt:variant>
      <vt:variant>
        <vt:lpwstr>http://www.journal.aall.org.au/index.php/jall/article/viewArticle/257</vt:lpwstr>
      </vt:variant>
      <vt:variant>
        <vt:lpwstr/>
      </vt:variant>
      <vt:variant>
        <vt:i4>3866640</vt:i4>
      </vt:variant>
      <vt:variant>
        <vt:i4>348</vt:i4>
      </vt:variant>
      <vt:variant>
        <vt:i4>0</vt:i4>
      </vt:variant>
      <vt:variant>
        <vt:i4>5</vt:i4>
      </vt:variant>
      <vt:variant>
        <vt:lpwstr>https://www.oecd.org/content/dam/oecd/en/publications/reports/2017/07/skills-mismatch-productivity-and-policies_b2d3135d/65dab7c6-en.pdf</vt:lpwstr>
      </vt:variant>
      <vt:variant>
        <vt:lpwstr/>
      </vt:variant>
      <vt:variant>
        <vt:i4>917535</vt:i4>
      </vt:variant>
      <vt:variant>
        <vt:i4>345</vt:i4>
      </vt:variant>
      <vt:variant>
        <vt:i4>0</vt:i4>
      </vt:variant>
      <vt:variant>
        <vt:i4>5</vt:i4>
      </vt:variant>
      <vt:variant>
        <vt:lpwstr>https://www.abs.gov.au/statistics/people/education/education-and-work-australia/latest-release</vt:lpwstr>
      </vt:variant>
      <vt:variant>
        <vt:lpwstr>engagement-in-work-and-or-study</vt:lpwstr>
      </vt:variant>
      <vt:variant>
        <vt:i4>3735596</vt:i4>
      </vt:variant>
      <vt:variant>
        <vt:i4>342</vt:i4>
      </vt:variant>
      <vt:variant>
        <vt:i4>0</vt:i4>
      </vt:variant>
      <vt:variant>
        <vt:i4>5</vt:i4>
      </vt:variant>
      <vt:variant>
        <vt:lpwstr>https://www.abs.gov.au/articles/education-australia-abc-bs-and-cs</vt:lpwstr>
      </vt:variant>
      <vt:variant>
        <vt:lpwstr>and-onwards-tertiary-education</vt:lpwstr>
      </vt:variant>
      <vt:variant>
        <vt:i4>1245233</vt:i4>
      </vt:variant>
      <vt:variant>
        <vt:i4>305</vt:i4>
      </vt:variant>
      <vt:variant>
        <vt:i4>0</vt:i4>
      </vt:variant>
      <vt:variant>
        <vt:i4>5</vt:i4>
      </vt:variant>
      <vt:variant>
        <vt:lpwstr/>
      </vt:variant>
      <vt:variant>
        <vt:lpwstr>_Toc228799284</vt:lpwstr>
      </vt:variant>
      <vt:variant>
        <vt:i4>1245233</vt:i4>
      </vt:variant>
      <vt:variant>
        <vt:i4>299</vt:i4>
      </vt:variant>
      <vt:variant>
        <vt:i4>0</vt:i4>
      </vt:variant>
      <vt:variant>
        <vt:i4>5</vt:i4>
      </vt:variant>
      <vt:variant>
        <vt:lpwstr/>
      </vt:variant>
      <vt:variant>
        <vt:lpwstr>_Toc228799283</vt:lpwstr>
      </vt:variant>
      <vt:variant>
        <vt:i4>1245233</vt:i4>
      </vt:variant>
      <vt:variant>
        <vt:i4>293</vt:i4>
      </vt:variant>
      <vt:variant>
        <vt:i4>0</vt:i4>
      </vt:variant>
      <vt:variant>
        <vt:i4>5</vt:i4>
      </vt:variant>
      <vt:variant>
        <vt:lpwstr/>
      </vt:variant>
      <vt:variant>
        <vt:lpwstr>_Toc228799282</vt:lpwstr>
      </vt:variant>
      <vt:variant>
        <vt:i4>1245233</vt:i4>
      </vt:variant>
      <vt:variant>
        <vt:i4>287</vt:i4>
      </vt:variant>
      <vt:variant>
        <vt:i4>0</vt:i4>
      </vt:variant>
      <vt:variant>
        <vt:i4>5</vt:i4>
      </vt:variant>
      <vt:variant>
        <vt:lpwstr/>
      </vt:variant>
      <vt:variant>
        <vt:lpwstr>_Toc228799281</vt:lpwstr>
      </vt:variant>
      <vt:variant>
        <vt:i4>1245233</vt:i4>
      </vt:variant>
      <vt:variant>
        <vt:i4>281</vt:i4>
      </vt:variant>
      <vt:variant>
        <vt:i4>0</vt:i4>
      </vt:variant>
      <vt:variant>
        <vt:i4>5</vt:i4>
      </vt:variant>
      <vt:variant>
        <vt:lpwstr/>
      </vt:variant>
      <vt:variant>
        <vt:lpwstr>_Toc228799280</vt:lpwstr>
      </vt:variant>
      <vt:variant>
        <vt:i4>1835057</vt:i4>
      </vt:variant>
      <vt:variant>
        <vt:i4>275</vt:i4>
      </vt:variant>
      <vt:variant>
        <vt:i4>0</vt:i4>
      </vt:variant>
      <vt:variant>
        <vt:i4>5</vt:i4>
      </vt:variant>
      <vt:variant>
        <vt:lpwstr/>
      </vt:variant>
      <vt:variant>
        <vt:lpwstr>_Toc228799279</vt:lpwstr>
      </vt:variant>
      <vt:variant>
        <vt:i4>1835057</vt:i4>
      </vt:variant>
      <vt:variant>
        <vt:i4>269</vt:i4>
      </vt:variant>
      <vt:variant>
        <vt:i4>0</vt:i4>
      </vt:variant>
      <vt:variant>
        <vt:i4>5</vt:i4>
      </vt:variant>
      <vt:variant>
        <vt:lpwstr/>
      </vt:variant>
      <vt:variant>
        <vt:lpwstr>_Toc228799278</vt:lpwstr>
      </vt:variant>
      <vt:variant>
        <vt:i4>1835057</vt:i4>
      </vt:variant>
      <vt:variant>
        <vt:i4>263</vt:i4>
      </vt:variant>
      <vt:variant>
        <vt:i4>0</vt:i4>
      </vt:variant>
      <vt:variant>
        <vt:i4>5</vt:i4>
      </vt:variant>
      <vt:variant>
        <vt:lpwstr/>
      </vt:variant>
      <vt:variant>
        <vt:lpwstr>_Toc228799277</vt:lpwstr>
      </vt:variant>
      <vt:variant>
        <vt:i4>1835057</vt:i4>
      </vt:variant>
      <vt:variant>
        <vt:i4>257</vt:i4>
      </vt:variant>
      <vt:variant>
        <vt:i4>0</vt:i4>
      </vt:variant>
      <vt:variant>
        <vt:i4>5</vt:i4>
      </vt:variant>
      <vt:variant>
        <vt:lpwstr/>
      </vt:variant>
      <vt:variant>
        <vt:lpwstr>_Toc228799276</vt:lpwstr>
      </vt:variant>
      <vt:variant>
        <vt:i4>1835057</vt:i4>
      </vt:variant>
      <vt:variant>
        <vt:i4>251</vt:i4>
      </vt:variant>
      <vt:variant>
        <vt:i4>0</vt:i4>
      </vt:variant>
      <vt:variant>
        <vt:i4>5</vt:i4>
      </vt:variant>
      <vt:variant>
        <vt:lpwstr/>
      </vt:variant>
      <vt:variant>
        <vt:lpwstr>_Toc228799275</vt:lpwstr>
      </vt:variant>
      <vt:variant>
        <vt:i4>1572918</vt:i4>
      </vt:variant>
      <vt:variant>
        <vt:i4>242</vt:i4>
      </vt:variant>
      <vt:variant>
        <vt:i4>0</vt:i4>
      </vt:variant>
      <vt:variant>
        <vt:i4>5</vt:i4>
      </vt:variant>
      <vt:variant>
        <vt:lpwstr/>
      </vt:variant>
      <vt:variant>
        <vt:lpwstr>_Toc229643986</vt:lpwstr>
      </vt:variant>
      <vt:variant>
        <vt:i4>1572918</vt:i4>
      </vt:variant>
      <vt:variant>
        <vt:i4>236</vt:i4>
      </vt:variant>
      <vt:variant>
        <vt:i4>0</vt:i4>
      </vt:variant>
      <vt:variant>
        <vt:i4>5</vt:i4>
      </vt:variant>
      <vt:variant>
        <vt:lpwstr/>
      </vt:variant>
      <vt:variant>
        <vt:lpwstr>_Toc229643985</vt:lpwstr>
      </vt:variant>
      <vt:variant>
        <vt:i4>1572918</vt:i4>
      </vt:variant>
      <vt:variant>
        <vt:i4>230</vt:i4>
      </vt:variant>
      <vt:variant>
        <vt:i4>0</vt:i4>
      </vt:variant>
      <vt:variant>
        <vt:i4>5</vt:i4>
      </vt:variant>
      <vt:variant>
        <vt:lpwstr/>
      </vt:variant>
      <vt:variant>
        <vt:lpwstr>_Toc229643984</vt:lpwstr>
      </vt:variant>
      <vt:variant>
        <vt:i4>1572918</vt:i4>
      </vt:variant>
      <vt:variant>
        <vt:i4>224</vt:i4>
      </vt:variant>
      <vt:variant>
        <vt:i4>0</vt:i4>
      </vt:variant>
      <vt:variant>
        <vt:i4>5</vt:i4>
      </vt:variant>
      <vt:variant>
        <vt:lpwstr/>
      </vt:variant>
      <vt:variant>
        <vt:lpwstr>_Toc229643983</vt:lpwstr>
      </vt:variant>
      <vt:variant>
        <vt:i4>1572918</vt:i4>
      </vt:variant>
      <vt:variant>
        <vt:i4>218</vt:i4>
      </vt:variant>
      <vt:variant>
        <vt:i4>0</vt:i4>
      </vt:variant>
      <vt:variant>
        <vt:i4>5</vt:i4>
      </vt:variant>
      <vt:variant>
        <vt:lpwstr/>
      </vt:variant>
      <vt:variant>
        <vt:lpwstr>_Toc229643982</vt:lpwstr>
      </vt:variant>
      <vt:variant>
        <vt:i4>1572918</vt:i4>
      </vt:variant>
      <vt:variant>
        <vt:i4>212</vt:i4>
      </vt:variant>
      <vt:variant>
        <vt:i4>0</vt:i4>
      </vt:variant>
      <vt:variant>
        <vt:i4>5</vt:i4>
      </vt:variant>
      <vt:variant>
        <vt:lpwstr/>
      </vt:variant>
      <vt:variant>
        <vt:lpwstr>_Toc229643981</vt:lpwstr>
      </vt:variant>
      <vt:variant>
        <vt:i4>1572918</vt:i4>
      </vt:variant>
      <vt:variant>
        <vt:i4>206</vt:i4>
      </vt:variant>
      <vt:variant>
        <vt:i4>0</vt:i4>
      </vt:variant>
      <vt:variant>
        <vt:i4>5</vt:i4>
      </vt:variant>
      <vt:variant>
        <vt:lpwstr/>
      </vt:variant>
      <vt:variant>
        <vt:lpwstr>_Toc229643980</vt:lpwstr>
      </vt:variant>
      <vt:variant>
        <vt:i4>1507382</vt:i4>
      </vt:variant>
      <vt:variant>
        <vt:i4>200</vt:i4>
      </vt:variant>
      <vt:variant>
        <vt:i4>0</vt:i4>
      </vt:variant>
      <vt:variant>
        <vt:i4>5</vt:i4>
      </vt:variant>
      <vt:variant>
        <vt:lpwstr/>
      </vt:variant>
      <vt:variant>
        <vt:lpwstr>_Toc229643979</vt:lpwstr>
      </vt:variant>
      <vt:variant>
        <vt:i4>1507382</vt:i4>
      </vt:variant>
      <vt:variant>
        <vt:i4>194</vt:i4>
      </vt:variant>
      <vt:variant>
        <vt:i4>0</vt:i4>
      </vt:variant>
      <vt:variant>
        <vt:i4>5</vt:i4>
      </vt:variant>
      <vt:variant>
        <vt:lpwstr/>
      </vt:variant>
      <vt:variant>
        <vt:lpwstr>_Toc229643978</vt:lpwstr>
      </vt:variant>
      <vt:variant>
        <vt:i4>1507382</vt:i4>
      </vt:variant>
      <vt:variant>
        <vt:i4>188</vt:i4>
      </vt:variant>
      <vt:variant>
        <vt:i4>0</vt:i4>
      </vt:variant>
      <vt:variant>
        <vt:i4>5</vt:i4>
      </vt:variant>
      <vt:variant>
        <vt:lpwstr/>
      </vt:variant>
      <vt:variant>
        <vt:lpwstr>_Toc229643977</vt:lpwstr>
      </vt:variant>
      <vt:variant>
        <vt:i4>1507382</vt:i4>
      </vt:variant>
      <vt:variant>
        <vt:i4>182</vt:i4>
      </vt:variant>
      <vt:variant>
        <vt:i4>0</vt:i4>
      </vt:variant>
      <vt:variant>
        <vt:i4>5</vt:i4>
      </vt:variant>
      <vt:variant>
        <vt:lpwstr/>
      </vt:variant>
      <vt:variant>
        <vt:lpwstr>_Toc229643976</vt:lpwstr>
      </vt:variant>
      <vt:variant>
        <vt:i4>1507382</vt:i4>
      </vt:variant>
      <vt:variant>
        <vt:i4>176</vt:i4>
      </vt:variant>
      <vt:variant>
        <vt:i4>0</vt:i4>
      </vt:variant>
      <vt:variant>
        <vt:i4>5</vt:i4>
      </vt:variant>
      <vt:variant>
        <vt:lpwstr/>
      </vt:variant>
      <vt:variant>
        <vt:lpwstr>_Toc229643975</vt:lpwstr>
      </vt:variant>
      <vt:variant>
        <vt:i4>1507382</vt:i4>
      </vt:variant>
      <vt:variant>
        <vt:i4>170</vt:i4>
      </vt:variant>
      <vt:variant>
        <vt:i4>0</vt:i4>
      </vt:variant>
      <vt:variant>
        <vt:i4>5</vt:i4>
      </vt:variant>
      <vt:variant>
        <vt:lpwstr/>
      </vt:variant>
      <vt:variant>
        <vt:lpwstr>_Toc229643974</vt:lpwstr>
      </vt:variant>
      <vt:variant>
        <vt:i4>1507382</vt:i4>
      </vt:variant>
      <vt:variant>
        <vt:i4>164</vt:i4>
      </vt:variant>
      <vt:variant>
        <vt:i4>0</vt:i4>
      </vt:variant>
      <vt:variant>
        <vt:i4>5</vt:i4>
      </vt:variant>
      <vt:variant>
        <vt:lpwstr/>
      </vt:variant>
      <vt:variant>
        <vt:lpwstr>_Toc229643973</vt:lpwstr>
      </vt:variant>
      <vt:variant>
        <vt:i4>1507382</vt:i4>
      </vt:variant>
      <vt:variant>
        <vt:i4>158</vt:i4>
      </vt:variant>
      <vt:variant>
        <vt:i4>0</vt:i4>
      </vt:variant>
      <vt:variant>
        <vt:i4>5</vt:i4>
      </vt:variant>
      <vt:variant>
        <vt:lpwstr/>
      </vt:variant>
      <vt:variant>
        <vt:lpwstr>_Toc229643972</vt:lpwstr>
      </vt:variant>
      <vt:variant>
        <vt:i4>1507382</vt:i4>
      </vt:variant>
      <vt:variant>
        <vt:i4>152</vt:i4>
      </vt:variant>
      <vt:variant>
        <vt:i4>0</vt:i4>
      </vt:variant>
      <vt:variant>
        <vt:i4>5</vt:i4>
      </vt:variant>
      <vt:variant>
        <vt:lpwstr/>
      </vt:variant>
      <vt:variant>
        <vt:lpwstr>_Toc229643971</vt:lpwstr>
      </vt:variant>
      <vt:variant>
        <vt:i4>1507382</vt:i4>
      </vt:variant>
      <vt:variant>
        <vt:i4>146</vt:i4>
      </vt:variant>
      <vt:variant>
        <vt:i4>0</vt:i4>
      </vt:variant>
      <vt:variant>
        <vt:i4>5</vt:i4>
      </vt:variant>
      <vt:variant>
        <vt:lpwstr/>
      </vt:variant>
      <vt:variant>
        <vt:lpwstr>_Toc229643970</vt:lpwstr>
      </vt:variant>
      <vt:variant>
        <vt:i4>1441846</vt:i4>
      </vt:variant>
      <vt:variant>
        <vt:i4>140</vt:i4>
      </vt:variant>
      <vt:variant>
        <vt:i4>0</vt:i4>
      </vt:variant>
      <vt:variant>
        <vt:i4>5</vt:i4>
      </vt:variant>
      <vt:variant>
        <vt:lpwstr/>
      </vt:variant>
      <vt:variant>
        <vt:lpwstr>_Toc229643969</vt:lpwstr>
      </vt:variant>
      <vt:variant>
        <vt:i4>1441846</vt:i4>
      </vt:variant>
      <vt:variant>
        <vt:i4>134</vt:i4>
      </vt:variant>
      <vt:variant>
        <vt:i4>0</vt:i4>
      </vt:variant>
      <vt:variant>
        <vt:i4>5</vt:i4>
      </vt:variant>
      <vt:variant>
        <vt:lpwstr/>
      </vt:variant>
      <vt:variant>
        <vt:lpwstr>_Toc229643968</vt:lpwstr>
      </vt:variant>
      <vt:variant>
        <vt:i4>1441846</vt:i4>
      </vt:variant>
      <vt:variant>
        <vt:i4>128</vt:i4>
      </vt:variant>
      <vt:variant>
        <vt:i4>0</vt:i4>
      </vt:variant>
      <vt:variant>
        <vt:i4>5</vt:i4>
      </vt:variant>
      <vt:variant>
        <vt:lpwstr/>
      </vt:variant>
      <vt:variant>
        <vt:lpwstr>_Toc229643967</vt:lpwstr>
      </vt:variant>
      <vt:variant>
        <vt:i4>1441846</vt:i4>
      </vt:variant>
      <vt:variant>
        <vt:i4>122</vt:i4>
      </vt:variant>
      <vt:variant>
        <vt:i4>0</vt:i4>
      </vt:variant>
      <vt:variant>
        <vt:i4>5</vt:i4>
      </vt:variant>
      <vt:variant>
        <vt:lpwstr/>
      </vt:variant>
      <vt:variant>
        <vt:lpwstr>_Toc229643966</vt:lpwstr>
      </vt:variant>
      <vt:variant>
        <vt:i4>1441846</vt:i4>
      </vt:variant>
      <vt:variant>
        <vt:i4>116</vt:i4>
      </vt:variant>
      <vt:variant>
        <vt:i4>0</vt:i4>
      </vt:variant>
      <vt:variant>
        <vt:i4>5</vt:i4>
      </vt:variant>
      <vt:variant>
        <vt:lpwstr/>
      </vt:variant>
      <vt:variant>
        <vt:lpwstr>_Toc229643965</vt:lpwstr>
      </vt:variant>
      <vt:variant>
        <vt:i4>1441846</vt:i4>
      </vt:variant>
      <vt:variant>
        <vt:i4>110</vt:i4>
      </vt:variant>
      <vt:variant>
        <vt:i4>0</vt:i4>
      </vt:variant>
      <vt:variant>
        <vt:i4>5</vt:i4>
      </vt:variant>
      <vt:variant>
        <vt:lpwstr/>
      </vt:variant>
      <vt:variant>
        <vt:lpwstr>_Toc229643964</vt:lpwstr>
      </vt:variant>
      <vt:variant>
        <vt:i4>1441846</vt:i4>
      </vt:variant>
      <vt:variant>
        <vt:i4>104</vt:i4>
      </vt:variant>
      <vt:variant>
        <vt:i4>0</vt:i4>
      </vt:variant>
      <vt:variant>
        <vt:i4>5</vt:i4>
      </vt:variant>
      <vt:variant>
        <vt:lpwstr/>
      </vt:variant>
      <vt:variant>
        <vt:lpwstr>_Toc229643963</vt:lpwstr>
      </vt:variant>
      <vt:variant>
        <vt:i4>1441846</vt:i4>
      </vt:variant>
      <vt:variant>
        <vt:i4>98</vt:i4>
      </vt:variant>
      <vt:variant>
        <vt:i4>0</vt:i4>
      </vt:variant>
      <vt:variant>
        <vt:i4>5</vt:i4>
      </vt:variant>
      <vt:variant>
        <vt:lpwstr/>
      </vt:variant>
      <vt:variant>
        <vt:lpwstr>_Toc229643962</vt:lpwstr>
      </vt:variant>
      <vt:variant>
        <vt:i4>1441846</vt:i4>
      </vt:variant>
      <vt:variant>
        <vt:i4>92</vt:i4>
      </vt:variant>
      <vt:variant>
        <vt:i4>0</vt:i4>
      </vt:variant>
      <vt:variant>
        <vt:i4>5</vt:i4>
      </vt:variant>
      <vt:variant>
        <vt:lpwstr/>
      </vt:variant>
      <vt:variant>
        <vt:lpwstr>_Toc229643961</vt:lpwstr>
      </vt:variant>
      <vt:variant>
        <vt:i4>1441846</vt:i4>
      </vt:variant>
      <vt:variant>
        <vt:i4>86</vt:i4>
      </vt:variant>
      <vt:variant>
        <vt:i4>0</vt:i4>
      </vt:variant>
      <vt:variant>
        <vt:i4>5</vt:i4>
      </vt:variant>
      <vt:variant>
        <vt:lpwstr/>
      </vt:variant>
      <vt:variant>
        <vt:lpwstr>_Toc229643960</vt:lpwstr>
      </vt:variant>
      <vt:variant>
        <vt:i4>1376310</vt:i4>
      </vt:variant>
      <vt:variant>
        <vt:i4>80</vt:i4>
      </vt:variant>
      <vt:variant>
        <vt:i4>0</vt:i4>
      </vt:variant>
      <vt:variant>
        <vt:i4>5</vt:i4>
      </vt:variant>
      <vt:variant>
        <vt:lpwstr/>
      </vt:variant>
      <vt:variant>
        <vt:lpwstr>_Toc229643959</vt:lpwstr>
      </vt:variant>
      <vt:variant>
        <vt:i4>1376310</vt:i4>
      </vt:variant>
      <vt:variant>
        <vt:i4>74</vt:i4>
      </vt:variant>
      <vt:variant>
        <vt:i4>0</vt:i4>
      </vt:variant>
      <vt:variant>
        <vt:i4>5</vt:i4>
      </vt:variant>
      <vt:variant>
        <vt:lpwstr/>
      </vt:variant>
      <vt:variant>
        <vt:lpwstr>_Toc229643958</vt:lpwstr>
      </vt:variant>
      <vt:variant>
        <vt:i4>1376310</vt:i4>
      </vt:variant>
      <vt:variant>
        <vt:i4>68</vt:i4>
      </vt:variant>
      <vt:variant>
        <vt:i4>0</vt:i4>
      </vt:variant>
      <vt:variant>
        <vt:i4>5</vt:i4>
      </vt:variant>
      <vt:variant>
        <vt:lpwstr/>
      </vt:variant>
      <vt:variant>
        <vt:lpwstr>_Toc229643957</vt:lpwstr>
      </vt:variant>
      <vt:variant>
        <vt:i4>1376310</vt:i4>
      </vt:variant>
      <vt:variant>
        <vt:i4>62</vt:i4>
      </vt:variant>
      <vt:variant>
        <vt:i4>0</vt:i4>
      </vt:variant>
      <vt:variant>
        <vt:i4>5</vt:i4>
      </vt:variant>
      <vt:variant>
        <vt:lpwstr/>
      </vt:variant>
      <vt:variant>
        <vt:lpwstr>_Toc229643956</vt:lpwstr>
      </vt:variant>
      <vt:variant>
        <vt:i4>1376310</vt:i4>
      </vt:variant>
      <vt:variant>
        <vt:i4>56</vt:i4>
      </vt:variant>
      <vt:variant>
        <vt:i4>0</vt:i4>
      </vt:variant>
      <vt:variant>
        <vt:i4>5</vt:i4>
      </vt:variant>
      <vt:variant>
        <vt:lpwstr/>
      </vt:variant>
      <vt:variant>
        <vt:lpwstr>_Toc229643955</vt:lpwstr>
      </vt:variant>
      <vt:variant>
        <vt:i4>1376310</vt:i4>
      </vt:variant>
      <vt:variant>
        <vt:i4>50</vt:i4>
      </vt:variant>
      <vt:variant>
        <vt:i4>0</vt:i4>
      </vt:variant>
      <vt:variant>
        <vt:i4>5</vt:i4>
      </vt:variant>
      <vt:variant>
        <vt:lpwstr/>
      </vt:variant>
      <vt:variant>
        <vt:lpwstr>_Toc229643954</vt:lpwstr>
      </vt:variant>
      <vt:variant>
        <vt:i4>1376310</vt:i4>
      </vt:variant>
      <vt:variant>
        <vt:i4>44</vt:i4>
      </vt:variant>
      <vt:variant>
        <vt:i4>0</vt:i4>
      </vt:variant>
      <vt:variant>
        <vt:i4>5</vt:i4>
      </vt:variant>
      <vt:variant>
        <vt:lpwstr/>
      </vt:variant>
      <vt:variant>
        <vt:lpwstr>_Toc229643953</vt:lpwstr>
      </vt:variant>
      <vt:variant>
        <vt:i4>1376310</vt:i4>
      </vt:variant>
      <vt:variant>
        <vt:i4>38</vt:i4>
      </vt:variant>
      <vt:variant>
        <vt:i4>0</vt:i4>
      </vt:variant>
      <vt:variant>
        <vt:i4>5</vt:i4>
      </vt:variant>
      <vt:variant>
        <vt:lpwstr/>
      </vt:variant>
      <vt:variant>
        <vt:lpwstr>_Toc229643952</vt:lpwstr>
      </vt:variant>
      <vt:variant>
        <vt:i4>1376310</vt:i4>
      </vt:variant>
      <vt:variant>
        <vt:i4>32</vt:i4>
      </vt:variant>
      <vt:variant>
        <vt:i4>0</vt:i4>
      </vt:variant>
      <vt:variant>
        <vt:i4>5</vt:i4>
      </vt:variant>
      <vt:variant>
        <vt:lpwstr/>
      </vt:variant>
      <vt:variant>
        <vt:lpwstr>_Toc229643951</vt:lpwstr>
      </vt:variant>
      <vt:variant>
        <vt:i4>1376310</vt:i4>
      </vt:variant>
      <vt:variant>
        <vt:i4>26</vt:i4>
      </vt:variant>
      <vt:variant>
        <vt:i4>0</vt:i4>
      </vt:variant>
      <vt:variant>
        <vt:i4>5</vt:i4>
      </vt:variant>
      <vt:variant>
        <vt:lpwstr/>
      </vt:variant>
      <vt:variant>
        <vt:lpwstr>_Toc229643950</vt:lpwstr>
      </vt:variant>
      <vt:variant>
        <vt:i4>1310774</vt:i4>
      </vt:variant>
      <vt:variant>
        <vt:i4>20</vt:i4>
      </vt:variant>
      <vt:variant>
        <vt:i4>0</vt:i4>
      </vt:variant>
      <vt:variant>
        <vt:i4>5</vt:i4>
      </vt:variant>
      <vt:variant>
        <vt:lpwstr/>
      </vt:variant>
      <vt:variant>
        <vt:lpwstr>_Toc229643949</vt:lpwstr>
      </vt:variant>
      <vt:variant>
        <vt:i4>1310774</vt:i4>
      </vt:variant>
      <vt:variant>
        <vt:i4>14</vt:i4>
      </vt:variant>
      <vt:variant>
        <vt:i4>0</vt:i4>
      </vt:variant>
      <vt:variant>
        <vt:i4>5</vt:i4>
      </vt:variant>
      <vt:variant>
        <vt:lpwstr/>
      </vt:variant>
      <vt:variant>
        <vt:lpwstr>_Toc229643948</vt:lpwstr>
      </vt:variant>
      <vt:variant>
        <vt:i4>1310774</vt:i4>
      </vt:variant>
      <vt:variant>
        <vt:i4>8</vt:i4>
      </vt:variant>
      <vt:variant>
        <vt:i4>0</vt:i4>
      </vt:variant>
      <vt:variant>
        <vt:i4>5</vt:i4>
      </vt:variant>
      <vt:variant>
        <vt:lpwstr/>
      </vt:variant>
      <vt:variant>
        <vt:lpwstr>_Toc229643947</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2026-05-22T19:25:00Z</dcterms:created>
  <dcterms:modified xsi:type="dcterms:W3CDTF">2026-05-25T01:35:00Z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2026-05-22T02:26:58Z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7b56ff63-e299-46e4-aad4-72059d742aa9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ediaServiceImageTags">
    <vt:lpwstr/>
  </property>
  <property fmtid="{D5CDD505-2E9C-101B-9397-08002B2CF9AE}" pid="11" name="ContentTypeId">
    <vt:lpwstr>0x010100E098083483EAF54BBE19C56BE4F7D597</vt:lpwstr>
  </property>
  <property fmtid="{D5CDD505-2E9C-101B-9397-08002B2CF9AE}" pid="12" name="docLang">
    <vt:lpwstr>en</vt:lpwstr>
  </property>
</Properties>
</file>